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A5F" w:rsidRDefault="00C76AA1">
      <w:pPr>
        <w:ind w:left="5954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Додаток</w:t>
      </w:r>
      <w:proofErr w:type="spellEnd"/>
    </w:p>
    <w:p w:rsidR="003A6A5F" w:rsidRDefault="00C76AA1">
      <w:pPr>
        <w:ind w:left="595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</w:t>
      </w:r>
    </w:p>
    <w:p w:rsidR="003A6A5F" w:rsidRDefault="00C76AA1">
      <w:pPr>
        <w:ind w:left="595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  <w:lang w:val="uk-UA"/>
        </w:rPr>
        <w:t>№ _____</w:t>
      </w:r>
    </w:p>
    <w:p w:rsidR="003A6A5F" w:rsidRDefault="003A6A5F">
      <w:pPr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A6A5F" w:rsidRDefault="00C76AA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ЗВЕРНЕННЯ</w:t>
      </w:r>
    </w:p>
    <w:p w:rsidR="003A6A5F" w:rsidRDefault="00C76AA1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До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Верховної Ради України 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Кабінету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Міністрів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0" w:name="__DdeLink__83_999521225"/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щодо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компенсації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різниці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в тарифах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підприємству</w:t>
      </w:r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>теплопостачання</w:t>
      </w:r>
      <w:bookmarkEnd w:id="0"/>
      <w:proofErr w:type="spellEnd"/>
      <w:r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  <w:t xml:space="preserve"> </w:t>
      </w:r>
    </w:p>
    <w:p w:rsidR="003A6A5F" w:rsidRDefault="003A6A5F">
      <w:pPr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A6A5F" w:rsidRDefault="00C76AA1">
      <w:pPr>
        <w:suppressAutoHyphens/>
        <w:ind w:firstLine="567"/>
        <w:jc w:val="both"/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раховуючи укладений 30 вересня 2021 року між Асоціацією міст України, Кабінетом Міністрів України, Офісом Президента України та 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br/>
        <w:t>НАК «Нафтогаз України</w:t>
      </w:r>
      <w:bookmarkStart w:id="1" w:name="__DdeLink__58_592423518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»</w:t>
      </w:r>
      <w:bookmarkEnd w:id="1"/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 Меморандум про взаєморозуміння щодо врегулювання проблемних питань у сфері теплопостачання в опалювальному періоді 2021/2022 років та Закон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 від 29 липня 2022 року №</w:t>
      </w:r>
      <w:r>
        <w:rPr>
          <w:rFonts w:ascii="Times New Roman" w:hAnsi="Times New Roman"/>
          <w:color w:val="000000"/>
          <w:sz w:val="28"/>
          <w:szCs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 xml:space="preserve">2479-ІХ Луцька міська рада залишила незмінними та не допустила збільшення тарифів на послуги теплопостачання та гарячого водопостачання діючих у жовтні 2021 року дотепер. 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 результаті таких рішень, у ДКП «</w:t>
      </w:r>
      <w:proofErr w:type="spellStart"/>
      <w:r>
        <w:rPr>
          <w:bCs/>
          <w:color w:val="000000"/>
          <w:sz w:val="28"/>
          <w:szCs w:val="28"/>
        </w:rPr>
        <w:t>Луцьктепло</w:t>
      </w:r>
      <w:proofErr w:type="spellEnd"/>
      <w:r>
        <w:rPr>
          <w:bCs/>
          <w:color w:val="000000"/>
          <w:sz w:val="28"/>
          <w:szCs w:val="28"/>
        </w:rPr>
        <w:t xml:space="preserve">» виникла значна різниця в тарифах. Станом на 01.07.2024 сума заборгованості з різниці в тарифах, яка узгоджена Комісією з питань узгодження заборгованості з різниці в тарифах складає 206,2 </w:t>
      </w:r>
      <w:bookmarkStart w:id="2" w:name="_Hlk137997983"/>
      <w:r>
        <w:rPr>
          <w:bCs/>
          <w:color w:val="000000"/>
          <w:sz w:val="28"/>
          <w:szCs w:val="28"/>
        </w:rPr>
        <w:t>млн грн</w:t>
      </w:r>
      <w:bookmarkEnd w:id="2"/>
      <w:r>
        <w:rPr>
          <w:bCs/>
          <w:color w:val="000000"/>
          <w:sz w:val="28"/>
          <w:szCs w:val="28"/>
        </w:rPr>
        <w:t>, з врахуванням оперативної, за ІІІ квартал 2024 року, станом на 01.10.</w:t>
      </w:r>
      <w:r>
        <w:rPr>
          <w:bCs/>
          <w:color w:val="000000"/>
          <w:sz w:val="28"/>
          <w:szCs w:val="28"/>
          <w:lang w:val="ru-RU"/>
        </w:rPr>
        <w:t>2024 вона становить 232,1</w:t>
      </w:r>
      <w:r>
        <w:rPr>
          <w:bCs/>
          <w:color w:val="000000"/>
          <w:sz w:val="28"/>
          <w:szCs w:val="28"/>
        </w:rPr>
        <w:t xml:space="preserve"> млн</w:t>
      </w:r>
      <w:r>
        <w:rPr>
          <w:bCs/>
          <w:color w:val="000000"/>
          <w:sz w:val="28"/>
          <w:szCs w:val="28"/>
          <w:lang w:val="en-US"/>
        </w:rPr>
        <w:t> </w:t>
      </w:r>
      <w:r>
        <w:rPr>
          <w:bCs/>
          <w:color w:val="000000"/>
          <w:sz w:val="28"/>
          <w:szCs w:val="28"/>
        </w:rPr>
        <w:t>грн. Рівень відшкодування доходами фактичних витрат на теплову енергію для потреб населення за січень-вересень 2024 року склав лише 72,2%.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Проте, </w:t>
      </w:r>
      <w:r>
        <w:rPr>
          <w:bCs/>
          <w:color w:val="000000"/>
          <w:sz w:val="28"/>
          <w:szCs w:val="28"/>
        </w:rPr>
        <w:t>Державою, в особі Кабінету Міністрів України, не було виконано взяті на себе зобов’язання щодо компенсації різниці в тарифах підприємствам теплопостачання, за період з 01.06.2021 дотепер.</w:t>
      </w:r>
    </w:p>
    <w:p w:rsidR="003A6A5F" w:rsidRDefault="00C76AA1">
      <w:pPr>
        <w:ind w:firstLine="567"/>
        <w:jc w:val="both"/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Крім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того, </w:t>
      </w:r>
      <w:r>
        <w:rPr>
          <w:rFonts w:ascii="Times New Roman" w:hAnsi="Times New Roman"/>
          <w:sz w:val="28"/>
          <w:szCs w:val="28"/>
          <w:lang w:val="uk-UA"/>
        </w:rPr>
        <w:t>надзвичайно ризиковим фактором для підприємства є механізм розподілу коштів, які надходять від споживачів на небюджетні рахунки відкриті в органах</w:t>
      </w:r>
      <w:r w:rsidR="0012353D">
        <w:rPr>
          <w:rFonts w:ascii="Times New Roman" w:hAnsi="Times New Roman"/>
          <w:sz w:val="28"/>
          <w:szCs w:val="28"/>
          <w:lang w:val="uk-UA"/>
        </w:rPr>
        <w:t xml:space="preserve"> Державної казначейської служби</w:t>
      </w:r>
      <w:r>
        <w:rPr>
          <w:rFonts w:ascii="Times New Roman" w:hAnsi="Times New Roman"/>
          <w:sz w:val="28"/>
          <w:szCs w:val="28"/>
          <w:lang w:val="uk-UA"/>
        </w:rPr>
        <w:t xml:space="preserve"> у пропорції 65 % </w:t>
      </w:r>
      <w:r w:rsidR="0012353D">
        <w:rPr>
          <w:rFonts w:eastAsia="Calibri"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 користь </w:t>
      </w:r>
      <w:bookmarkStart w:id="3" w:name="_Hlk182829695"/>
      <w:r>
        <w:rPr>
          <w:rFonts w:ascii="Times New Roman" w:hAnsi="Times New Roman"/>
          <w:sz w:val="28"/>
          <w:szCs w:val="28"/>
          <w:lang w:val="uk-UA"/>
        </w:rPr>
        <w:t xml:space="preserve">ТзОВ </w:t>
      </w:r>
      <w:bookmarkEnd w:id="3"/>
      <w:r w:rsidR="0012353D">
        <w:rPr>
          <w:color w:val="000000"/>
          <w:sz w:val="28"/>
          <w:szCs w:val="28"/>
        </w:rPr>
        <w:t xml:space="preserve">«ГК </w:t>
      </w:r>
      <w:r w:rsidR="0012353D">
        <w:rPr>
          <w:color w:val="000000"/>
          <w:sz w:val="28"/>
          <w:szCs w:val="28"/>
          <w:lang w:val="en-US"/>
        </w:rPr>
        <w:t>“</w:t>
      </w:r>
      <w:proofErr w:type="spellStart"/>
      <w:r w:rsidR="0012353D">
        <w:rPr>
          <w:color w:val="000000"/>
          <w:sz w:val="28"/>
          <w:szCs w:val="28"/>
        </w:rPr>
        <w:t>Нафтогаз</w:t>
      </w:r>
      <w:proofErr w:type="spellEnd"/>
      <w:r w:rsidR="0012353D">
        <w:rPr>
          <w:color w:val="000000"/>
          <w:sz w:val="28"/>
          <w:szCs w:val="28"/>
        </w:rPr>
        <w:t xml:space="preserve"> </w:t>
      </w:r>
      <w:proofErr w:type="spellStart"/>
      <w:r w:rsidR="0012353D">
        <w:rPr>
          <w:color w:val="000000"/>
          <w:sz w:val="28"/>
          <w:szCs w:val="28"/>
        </w:rPr>
        <w:t>Трейдинг</w:t>
      </w:r>
      <w:proofErr w:type="spellEnd"/>
      <w:r w:rsidR="0012353D">
        <w:rPr>
          <w:color w:val="000000"/>
          <w:sz w:val="28"/>
          <w:szCs w:val="28"/>
          <w:lang w:val="en-US"/>
        </w:rPr>
        <w:t>”</w:t>
      </w:r>
      <w:r w:rsidR="0012353D">
        <w:rPr>
          <w:color w:val="000000"/>
          <w:sz w:val="28"/>
          <w:szCs w:val="28"/>
        </w:rPr>
        <w:t xml:space="preserve">» </w:t>
      </w:r>
      <w:r w:rsidR="0012353D">
        <w:rPr>
          <w:rFonts w:ascii="Times New Roman" w:hAnsi="Times New Roman"/>
          <w:sz w:val="28"/>
          <w:szCs w:val="28"/>
          <w:lang w:val="uk-UA"/>
        </w:rPr>
        <w:t xml:space="preserve">та 35 % </w:t>
      </w:r>
      <w:r w:rsidR="0012353D">
        <w:rPr>
          <w:rFonts w:eastAsia="Calibri"/>
          <w:i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  <w:lang w:val="uk-UA"/>
        </w:rPr>
        <w:t xml:space="preserve"> на потреби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(відповідно до вимог постанови КМУ від 19.07.2022 № 812). Не дивлячись на те, що частка газової складової у </w:t>
      </w:r>
      <w:bookmarkStart w:id="4" w:name="_GoBack"/>
      <w:bookmarkEnd w:id="4"/>
      <w:r>
        <w:rPr>
          <w:rFonts w:ascii="Times New Roman" w:hAnsi="Times New Roman"/>
          <w:sz w:val="28"/>
          <w:szCs w:val="28"/>
          <w:lang w:val="uk-UA"/>
        </w:rPr>
        <w:t xml:space="preserve">структурі витрат діючих тарифів на теплову енергію складає від 18 % протягом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міжопалювального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сезону та до 60 % протягом опалювального сезону, ДКП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» змушене виконувати вищезгадану постанову. Так, у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міжопалювальні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місяці, коли потрібно готувати господарство до опалювального сезону з доходів підприємства стягується майже у двічі більше на потреби ТзОВ </w:t>
      </w:r>
      <w:r w:rsidR="0012353D">
        <w:rPr>
          <w:color w:val="000000"/>
          <w:sz w:val="28"/>
          <w:szCs w:val="28"/>
        </w:rPr>
        <w:t xml:space="preserve">«ГК </w:t>
      </w:r>
      <w:r w:rsidR="0012353D">
        <w:rPr>
          <w:color w:val="000000"/>
          <w:sz w:val="28"/>
          <w:szCs w:val="28"/>
          <w:lang w:val="en-US"/>
        </w:rPr>
        <w:t>“</w:t>
      </w:r>
      <w:proofErr w:type="spellStart"/>
      <w:r w:rsidR="0012353D">
        <w:rPr>
          <w:color w:val="000000"/>
          <w:sz w:val="28"/>
          <w:szCs w:val="28"/>
        </w:rPr>
        <w:t>Нафтогаз</w:t>
      </w:r>
      <w:proofErr w:type="spellEnd"/>
      <w:r w:rsidR="0012353D">
        <w:rPr>
          <w:color w:val="000000"/>
          <w:sz w:val="28"/>
          <w:szCs w:val="28"/>
        </w:rPr>
        <w:t xml:space="preserve"> </w:t>
      </w:r>
      <w:proofErr w:type="spellStart"/>
      <w:r w:rsidR="0012353D">
        <w:rPr>
          <w:color w:val="000000"/>
          <w:sz w:val="28"/>
          <w:szCs w:val="28"/>
        </w:rPr>
        <w:t>Трейдинг</w:t>
      </w:r>
      <w:proofErr w:type="spellEnd"/>
      <w:r w:rsidR="0012353D">
        <w:rPr>
          <w:color w:val="000000"/>
          <w:sz w:val="28"/>
          <w:szCs w:val="28"/>
          <w:lang w:val="en-US"/>
        </w:rPr>
        <w:t>”</w:t>
      </w:r>
      <w:r w:rsidR="0012353D">
        <w:rPr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у порівнянні з вартістю фактичного споживання природного газу.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</w:pPr>
      <w:r>
        <w:rPr>
          <w:rFonts w:eastAsia="Calibri"/>
          <w:iCs/>
          <w:sz w:val="28"/>
          <w:szCs w:val="28"/>
        </w:rPr>
        <w:t>Враховуючи невпинний ріст цін, ДКП «</w:t>
      </w:r>
      <w:proofErr w:type="spellStart"/>
      <w:r>
        <w:rPr>
          <w:rFonts w:eastAsia="Calibri"/>
          <w:iCs/>
          <w:sz w:val="28"/>
          <w:szCs w:val="28"/>
        </w:rPr>
        <w:t>Луцьктепло</w:t>
      </w:r>
      <w:proofErr w:type="spellEnd"/>
      <w:r>
        <w:rPr>
          <w:rFonts w:eastAsia="Calibri"/>
          <w:iCs/>
          <w:sz w:val="28"/>
          <w:szCs w:val="28"/>
        </w:rPr>
        <w:t>» не в змозі</w:t>
      </w:r>
      <w:r w:rsidR="0012353D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>покривати</w:t>
      </w:r>
      <w:r w:rsidR="0012353D">
        <w:rPr>
          <w:rFonts w:eastAsia="Calibri"/>
          <w:iCs/>
          <w:sz w:val="28"/>
          <w:szCs w:val="28"/>
        </w:rPr>
        <w:t xml:space="preserve"> </w:t>
      </w:r>
      <w:r>
        <w:rPr>
          <w:rFonts w:eastAsia="Calibri"/>
          <w:iCs/>
          <w:sz w:val="28"/>
          <w:szCs w:val="28"/>
        </w:rPr>
        <w:t xml:space="preserve"> в</w:t>
      </w:r>
      <w:r>
        <w:rPr>
          <w:sz w:val="28"/>
          <w:szCs w:val="28"/>
        </w:rPr>
        <w:t>итрати, необхідні для виробництва, транспортування, постачання теплової енергії. Як наслідок, підприємство відчуває гостру нестачу обігових коштів для виконання інших фінансових зобов’язань, крім розрахунку за природний газ</w:t>
      </w:r>
      <w:r>
        <w:rPr>
          <w:color w:val="000000"/>
          <w:sz w:val="28"/>
          <w:szCs w:val="28"/>
          <w:highlight w:val="white"/>
        </w:rPr>
        <w:t xml:space="preserve">.  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</w:pPr>
      <w:r>
        <w:rPr>
          <w:color w:val="000000"/>
          <w:sz w:val="28"/>
          <w:szCs w:val="28"/>
        </w:rPr>
        <w:t>Фінансування заборгованості з різниці в тарифах,</w:t>
      </w:r>
      <w:r>
        <w:rPr>
          <w:bCs/>
          <w:color w:val="000000"/>
          <w:sz w:val="28"/>
          <w:szCs w:val="28"/>
        </w:rPr>
        <w:t xml:space="preserve"> дозволить ДКП «</w:t>
      </w:r>
      <w:proofErr w:type="spellStart"/>
      <w:r>
        <w:rPr>
          <w:bCs/>
          <w:color w:val="000000"/>
          <w:sz w:val="28"/>
          <w:szCs w:val="28"/>
        </w:rPr>
        <w:t>Луцьктепло</w:t>
      </w:r>
      <w:proofErr w:type="spellEnd"/>
      <w:r>
        <w:rPr>
          <w:bCs/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у повному обсязі покрити існуючу кредиторську </w:t>
      </w:r>
      <w:r w:rsidR="0012353D">
        <w:rPr>
          <w:color w:val="000000"/>
          <w:sz w:val="28"/>
          <w:szCs w:val="28"/>
        </w:rPr>
        <w:lastRenderedPageBreak/>
        <w:t xml:space="preserve">заборгованість перед ТОВ </w:t>
      </w:r>
      <w:r>
        <w:rPr>
          <w:color w:val="000000"/>
          <w:sz w:val="28"/>
          <w:szCs w:val="28"/>
        </w:rPr>
        <w:t xml:space="preserve">та </w:t>
      </w:r>
      <w:r w:rsidR="0012353D">
        <w:rPr>
          <w:color w:val="000000"/>
          <w:sz w:val="28"/>
          <w:szCs w:val="28"/>
        </w:rPr>
        <w:t xml:space="preserve">перед АТ «НАК </w:t>
      </w:r>
      <w:r w:rsidR="0012353D">
        <w:rPr>
          <w:color w:val="000000"/>
          <w:sz w:val="28"/>
          <w:szCs w:val="28"/>
          <w:lang w:val="en-US"/>
        </w:rPr>
        <w:t>“</w:t>
      </w:r>
      <w:r w:rsidR="0012353D">
        <w:rPr>
          <w:color w:val="000000"/>
          <w:sz w:val="28"/>
          <w:szCs w:val="28"/>
        </w:rPr>
        <w:t>Нафтогаз України</w:t>
      </w:r>
      <w:r w:rsidR="0012353D">
        <w:rPr>
          <w:color w:val="000000"/>
          <w:sz w:val="28"/>
          <w:szCs w:val="28"/>
          <w:lang w:val="en-US"/>
        </w:rPr>
        <w:t>”</w:t>
      </w:r>
      <w:r w:rsidR="0012353D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загальній сумі 216,0 млн грн, тим самим зупинить механізм несправедливого розподілу коштів підприємства на користь Тз</w:t>
      </w:r>
      <w:r w:rsidR="0012353D">
        <w:rPr>
          <w:color w:val="000000"/>
          <w:sz w:val="28"/>
          <w:szCs w:val="28"/>
        </w:rPr>
        <w:t xml:space="preserve">ОВ «ГК </w:t>
      </w:r>
      <w:r w:rsidR="0012353D">
        <w:rPr>
          <w:color w:val="000000"/>
          <w:sz w:val="28"/>
          <w:szCs w:val="28"/>
          <w:lang w:val="en-US"/>
        </w:rPr>
        <w:t>“</w:t>
      </w:r>
      <w:r>
        <w:rPr>
          <w:color w:val="000000"/>
          <w:sz w:val="28"/>
          <w:szCs w:val="28"/>
        </w:rPr>
        <w:t xml:space="preserve">Нафтогаз </w:t>
      </w:r>
      <w:proofErr w:type="spellStart"/>
      <w:r>
        <w:rPr>
          <w:color w:val="000000"/>
          <w:sz w:val="28"/>
          <w:szCs w:val="28"/>
        </w:rPr>
        <w:t>Трейдинг</w:t>
      </w:r>
      <w:proofErr w:type="spellEnd"/>
      <w:r w:rsidR="0012353D">
        <w:rPr>
          <w:color w:val="000000"/>
          <w:sz w:val="28"/>
          <w:szCs w:val="28"/>
          <w:lang w:val="en-US"/>
        </w:rPr>
        <w:t>”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highlight w:val="white"/>
        </w:rPr>
        <w:t xml:space="preserve"> та забезпечить належне проходження опалювального сезону 2024/2025 років</w:t>
      </w:r>
      <w:r>
        <w:rPr>
          <w:color w:val="000000"/>
          <w:sz w:val="28"/>
          <w:szCs w:val="28"/>
        </w:rPr>
        <w:t>.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Враховуючи вищевикладене, для безперебійного забезпечення мешканців міста тепловою енергією і гарячою водою просимо 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Верховну Раду України: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highlight w:val="white"/>
        </w:rPr>
      </w:pPr>
      <w:proofErr w:type="spellStart"/>
      <w:r>
        <w:rPr>
          <w:color w:val="000000"/>
          <w:sz w:val="28"/>
          <w:szCs w:val="28"/>
          <w:highlight w:val="white"/>
        </w:rPr>
        <w:t>внести</w:t>
      </w:r>
      <w:proofErr w:type="spellEnd"/>
      <w:r>
        <w:rPr>
          <w:color w:val="000000"/>
          <w:sz w:val="28"/>
          <w:szCs w:val="28"/>
          <w:highlight w:val="white"/>
        </w:rPr>
        <w:t xml:space="preserve"> зміни до Законів України </w:t>
      </w:r>
      <w:bookmarkStart w:id="5" w:name="_Hlk182832685"/>
      <w:r>
        <w:rPr>
          <w:color w:val="000000"/>
          <w:sz w:val="28"/>
          <w:szCs w:val="28"/>
          <w:highlight w:val="white"/>
        </w:rPr>
        <w:t>«Про Державний бюджет України на 2024 рік»</w:t>
      </w:r>
      <w:bookmarkEnd w:id="5"/>
      <w:r>
        <w:rPr>
          <w:color w:val="000000"/>
          <w:sz w:val="28"/>
          <w:szCs w:val="28"/>
          <w:highlight w:val="white"/>
        </w:rPr>
        <w:t xml:space="preserve"> та «Про Державний бюджет України на 2025 рік» передбачивши кошти на компенсацію різниці в тарифах на теплову енергію, послуги з постачання теплової енергії та гарячої води, які узгоджені Комісією  та не відшкодовані з 01.06.2021 і дотепер у необхідному обсязі.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Кабінет Міністрів України: </w:t>
      </w:r>
    </w:p>
    <w:p w:rsidR="003A6A5F" w:rsidRDefault="00C76AA1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погасити заборгованість з різниці в тарифах у </w:t>
      </w:r>
      <w:r>
        <w:rPr>
          <w:color w:val="000000"/>
          <w:sz w:val="28"/>
          <w:szCs w:val="28"/>
        </w:rPr>
        <w:t>сумі 232,1 тис. </w:t>
      </w:r>
      <w:r>
        <w:rPr>
          <w:color w:val="000000"/>
          <w:sz w:val="28"/>
          <w:szCs w:val="28"/>
          <w:highlight w:val="white"/>
        </w:rPr>
        <w:t>грн та виконати взяті на себе зобов'язання.</w:t>
      </w:r>
    </w:p>
    <w:p w:rsidR="003A6A5F" w:rsidRDefault="003A6A5F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3A6A5F" w:rsidRDefault="003A6A5F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3A6A5F" w:rsidRDefault="003A6A5F">
      <w:pPr>
        <w:pStyle w:val="rvps2"/>
        <w:shd w:val="clear" w:color="auto" w:fill="FFFFFF"/>
        <w:spacing w:before="0" w:after="0"/>
        <w:ind w:firstLine="567"/>
        <w:jc w:val="both"/>
        <w:rPr>
          <w:color w:val="000000"/>
          <w:sz w:val="28"/>
          <w:szCs w:val="28"/>
        </w:rPr>
      </w:pPr>
    </w:p>
    <w:p w:rsidR="003A6A5F" w:rsidRDefault="00C76AA1">
      <w:pPr>
        <w:suppressAutoHyphens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highlight w:val="white"/>
          <w:lang w:val="uk-UA"/>
        </w:rPr>
        <w:tab/>
        <w:t>Юрій БЕЗПЯТКО</w:t>
      </w:r>
    </w:p>
    <w:sectPr w:rsidR="003A6A5F" w:rsidSect="00C76AA1">
      <w:pgSz w:w="11906" w:h="16838"/>
      <w:pgMar w:top="567" w:right="566" w:bottom="1418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3A6A5F"/>
    <w:rsid w:val="0012353D"/>
    <w:rsid w:val="003A6A5F"/>
    <w:rsid w:val="00C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F377"/>
  <w15:docId w15:val="{8FADD662-85B9-4821-BD1C-42BBF9A2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0D6A12"/>
    <w:rPr>
      <w:rFonts w:ascii="Segoe UI" w:hAnsi="Segoe UI" w:cs="Mangal"/>
      <w:sz w:val="18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rvps2">
    <w:name w:val="rvps2"/>
    <w:basedOn w:val="a"/>
    <w:qFormat/>
    <w:rsid w:val="00F02EAC"/>
    <w:pPr>
      <w:suppressAutoHyphens/>
      <w:spacing w:before="100" w:after="100"/>
    </w:pPr>
    <w:rPr>
      <w:rFonts w:ascii="Times New Roman" w:eastAsia="Times New Roman" w:hAnsi="Times New Roman" w:cs="Times New Roman"/>
      <w:kern w:val="0"/>
      <w:lang w:val="uk-UA" w:bidi="ar-SA"/>
    </w:rPr>
  </w:style>
  <w:style w:type="paragraph" w:styleId="a9">
    <w:name w:val="Balloon Text"/>
    <w:basedOn w:val="a"/>
    <w:uiPriority w:val="99"/>
    <w:semiHidden/>
    <w:unhideWhenUsed/>
    <w:qFormat/>
    <w:rsid w:val="000D6A1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2372</Words>
  <Characters>1353</Characters>
  <Application>Microsoft Office Word</Application>
  <DocSecurity>0</DocSecurity>
  <Lines>11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sheremeta</cp:lastModifiedBy>
  <cp:revision>36</cp:revision>
  <cp:lastPrinted>2024-11-18T12:32:00Z</cp:lastPrinted>
  <dcterms:created xsi:type="dcterms:W3CDTF">2023-05-16T15:28:00Z</dcterms:created>
  <dcterms:modified xsi:type="dcterms:W3CDTF">2024-11-19T09:36:00Z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