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3710195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Pr="00390F1A">
        <w:rPr>
          <w:spacing w:val="-6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Pr="00390F1A">
        <w:rPr>
          <w:spacing w:val="-6"/>
        </w:rPr>
        <w:t xml:space="preserve"> </w:t>
      </w:r>
      <w:r>
        <w:rPr>
          <w:spacing w:val="-6"/>
          <w:sz w:val="28"/>
          <w:szCs w:val="28"/>
        </w:rPr>
        <w:t>громадянину</w:t>
      </w:r>
      <w:r w:rsidRPr="00390F1A">
        <w:rPr>
          <w:spacing w:val="-6"/>
        </w:rPr>
        <w:t xml:space="preserve"> </w:t>
      </w:r>
      <w:proofErr w:type="spellStart"/>
      <w:r w:rsidR="00390F1A">
        <w:rPr>
          <w:spacing w:val="-6"/>
          <w:sz w:val="28"/>
          <w:szCs w:val="28"/>
        </w:rPr>
        <w:t>Михальчуку</w:t>
      </w:r>
      <w:proofErr w:type="spellEnd"/>
      <w:r w:rsidR="00390F1A" w:rsidRPr="00390F1A">
        <w:rPr>
          <w:spacing w:val="-6"/>
        </w:rPr>
        <w:t xml:space="preserve"> </w:t>
      </w:r>
      <w:r w:rsidR="00390F1A">
        <w:rPr>
          <w:spacing w:val="-6"/>
          <w:sz w:val="28"/>
          <w:szCs w:val="28"/>
        </w:rPr>
        <w:t>О.П.</w:t>
      </w:r>
    </w:p>
    <w:p w:rsidR="00390F1A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0E0EAA" w:rsidRPr="00390F1A">
        <w:rPr>
          <w:spacing w:val="-6"/>
          <w:sz w:val="20"/>
          <w:szCs w:val="20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0E0EAA" w:rsidRPr="00390F1A">
        <w:rPr>
          <w:spacing w:val="-6"/>
          <w:sz w:val="20"/>
          <w:szCs w:val="20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0E0880" w:rsidRPr="00390F1A">
        <w:rPr>
          <w:spacing w:val="-6"/>
          <w:sz w:val="20"/>
          <w:szCs w:val="20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E62F6F" w:rsidRPr="00390F1A">
        <w:rPr>
          <w:spacing w:val="-6"/>
          <w:sz w:val="20"/>
          <w:szCs w:val="20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0E0EAA" w:rsidRPr="00390F1A">
        <w:rPr>
          <w:spacing w:val="-6"/>
          <w:sz w:val="20"/>
          <w:szCs w:val="20"/>
        </w:rPr>
        <w:t xml:space="preserve"> </w:t>
      </w:r>
      <w:r>
        <w:rPr>
          <w:spacing w:val="-6"/>
          <w:sz w:val="28"/>
          <w:szCs w:val="28"/>
        </w:rPr>
        <w:t>частки</w:t>
      </w:r>
      <w:r w:rsidRPr="00390F1A">
        <w:rPr>
          <w:spacing w:val="-6"/>
          <w:sz w:val="20"/>
          <w:szCs w:val="20"/>
        </w:rPr>
        <w:t xml:space="preserve"> </w:t>
      </w:r>
      <w:r w:rsidR="000E0880">
        <w:rPr>
          <w:spacing w:val="-6"/>
          <w:sz w:val="28"/>
          <w:szCs w:val="28"/>
        </w:rPr>
        <w:t xml:space="preserve">(паю) </w:t>
      </w:r>
      <w:r w:rsidR="000E0EAA">
        <w:rPr>
          <w:spacing w:val="-6"/>
          <w:sz w:val="28"/>
          <w:szCs w:val="28"/>
        </w:rPr>
        <w:t xml:space="preserve"> </w:t>
      </w:r>
    </w:p>
    <w:p w:rsidR="005466F7" w:rsidRDefault="00390F1A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№ </w:t>
      </w:r>
      <w:r w:rsidR="005466F7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708</w:t>
      </w:r>
      <w:r w:rsidR="00E62F6F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(багаторічні</w:t>
      </w:r>
      <w:r w:rsidR="000E0EAA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насадження</w:t>
      </w:r>
      <w:r w:rsidR="005466F7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 — </w:t>
      </w:r>
      <w:r w:rsidR="005466F7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площею </w:t>
      </w:r>
    </w:p>
    <w:p w:rsidR="005466F7" w:rsidRDefault="000E088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0,6175</w:t>
      </w:r>
      <w:r w:rsidR="00E62F6F" w:rsidRPr="007E7CFE">
        <w:rPr>
          <w:spacing w:val="-6"/>
          <w:sz w:val="20"/>
          <w:szCs w:val="20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E62F6F" w:rsidRPr="007E7CFE">
        <w:rPr>
          <w:spacing w:val="-6"/>
          <w:sz w:val="20"/>
          <w:szCs w:val="20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 w:rsidR="00E62F6F" w:rsidRPr="007E7CFE">
        <w:rPr>
          <w:spacing w:val="-6"/>
          <w:sz w:val="20"/>
          <w:szCs w:val="20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="005466F7" w:rsidRPr="007E7CFE">
        <w:rPr>
          <w:spacing w:val="-6"/>
          <w:sz w:val="20"/>
          <w:szCs w:val="20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7E7CFE">
        <w:rPr>
          <w:spacing w:val="-6"/>
          <w:sz w:val="20"/>
          <w:szCs w:val="20"/>
        </w:rPr>
        <w:t xml:space="preserve"> </w:t>
      </w:r>
      <w:r w:rsidR="00E62F6F">
        <w:rPr>
          <w:spacing w:val="-6"/>
          <w:sz w:val="28"/>
          <w:szCs w:val="28"/>
        </w:rPr>
        <w:t xml:space="preserve">селянського </w:t>
      </w:r>
    </w:p>
    <w:p w:rsidR="005466F7" w:rsidRDefault="005466F7">
      <w:pPr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господарства (01.03) у  с.  </w:t>
      </w:r>
      <w:proofErr w:type="spellStart"/>
      <w:r>
        <w:rPr>
          <w:spacing w:val="-12"/>
          <w:sz w:val="28"/>
          <w:szCs w:val="28"/>
        </w:rPr>
        <w:t>Княги</w:t>
      </w:r>
      <w:r w:rsidR="009243BF">
        <w:rPr>
          <w:spacing w:val="-12"/>
          <w:sz w:val="28"/>
          <w:szCs w:val="28"/>
        </w:rPr>
        <w:t>нинок</w:t>
      </w:r>
      <w:proofErr w:type="spellEnd"/>
      <w:r>
        <w:rPr>
          <w:spacing w:val="-12"/>
          <w:sz w:val="32"/>
          <w:szCs w:val="32"/>
        </w:rPr>
        <w:t xml:space="preserve"> </w:t>
      </w:r>
      <w:r w:rsidR="009760E0">
        <w:rPr>
          <w:spacing w:val="-12"/>
          <w:sz w:val="28"/>
          <w:szCs w:val="28"/>
        </w:rPr>
        <w:t>Луцького</w:t>
      </w:r>
      <w:bookmarkStart w:id="0" w:name="_GoBack"/>
      <w:bookmarkEnd w:id="0"/>
      <w:r w:rsidR="009760E0">
        <w:rPr>
          <w:spacing w:val="-12"/>
          <w:sz w:val="28"/>
          <w:szCs w:val="28"/>
        </w:rPr>
        <w:t xml:space="preserve"> </w:t>
      </w:r>
    </w:p>
    <w:p w:rsidR="009760E0" w:rsidRPr="005466F7" w:rsidRDefault="009760E0">
      <w:pPr>
        <w:rPr>
          <w:spacing w:val="-6"/>
          <w:sz w:val="28"/>
          <w:szCs w:val="28"/>
        </w:rPr>
      </w:pPr>
      <w:r>
        <w:rPr>
          <w:spacing w:val="-12"/>
          <w:sz w:val="28"/>
          <w:szCs w:val="28"/>
        </w:rPr>
        <w:t>району Волинської області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ind w:firstLine="567"/>
        <w:jc w:val="both"/>
      </w:pPr>
      <w:r>
        <w:rPr>
          <w:sz w:val="28"/>
          <w:szCs w:val="28"/>
        </w:rPr>
        <w:t xml:space="preserve">Розглянувши заяву громадянина </w:t>
      </w:r>
      <w:proofErr w:type="spellStart"/>
      <w:r w:rsidR="005466F7">
        <w:rPr>
          <w:sz w:val="28"/>
          <w:szCs w:val="28"/>
        </w:rPr>
        <w:t>Михальчука</w:t>
      </w:r>
      <w:proofErr w:type="spellEnd"/>
      <w:r w:rsidR="005466F7">
        <w:rPr>
          <w:sz w:val="28"/>
          <w:szCs w:val="28"/>
        </w:rPr>
        <w:t xml:space="preserve"> Олександра Петровича</w:t>
      </w:r>
      <w:r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5466F7">
        <w:rPr>
          <w:spacing w:val="-6"/>
          <w:sz w:val="28"/>
          <w:szCs w:val="28"/>
        </w:rPr>
        <w:t>708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 xml:space="preserve">), площею </w:t>
      </w:r>
      <w:r w:rsidR="00DB6212">
        <w:rPr>
          <w:spacing w:val="-6"/>
          <w:sz w:val="28"/>
          <w:szCs w:val="28"/>
        </w:rPr>
        <w:t>0,6175</w:t>
      </w:r>
      <w:r w:rsidR="00997FB7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у</w:t>
      </w:r>
      <w:r w:rsidR="00CB52C8">
        <w:rPr>
          <w:sz w:val="28"/>
          <w:szCs w:val="28"/>
        </w:rPr>
        <w:t xml:space="preserve"> с. </w:t>
      </w:r>
      <w:proofErr w:type="spellStart"/>
      <w:r w:rsidR="00CB52C8">
        <w:rPr>
          <w:sz w:val="28"/>
          <w:szCs w:val="28"/>
        </w:rPr>
        <w:t>Княгининок</w:t>
      </w:r>
      <w:proofErr w:type="spellEnd"/>
      <w:r w:rsidR="00997FB7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703C88">
        <w:rPr>
          <w:color w:val="000000"/>
          <w:sz w:val="28"/>
          <w:szCs w:val="28"/>
        </w:rPr>
        <w:t>1</w:t>
      </w:r>
      <w:r w:rsidR="0060758C">
        <w:rPr>
          <w:color w:val="000000"/>
          <w:sz w:val="28"/>
          <w:szCs w:val="28"/>
        </w:rPr>
        <w:t>4.11.2024 № НВ-320132574</w:t>
      </w:r>
      <w:r>
        <w:rPr>
          <w:color w:val="000000"/>
          <w:sz w:val="28"/>
          <w:szCs w:val="28"/>
        </w:rPr>
        <w:t>2024,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6B3EFF">
        <w:rPr>
          <w:color w:val="000000"/>
          <w:spacing w:val="-6"/>
          <w:sz w:val="28"/>
          <w:szCs w:val="28"/>
        </w:rPr>
        <w:t>708</w:t>
      </w:r>
      <w:r>
        <w:rPr>
          <w:color w:val="000000"/>
          <w:sz w:val="28"/>
          <w:szCs w:val="28"/>
        </w:rPr>
        <w:t xml:space="preserve"> — </w:t>
      </w:r>
      <w:r>
        <w:rPr>
          <w:spacing w:val="-6"/>
          <w:sz w:val="28"/>
          <w:szCs w:val="28"/>
        </w:rPr>
        <w:t>багаторічні насадження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>
        <w:rPr>
          <w:sz w:val="28"/>
          <w:szCs w:val="28"/>
        </w:rPr>
        <w:t xml:space="preserve"> підпунктом 5 пункту 27 розділу Х </w:t>
      </w:r>
      <w:r>
        <w:rPr>
          <w:color w:val="000000"/>
          <w:sz w:val="28"/>
          <w:szCs w:val="28"/>
          <w:lang w:eastAsia="uk-UA"/>
        </w:rPr>
        <w:t>«</w:t>
      </w:r>
      <w:r>
        <w:rPr>
          <w:sz w:val="28"/>
          <w:szCs w:val="28"/>
        </w:rPr>
        <w:t xml:space="preserve"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постановою Кабінету Міністрів України </w:t>
      </w:r>
      <w:r w:rsidR="00BE1715">
        <w:rPr>
          <w:sz w:val="28"/>
          <w:szCs w:val="28"/>
        </w:rPr>
        <w:t xml:space="preserve">   </w:t>
      </w:r>
      <w:r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>
        <w:rPr>
          <w:rStyle w:val="a3"/>
          <w:b w:val="0"/>
          <w:bCs w:val="0"/>
          <w:sz w:val="28"/>
          <w:szCs w:val="28"/>
        </w:rPr>
        <w:t xml:space="preserve">громадянину </w:t>
      </w:r>
      <w:proofErr w:type="spellStart"/>
      <w:r w:rsidR="00AE29A7">
        <w:rPr>
          <w:sz w:val="28"/>
          <w:szCs w:val="28"/>
        </w:rPr>
        <w:t>Михальчуку</w:t>
      </w:r>
      <w:proofErr w:type="spellEnd"/>
      <w:r w:rsidR="00AE29A7">
        <w:rPr>
          <w:sz w:val="28"/>
          <w:szCs w:val="28"/>
        </w:rPr>
        <w:t xml:space="preserve"> Олександру Петровичу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 № 7</w:t>
      </w:r>
      <w:r w:rsidR="00AE29A7">
        <w:rPr>
          <w:sz w:val="28"/>
          <w:szCs w:val="28"/>
        </w:rPr>
        <w:t>08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 w:rsidR="00592404">
        <w:rPr>
          <w:sz w:val="28"/>
          <w:szCs w:val="28"/>
        </w:rPr>
        <w:t>), площею 0,6175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592404">
        <w:rPr>
          <w:sz w:val="28"/>
          <w:szCs w:val="28"/>
        </w:rPr>
        <w:t>номером 0722883700:08:000:024</w:t>
      </w:r>
      <w:r w:rsidR="00AE29A7">
        <w:rPr>
          <w:sz w:val="28"/>
          <w:szCs w:val="28"/>
        </w:rPr>
        <w:t>6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7B67F9">
        <w:rPr>
          <w:sz w:val="28"/>
          <w:szCs w:val="28"/>
        </w:rPr>
        <w:t xml:space="preserve">у с. </w:t>
      </w:r>
      <w:proofErr w:type="spellStart"/>
      <w:r w:rsidR="007B67F9">
        <w:rPr>
          <w:sz w:val="28"/>
          <w:szCs w:val="28"/>
        </w:rPr>
        <w:t>Княгининок</w:t>
      </w:r>
      <w:proofErr w:type="spellEnd"/>
      <w:r w:rsidR="007B67F9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AE29A7">
        <w:rPr>
          <w:sz w:val="28"/>
          <w:szCs w:val="28"/>
        </w:rPr>
        <w:t>708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громадянину </w:t>
      </w:r>
      <w:proofErr w:type="spellStart"/>
      <w:r w:rsidR="00AE29A7">
        <w:rPr>
          <w:sz w:val="28"/>
          <w:szCs w:val="28"/>
        </w:rPr>
        <w:t>Михальчуку</w:t>
      </w:r>
      <w:proofErr w:type="spellEnd"/>
      <w:r w:rsidR="00AE29A7">
        <w:rPr>
          <w:sz w:val="28"/>
          <w:szCs w:val="28"/>
        </w:rPr>
        <w:t xml:space="preserve"> Олександру Петровичу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592404">
        <w:rPr>
          <w:sz w:val="28"/>
          <w:szCs w:val="28"/>
        </w:rPr>
        <w:t>подарства (01.03), площею 0,6175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592404">
        <w:rPr>
          <w:sz w:val="28"/>
          <w:szCs w:val="28"/>
        </w:rPr>
        <w:t>им номером 0722883700:08:000:024</w:t>
      </w:r>
      <w:r w:rsidR="00AE29A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51F28">
        <w:rPr>
          <w:sz w:val="28"/>
          <w:szCs w:val="28"/>
        </w:rPr>
        <w:t xml:space="preserve">у с. </w:t>
      </w:r>
      <w:proofErr w:type="spellStart"/>
      <w:r w:rsidR="00A51F28">
        <w:rPr>
          <w:sz w:val="28"/>
          <w:szCs w:val="28"/>
        </w:rPr>
        <w:t>Княгининок</w:t>
      </w:r>
      <w:proofErr w:type="spellEnd"/>
      <w:r w:rsidR="00A51F28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>
        <w:rPr>
          <w:rStyle w:val="a3"/>
          <w:b w:val="0"/>
          <w:bCs w:val="0"/>
          <w:sz w:val="28"/>
          <w:szCs w:val="28"/>
        </w:rPr>
        <w:t xml:space="preserve">громадянина </w:t>
      </w:r>
      <w:proofErr w:type="spellStart"/>
      <w:r w:rsidR="00AE29A7">
        <w:rPr>
          <w:sz w:val="28"/>
          <w:szCs w:val="28"/>
        </w:rPr>
        <w:t>Михальчука</w:t>
      </w:r>
      <w:proofErr w:type="spellEnd"/>
      <w:r w:rsidR="00AE29A7">
        <w:rPr>
          <w:sz w:val="28"/>
          <w:szCs w:val="28"/>
        </w:rPr>
        <w:t xml:space="preserve"> Олександра Петровича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959F1"/>
    <w:rsid w:val="000C6350"/>
    <w:rsid w:val="000E0880"/>
    <w:rsid w:val="000E0EAA"/>
    <w:rsid w:val="00265C41"/>
    <w:rsid w:val="002E0495"/>
    <w:rsid w:val="00390F1A"/>
    <w:rsid w:val="003C2A4E"/>
    <w:rsid w:val="003C4726"/>
    <w:rsid w:val="00461B00"/>
    <w:rsid w:val="004B65CE"/>
    <w:rsid w:val="004E0DDA"/>
    <w:rsid w:val="00541FEE"/>
    <w:rsid w:val="005466F7"/>
    <w:rsid w:val="00592404"/>
    <w:rsid w:val="0060758C"/>
    <w:rsid w:val="00647B3E"/>
    <w:rsid w:val="006B3EFF"/>
    <w:rsid w:val="006C2C8B"/>
    <w:rsid w:val="00703C88"/>
    <w:rsid w:val="00730A20"/>
    <w:rsid w:val="00765C24"/>
    <w:rsid w:val="00773537"/>
    <w:rsid w:val="007B67F9"/>
    <w:rsid w:val="007E7CFE"/>
    <w:rsid w:val="008B083A"/>
    <w:rsid w:val="008B6E92"/>
    <w:rsid w:val="008D0892"/>
    <w:rsid w:val="008F0D85"/>
    <w:rsid w:val="009243BF"/>
    <w:rsid w:val="009760E0"/>
    <w:rsid w:val="00997FB7"/>
    <w:rsid w:val="00A51F28"/>
    <w:rsid w:val="00AC13E3"/>
    <w:rsid w:val="00AC229E"/>
    <w:rsid w:val="00AC4A61"/>
    <w:rsid w:val="00AE29A7"/>
    <w:rsid w:val="00AE42D4"/>
    <w:rsid w:val="00B22797"/>
    <w:rsid w:val="00BE1715"/>
    <w:rsid w:val="00CB52C8"/>
    <w:rsid w:val="00CC51C9"/>
    <w:rsid w:val="00D022DE"/>
    <w:rsid w:val="00DB6212"/>
    <w:rsid w:val="00E331A9"/>
    <w:rsid w:val="00E35ED4"/>
    <w:rsid w:val="00E62F6F"/>
    <w:rsid w:val="00EE4883"/>
    <w:rsid w:val="00EF11F6"/>
    <w:rsid w:val="00F05E33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2314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tanya_l</dc:creator>
  <dc:description/>
  <cp:lastModifiedBy>Пользователь</cp:lastModifiedBy>
  <cp:revision>303</cp:revision>
  <cp:lastPrinted>2024-11-21T13:58:00Z</cp:lastPrinted>
  <dcterms:created xsi:type="dcterms:W3CDTF">2021-10-20T11:59:00Z</dcterms:created>
  <dcterms:modified xsi:type="dcterms:W3CDTF">2024-11-21T14:03:00Z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