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ind w:left="5103" w:hanging="0"/>
        <w:contextualSpacing/>
        <w:rPr/>
      </w:pPr>
      <w:r>
        <w:rPr>
          <w:rFonts w:ascii="Times New Roman" w:hAnsi="Times New Roman"/>
          <w:sz w:val="28"/>
          <w:szCs w:val="28"/>
        </w:rPr>
        <w:t xml:space="preserve">Додаток </w:t>
      </w:r>
    </w:p>
    <w:p>
      <w:pPr>
        <w:pStyle w:val="Normal"/>
        <w:spacing w:before="0" w:after="0"/>
        <w:ind w:left="5103" w:hanging="0"/>
        <w:contextualSpacing/>
        <w:rPr/>
      </w:pPr>
      <w:r>
        <w:rPr>
          <w:rFonts w:ascii="Times New Roman" w:hAnsi="Times New Roman"/>
          <w:sz w:val="28"/>
          <w:szCs w:val="28"/>
        </w:rPr>
        <w:t>до рішення міської ради</w:t>
      </w:r>
    </w:p>
    <w:p>
      <w:pPr>
        <w:pStyle w:val="Normal"/>
        <w:spacing w:before="0" w:after="0"/>
        <w:ind w:left="5103" w:hanging="0"/>
        <w:contextualSpacing/>
        <w:rPr/>
      </w:pPr>
      <w:r>
        <w:rPr>
          <w:rFonts w:ascii="Times New Roman" w:hAnsi="Times New Roman"/>
          <w:sz w:val="28"/>
          <w:szCs w:val="28"/>
        </w:rPr>
        <w:t>______________  № _________</w:t>
      </w:r>
    </w:p>
    <w:p>
      <w:pPr>
        <w:pStyle w:val="Normal"/>
        <w:spacing w:before="0" w:after="0"/>
        <w:ind w:left="4248" w:firstLine="855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contextualSpacing/>
        <w:jc w:val="center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 w:bidi="ar-SA"/>
        </w:rPr>
        <w:t>ПРОГРАМА</w:t>
      </w:r>
    </w:p>
    <w:p>
      <w:pPr>
        <w:pStyle w:val="HTML1"/>
        <w:shd w:val="clear" w:color="auto" w:fill="FFFFFF"/>
        <w:suppressAutoHyphens w:val="true"/>
        <w:spacing w:before="0" w:after="0"/>
        <w:ind w:firstLine="709"/>
        <w:contextualSpacing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pacing w:val="-1"/>
          <w:sz w:val="28"/>
          <w:szCs w:val="28"/>
          <w:lang w:eastAsia="uk-UA" w:bidi="ar-SA"/>
        </w:rPr>
        <w:t xml:space="preserve">«Впровадження міжнародного проєкту </w:t>
      </w:r>
    </w:p>
    <w:p>
      <w:pPr>
        <w:pStyle w:val="HTML1"/>
        <w:shd w:val="clear" w:color="auto" w:fill="FFFFFF"/>
        <w:suppressAutoHyphens w:val="true"/>
        <w:spacing w:before="0" w:after="0"/>
        <w:ind w:firstLine="709"/>
        <w:contextualSpacing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pacing w:val="-1"/>
          <w:sz w:val="28"/>
          <w:szCs w:val="28"/>
          <w:lang w:eastAsia="uk-UA" w:bidi="ar-SA"/>
        </w:rPr>
        <w:t>“</w:t>
      </w:r>
      <w:r>
        <w:rPr>
          <w:rFonts w:eastAsia="Times New Roman" w:cs="Times New Roman" w:ascii="Times New Roman" w:hAnsi="Times New Roman"/>
          <w:b/>
          <w:bCs/>
          <w:color w:val="050505"/>
          <w:sz w:val="28"/>
          <w:szCs w:val="28"/>
          <w:lang w:eastAsia="uk-UA" w:bidi="ar-SA"/>
        </w:rPr>
        <w:t xml:space="preserve">Дике життя у великому місті: захист і промоція </w:t>
      </w:r>
    </w:p>
    <w:p>
      <w:pPr>
        <w:pStyle w:val="Normal"/>
        <w:jc w:val="center"/>
        <w:rPr/>
      </w:pPr>
      <w:r>
        <w:rPr>
          <w:rFonts w:eastAsia="Times New Roman" w:cs="Times New Roman" w:ascii="Times New Roman" w:hAnsi="Times New Roman"/>
          <w:b/>
          <w:bCs/>
          <w:color w:val="050505"/>
          <w:sz w:val="28"/>
          <w:szCs w:val="28"/>
          <w:lang w:eastAsia="uk-UA" w:bidi="ar-SA"/>
        </w:rPr>
        <w:t>дикої природи й біорізноманіття в Луцьку та Жешуві</w:t>
      </w:r>
      <w:r>
        <w:rPr>
          <w:rFonts w:eastAsia="Times New Roman" w:cs="Times New Roman" w:ascii="Times New Roman" w:hAnsi="Times New Roman"/>
          <w:b/>
          <w:bCs/>
          <w:color w:val="000000"/>
          <w:spacing w:val="-1"/>
          <w:sz w:val="28"/>
          <w:szCs w:val="28"/>
          <w:lang w:eastAsia="uk-UA" w:bidi="ar-SA"/>
        </w:rPr>
        <w:t>”</w:t>
        <w:br/>
      </w:r>
      <w:r>
        <w:rPr>
          <w:rFonts w:eastAsia="Times New Roman" w:cs="Times New Roman" w:ascii="Times New Roman" w:hAnsi="Times New Roman"/>
          <w:b/>
          <w:bCs/>
          <w:color w:val="000000"/>
          <w:spacing w:val="-1"/>
          <w:sz w:val="28"/>
          <w:szCs w:val="28"/>
          <w:lang w:eastAsia="ru-RU" w:bidi="ar-SA"/>
        </w:rPr>
        <w:t>на 2024–2026 роки</w:t>
      </w:r>
      <w:r>
        <w:rPr>
          <w:rFonts w:eastAsia="Times New Roman" w:cs="Times New Roman" w:ascii="Times New Roman" w:hAnsi="Times New Roman"/>
          <w:b/>
          <w:bCs/>
          <w:color w:val="000000"/>
          <w:spacing w:val="-1"/>
          <w:sz w:val="28"/>
          <w:szCs w:val="28"/>
          <w:lang w:eastAsia="uk-UA" w:bidi="ar-SA"/>
        </w:rPr>
        <w:t>»</w:t>
      </w:r>
    </w:p>
    <w:p>
      <w:pPr>
        <w:pStyle w:val="Normal"/>
        <w:spacing w:before="0" w:after="0"/>
        <w:contextualSpacing/>
        <w:jc w:val="center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eastAsia="ru-RU" w:bidi="ar-S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 w:bidi="ar-SA"/>
        </w:rPr>
      </w:r>
    </w:p>
    <w:p>
      <w:pPr>
        <w:pStyle w:val="Normal"/>
        <w:spacing w:before="0" w:after="0"/>
        <w:contextualSpacing/>
        <w:jc w:val="center"/>
        <w:rPr/>
      </w:pPr>
      <w:r>
        <w:rPr>
          <w:rFonts w:ascii="Times New Roman" w:hAnsi="Times New Roman"/>
          <w:b/>
          <w:bCs/>
          <w:sz w:val="28"/>
          <w:szCs w:val="28"/>
        </w:rPr>
        <w:t xml:space="preserve">ПАСПОРТ ПРОГРАМИ </w:t>
      </w:r>
    </w:p>
    <w:p>
      <w:pPr>
        <w:pStyle w:val="Normal"/>
        <w:spacing w:before="0" w:after="0"/>
        <w:contextualSpacing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tbl>
      <w:tblPr>
        <w:tblW w:w="9390" w:type="dxa"/>
        <w:jc w:val="left"/>
        <w:tblInd w:w="16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46"/>
        <w:gridCol w:w="3796"/>
        <w:gridCol w:w="4748"/>
      </w:tblGrid>
      <w:tr>
        <w:trPr/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  <w:p>
            <w:pPr>
              <w:pStyle w:val="Normal"/>
              <w:widowControl w:val="false"/>
              <w:spacing w:before="0"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contextualSpacing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Ініціатор розроблення Програми</w:t>
            </w:r>
          </w:p>
        </w:tc>
        <w:tc>
          <w:tcPr>
            <w:tcW w:w="4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contextualSpacing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bidi="ar-SA"/>
              </w:rPr>
              <w:t>Управління міжнародного співробітництва та проектної діяльності</w:t>
            </w:r>
          </w:p>
        </w:tc>
      </w:tr>
      <w:tr>
        <w:trPr>
          <w:trHeight w:val="934" w:hRule="atLeast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HTMLPreformatted"/>
              <w:widowControl w:val="false"/>
              <w:spacing w:before="0" w:after="0"/>
              <w:contextualSpacing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Розробник Програми</w:t>
            </w:r>
          </w:p>
          <w:p>
            <w:pPr>
              <w:pStyle w:val="HTMLPreformatted"/>
              <w:widowControl w:val="false"/>
              <w:spacing w:before="0" w:after="0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HTMLPreformatted"/>
              <w:widowControl w:val="false"/>
              <w:spacing w:before="0" w:after="0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4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contextualSpacing/>
              <w:rPr/>
            </w:pPr>
            <w:bookmarkStart w:id="0" w:name="__DdeLink__691_39028199011"/>
            <w:r>
              <w:rPr>
                <w:rFonts w:ascii="Times New Roman" w:hAnsi="Times New Roman"/>
                <w:sz w:val="28"/>
                <w:szCs w:val="28"/>
              </w:rPr>
              <w:t>Управління міжнародного співробітництва та проектної діяльності</w:t>
            </w:r>
            <w:bookmarkEnd w:id="0"/>
          </w:p>
        </w:tc>
      </w:tr>
      <w:tr>
        <w:trPr>
          <w:trHeight w:val="934" w:hRule="atLeast"/>
        </w:trPr>
        <w:tc>
          <w:tcPr>
            <w:tcW w:w="84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379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HTMLPreformatted"/>
              <w:widowControl w:val="false"/>
              <w:spacing w:before="0" w:after="0"/>
              <w:contextualSpacing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Співрозробники Програми</w:t>
            </w:r>
          </w:p>
        </w:tc>
        <w:tc>
          <w:tcPr>
            <w:tcW w:w="47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contextualSpacing/>
              <w:jc w:val="center"/>
              <w:rPr/>
            </w:pPr>
            <w:r>
              <w:rPr/>
              <w:t>–</w:t>
            </w:r>
          </w:p>
        </w:tc>
      </w:tr>
      <w:tr>
        <w:trPr/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contextualSpacing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Відповідальний виконавець Програми</w:t>
            </w:r>
          </w:p>
        </w:tc>
        <w:tc>
          <w:tcPr>
            <w:tcW w:w="4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contextualSpacing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Управління міжнародного співробітництва та проектної діяльності Луцької міської ради</w:t>
            </w:r>
          </w:p>
        </w:tc>
      </w:tr>
      <w:tr>
        <w:trPr/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contextualSpacing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Учасники Програми</w:t>
            </w:r>
          </w:p>
          <w:p>
            <w:pPr>
              <w:pStyle w:val="HTMLPreformatted"/>
              <w:widowControl w:val="false"/>
              <w:spacing w:before="0" w:after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4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Департамент містобудування, земельних ресурсів та реклами, відділ екології, департамент освіти, управління туризму та промоції міста, департамент житлово-комунального господарства</w:t>
            </w:r>
          </w:p>
        </w:tc>
      </w:tr>
      <w:tr>
        <w:trPr/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contextualSpacing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Термін реалізації Програми</w:t>
            </w:r>
          </w:p>
        </w:tc>
        <w:tc>
          <w:tcPr>
            <w:tcW w:w="4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contextualSpacing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2024–2026 роки</w:t>
            </w:r>
          </w:p>
        </w:tc>
      </w:tr>
      <w:tr>
        <w:trPr>
          <w:trHeight w:val="960" w:hRule="atLeast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contextualSpacing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Загальний обсяг фінансових ресурсів, необхідних для реалізації Програми, всього, у тому числі:</w:t>
            </w:r>
          </w:p>
        </w:tc>
        <w:tc>
          <w:tcPr>
            <w:tcW w:w="4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100" w:leader="none"/>
              </w:tabs>
              <w:spacing w:before="0" w:after="0"/>
              <w:ind w:right="-113" w:hanging="0"/>
              <w:contextualSpacing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50 518,0 тис. грн</w:t>
            </w:r>
          </w:p>
        </w:tc>
      </w:tr>
      <w:tr>
        <w:trPr>
          <w:trHeight w:val="330" w:hRule="atLeast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7.1.</w:t>
            </w: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contextualSpacing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коштів бюджету міської громади</w:t>
            </w:r>
          </w:p>
        </w:tc>
        <w:tc>
          <w:tcPr>
            <w:tcW w:w="4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100" w:leader="none"/>
              </w:tabs>
              <w:spacing w:before="0" w:after="0"/>
              <w:ind w:right="-113" w:hanging="0"/>
              <w:contextualSpacing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4 906,0 тис. грн</w:t>
            </w:r>
          </w:p>
        </w:tc>
      </w:tr>
      <w:tr>
        <w:trPr>
          <w:trHeight w:val="330" w:hRule="atLeast"/>
        </w:trPr>
        <w:tc>
          <w:tcPr>
            <w:tcW w:w="84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7.2.</w:t>
            </w:r>
          </w:p>
        </w:tc>
        <w:tc>
          <w:tcPr>
            <w:tcW w:w="379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contextualSpacing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коштів інших джерел</w:t>
            </w:r>
          </w:p>
        </w:tc>
        <w:tc>
          <w:tcPr>
            <w:tcW w:w="47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100" w:leader="none"/>
              </w:tabs>
              <w:spacing w:before="0" w:after="0"/>
              <w:ind w:right="-113" w:hanging="0"/>
              <w:contextualSpacing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45 612,0 тис. грн</w:t>
            </w:r>
          </w:p>
        </w:tc>
      </w:tr>
      <w:tr>
        <w:trPr>
          <w:trHeight w:val="330" w:hRule="atLeast"/>
        </w:trPr>
        <w:tc>
          <w:tcPr>
            <w:tcW w:w="846" w:type="dxa"/>
            <w:tcBorders/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widowControl w:val="false"/>
              <w:snapToGrid w:val="false"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796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0" w:after="0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4748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100" w:leader="none"/>
              </w:tabs>
              <w:spacing w:before="0" w:after="0"/>
              <w:ind w:right="-113" w:hanging="0"/>
              <w:contextualSpacing/>
              <w:rPr/>
            </w:pPr>
            <w:r>
              <w:rPr/>
            </w:r>
          </w:p>
        </w:tc>
      </w:tr>
      <w:tr>
        <w:trPr>
          <w:trHeight w:val="330" w:hRule="atLeast"/>
        </w:trPr>
        <w:tc>
          <w:tcPr>
            <w:tcW w:w="4642" w:type="dxa"/>
            <w:gridSpan w:val="2"/>
            <w:tcBorders/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Секретар міської ради</w:t>
              <w:tab/>
            </w:r>
          </w:p>
          <w:p>
            <w:pPr>
              <w:pStyle w:val="Normal"/>
              <w:widowControl w:val="false"/>
              <w:snapToGrid w:val="false"/>
              <w:spacing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widowControl w:val="false"/>
              <w:snapToGrid w:val="false"/>
              <w:spacing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widowControl w:val="false"/>
              <w:snapToGrid w:val="false"/>
              <w:spacing w:before="0" w:after="0"/>
              <w:contextualSpacing/>
              <w:jc w:val="both"/>
              <w:rPr/>
            </w:pPr>
            <w:r>
              <w:rPr>
                <w:rFonts w:ascii="Times New Roman" w:hAnsi="Times New Roman"/>
              </w:rPr>
              <w:t>Вінцюк 777 995</w:t>
            </w:r>
          </w:p>
        </w:tc>
        <w:tc>
          <w:tcPr>
            <w:tcW w:w="4748" w:type="dxa"/>
            <w:tcBorders/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100" w:leader="none"/>
              </w:tabs>
              <w:spacing w:before="0" w:after="0"/>
              <w:ind w:right="-113" w:hanging="0"/>
              <w:contextualSpacing/>
              <w:jc w:val="right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Юрій БЕЗПЯТКО</w:t>
            </w:r>
          </w:p>
        </w:tc>
      </w:tr>
      <w:tr>
        <w:trPr>
          <w:trHeight w:val="330" w:hRule="atLeast"/>
        </w:trPr>
        <w:tc>
          <w:tcPr>
            <w:tcW w:w="846" w:type="dxa"/>
            <w:tcBorders/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jc w:val="center"/>
              <w:rPr/>
            </w:pPr>
            <w:r>
              <w:rPr/>
            </w:r>
          </w:p>
        </w:tc>
        <w:tc>
          <w:tcPr>
            <w:tcW w:w="3796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0" w:after="0"/>
              <w:contextualSpacing/>
              <w:rPr/>
            </w:pPr>
            <w:r>
              <w:rPr/>
            </w:r>
          </w:p>
        </w:tc>
        <w:tc>
          <w:tcPr>
            <w:tcW w:w="4748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100" w:leader="none"/>
              </w:tabs>
              <w:spacing w:before="0" w:after="0"/>
              <w:ind w:right="-113" w:hanging="0"/>
              <w:contextualSpacing/>
              <w:rPr/>
            </w:pPr>
            <w:r>
              <w:rPr/>
            </w:r>
          </w:p>
        </w:tc>
      </w:tr>
    </w:tbl>
    <w:p>
      <w:pPr>
        <w:sectPr>
          <w:type w:val="nextPage"/>
          <w:pgSz w:w="11906" w:h="16838"/>
          <w:pgMar w:left="1985" w:right="567" w:header="0" w:top="567" w:footer="0" w:bottom="1701" w:gutter="0"/>
          <w:pgNumType w:start="1" w:fmt="decimal"/>
          <w:formProt w:val="false"/>
          <w:textDirection w:val="lrTb"/>
          <w:docGrid w:type="default" w:linePitch="100" w:charSpace="0"/>
        </w:sectPr>
      </w:pPr>
    </w:p>
    <w:p>
      <w:pPr>
        <w:pStyle w:val="Normal"/>
        <w:spacing w:before="0" w:after="0"/>
        <w:ind w:left="9581" w:hanging="0"/>
        <w:contextualSpacing/>
        <w:jc w:val="both"/>
        <w:rPr/>
      </w:pPr>
      <w:r>
        <w:rPr>
          <w:rFonts w:ascii="Times New Roman" w:hAnsi="Times New Roman"/>
          <w:color w:val="000000"/>
          <w:sz w:val="28"/>
          <w:szCs w:val="28"/>
        </w:rPr>
        <w:t>Додаток 1</w:t>
      </w:r>
    </w:p>
    <w:p>
      <w:pPr>
        <w:pStyle w:val="Normal"/>
        <w:ind w:left="9581" w:hanging="0"/>
        <w:jc w:val="both"/>
        <w:rPr/>
      </w:pPr>
      <w:r>
        <w:rPr>
          <w:rFonts w:ascii="Times New Roman" w:hAnsi="Times New Roman"/>
          <w:color w:val="000000"/>
          <w:sz w:val="28"/>
          <w:szCs w:val="28"/>
        </w:rPr>
        <w:t xml:space="preserve">до Програми </w:t>
      </w:r>
      <w:r>
        <w:rPr>
          <w:rFonts w:ascii="Times New Roman" w:hAnsi="Times New Roman"/>
          <w:color w:val="000000"/>
          <w:spacing w:val="-1"/>
          <w:sz w:val="28"/>
          <w:szCs w:val="28"/>
          <w:lang w:eastAsia="uk-UA"/>
        </w:rPr>
        <w:t>«</w:t>
      </w:r>
      <w:r>
        <w:rPr>
          <w:rFonts w:cs="Times New Roman" w:ascii="Times New Roman" w:hAnsi="Times New Roman"/>
          <w:color w:val="000000"/>
          <w:spacing w:val="-1"/>
          <w:sz w:val="28"/>
          <w:szCs w:val="28"/>
          <w:lang w:eastAsia="uk-UA"/>
        </w:rPr>
        <w:t>Впровадження міжнародного проєкту “</w:t>
      </w:r>
      <w:r>
        <w:rPr>
          <w:rFonts w:cs="Times New Roman" w:ascii="Times New Roman" w:hAnsi="Times New Roman"/>
          <w:color w:val="050505"/>
          <w:sz w:val="28"/>
          <w:szCs w:val="28"/>
          <w:lang w:eastAsia="uk-UA"/>
        </w:rPr>
        <w:t>Дике життя у великому місті: захист і промоція дикої природи й біорізноманіття в Луцьку та Жешуві</w:t>
      </w:r>
      <w:r>
        <w:rPr>
          <w:rFonts w:cs="Times New Roman" w:ascii="Times New Roman" w:hAnsi="Times New Roman"/>
          <w:color w:val="000000"/>
          <w:spacing w:val="-1"/>
          <w:sz w:val="28"/>
          <w:szCs w:val="28"/>
          <w:lang w:eastAsia="uk-UA"/>
        </w:rPr>
        <w:t>” на 2024–2026 роки»</w:t>
      </w:r>
    </w:p>
    <w:p>
      <w:pPr>
        <w:pStyle w:val="Normal"/>
        <w:ind w:left="9581" w:hanging="0"/>
        <w:jc w:val="both"/>
        <w:rPr>
          <w:rFonts w:ascii="Times New Roman" w:hAnsi="Times New Roman" w:cs="Times New Roman"/>
          <w:bCs/>
          <w:color w:val="000000"/>
          <w:spacing w:val="-1"/>
          <w:lang w:eastAsia="uk-UA"/>
        </w:rPr>
      </w:pPr>
      <w:r>
        <w:rPr>
          <w:rFonts w:cs="Times New Roman" w:ascii="Times New Roman" w:hAnsi="Times New Roman"/>
          <w:bCs/>
          <w:color w:val="000000"/>
          <w:spacing w:val="-1"/>
          <w:lang w:eastAsia="uk-UA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Ресурсне забезпечення </w:t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b/>
          <w:bCs/>
          <w:color w:val="000000"/>
          <w:spacing w:val="-1"/>
          <w:sz w:val="28"/>
          <w:szCs w:val="28"/>
          <w:lang w:eastAsia="uk-UA"/>
        </w:rPr>
        <w:t>Програми «Впровадження міжнародного проєкту “</w:t>
      </w:r>
      <w:r>
        <w:rPr>
          <w:rFonts w:cs="Times New Roman" w:ascii="Times New Roman" w:hAnsi="Times New Roman"/>
          <w:b/>
          <w:bCs/>
          <w:color w:val="050505"/>
          <w:sz w:val="28"/>
          <w:szCs w:val="28"/>
          <w:lang w:eastAsia="uk-UA"/>
        </w:rPr>
        <w:t>Дике життя у великому місті: захист і промоція</w:t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b/>
          <w:bCs/>
          <w:color w:val="050505"/>
          <w:sz w:val="28"/>
          <w:szCs w:val="28"/>
          <w:lang w:eastAsia="uk-UA"/>
        </w:rPr>
        <w:t>дикої природи й біорізноманіття в Луцьку та Жешуві</w:t>
      </w:r>
      <w:r>
        <w:rPr>
          <w:rFonts w:cs="Times New Roman" w:ascii="Times New Roman" w:hAnsi="Times New Roman"/>
          <w:b/>
          <w:bCs/>
          <w:color w:val="000000"/>
          <w:spacing w:val="-1"/>
          <w:sz w:val="28"/>
          <w:szCs w:val="28"/>
          <w:lang w:eastAsia="uk-UA"/>
        </w:rPr>
        <w:t>” на 2024–2026 роки»</w:t>
      </w:r>
    </w:p>
    <w:p>
      <w:pPr>
        <w:pStyle w:val="Normal"/>
        <w:shd w:val="clear" w:color="auto" w:fill="FFFFFF"/>
        <w:tabs>
          <w:tab w:val="clear" w:pos="709"/>
          <w:tab w:val="left" w:pos="100" w:leader="none"/>
        </w:tabs>
        <w:spacing w:lineRule="exact" w:line="317"/>
        <w:ind w:right="14" w:hanging="0"/>
        <w:jc w:val="center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tbl>
      <w:tblPr>
        <w:tblW w:w="15063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05"/>
        <w:gridCol w:w="2413"/>
        <w:gridCol w:w="2883"/>
        <w:gridCol w:w="2769"/>
        <w:gridCol w:w="2729"/>
        <w:gridCol w:w="3663"/>
      </w:tblGrid>
      <w:tr>
        <w:trPr>
          <w:trHeight w:val="1278" w:hRule="atLeast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left="-113" w:right="-113" w:hanging="0"/>
              <w:jc w:val="center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№</w:t>
            </w:r>
          </w:p>
          <w:p>
            <w:pPr>
              <w:pStyle w:val="Normal"/>
              <w:widowControl w:val="false"/>
              <w:ind w:left="-113" w:right="-113" w:hanging="0"/>
              <w:jc w:val="center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з/п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left="-113" w:right="-113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color w:val="000000"/>
              </w:rPr>
              <w:t>Обсяг коштів, які планується залучити на виконання Програми</w:t>
            </w:r>
          </w:p>
        </w:tc>
        <w:tc>
          <w:tcPr>
            <w:tcW w:w="2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І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color w:val="000000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lang w:val="en-US"/>
              </w:rPr>
              <w:t xml:space="preserve">4 </w:t>
            </w:r>
            <w:r>
              <w:rPr>
                <w:rFonts w:ascii="Times New Roman" w:hAnsi="Times New Roman"/>
                <w:bCs/>
                <w:color w:val="000000"/>
              </w:rPr>
              <w:t>рік</w:t>
            </w:r>
          </w:p>
        </w:tc>
        <w:tc>
          <w:tcPr>
            <w:tcW w:w="2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ІІ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color w:val="000000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lang w:val="en-US"/>
              </w:rPr>
              <w:t xml:space="preserve">5 </w:t>
            </w:r>
            <w:r>
              <w:rPr>
                <w:rFonts w:ascii="Times New Roman" w:hAnsi="Times New Roman"/>
                <w:bCs/>
                <w:color w:val="000000"/>
              </w:rPr>
              <w:t>рік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ІІІ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color w:val="000000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lang w:val="en-US"/>
              </w:rPr>
              <w:t>6</w:t>
            </w:r>
            <w:r>
              <w:rPr>
                <w:rFonts w:ascii="Times New Roman" w:hAnsi="Times New Roman"/>
                <w:bCs/>
                <w:color w:val="000000"/>
              </w:rPr>
              <w:t xml:space="preserve"> рік</w:t>
            </w:r>
          </w:p>
        </w:tc>
        <w:tc>
          <w:tcPr>
            <w:tcW w:w="3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Cs/>
                <w:color w:val="000000"/>
              </w:rPr>
              <w:t>Усього витрат на виконання Програми</w:t>
            </w:r>
          </w:p>
        </w:tc>
      </w:tr>
      <w:tr>
        <w:trPr>
          <w:trHeight w:val="475" w:hRule="atLeast"/>
        </w:trPr>
        <w:tc>
          <w:tcPr>
            <w:tcW w:w="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1.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100" w:leader="none"/>
              </w:tabs>
              <w:snapToGrid w:val="false"/>
              <w:ind w:left="-113" w:right="-113" w:hanging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</w:p>
        </w:tc>
        <w:tc>
          <w:tcPr>
            <w:tcW w:w="2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100" w:leader="none"/>
              </w:tabs>
              <w:ind w:right="-113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color w:val="000000"/>
              </w:rPr>
              <w:t>(тис. грн)</w:t>
            </w:r>
          </w:p>
        </w:tc>
        <w:tc>
          <w:tcPr>
            <w:tcW w:w="2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100" w:leader="none"/>
              </w:tabs>
              <w:ind w:right="-113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color w:val="000000"/>
              </w:rPr>
              <w:t>(тис. грн)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100" w:leader="none"/>
              </w:tabs>
              <w:ind w:right="-113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color w:val="000000"/>
              </w:rPr>
              <w:t>(тис. грн)</w:t>
            </w:r>
          </w:p>
        </w:tc>
        <w:tc>
          <w:tcPr>
            <w:tcW w:w="3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/>
            </w:pPr>
            <w:r>
              <w:rPr>
                <w:rFonts w:ascii="Times New Roman" w:hAnsi="Times New Roman"/>
                <w:bCs/>
                <w:color w:val="000000"/>
              </w:rPr>
              <w:t>(тис. грн)</w:t>
            </w:r>
          </w:p>
        </w:tc>
      </w:tr>
      <w:tr>
        <w:trPr>
          <w:trHeight w:val="152" w:hRule="atLeast"/>
        </w:trPr>
        <w:tc>
          <w:tcPr>
            <w:tcW w:w="60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left="-113" w:right="-113" w:hanging="0"/>
              <w:jc w:val="center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13" w:hanging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Обсяг фінансових ресурсів загалом, у тому числі:</w:t>
            </w:r>
          </w:p>
        </w:tc>
        <w:tc>
          <w:tcPr>
            <w:tcW w:w="2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508,0</w:t>
            </w:r>
          </w:p>
        </w:tc>
        <w:tc>
          <w:tcPr>
            <w:tcW w:w="2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/>
            </w:pPr>
            <w:r>
              <w:rPr>
                <w:rFonts w:ascii="Times New Roman" w:hAnsi="Times New Roman"/>
                <w:bCs/>
              </w:rPr>
              <w:t>26 115,0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>
                <w:highlight w:val="yellow"/>
              </w:rPr>
            </w:pPr>
            <w:r>
              <w:rPr>
                <w:rFonts w:ascii="Times New Roman" w:hAnsi="Times New Roman"/>
                <w:bCs/>
              </w:rPr>
              <w:t>23 895,0</w:t>
            </w:r>
          </w:p>
        </w:tc>
        <w:tc>
          <w:tcPr>
            <w:tcW w:w="3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/>
            </w:pPr>
            <w:r>
              <w:rPr>
                <w:rFonts w:ascii="Times New Roman" w:hAnsi="Times New Roman"/>
              </w:rPr>
              <w:t>50 518,0</w:t>
            </w:r>
          </w:p>
        </w:tc>
      </w:tr>
      <w:tr>
        <w:trPr>
          <w:trHeight w:val="491" w:hRule="atLeast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113" w:right="-113" w:hanging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2.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13" w:hanging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кошти бюджету Луцької міської територіальної громади</w:t>
            </w:r>
          </w:p>
        </w:tc>
        <w:tc>
          <w:tcPr>
            <w:tcW w:w="2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/>
            </w:pPr>
            <w:r>
              <w:rPr>
                <w:rFonts w:ascii="Times New Roman" w:hAnsi="Times New Roman"/>
                <w:bCs/>
              </w:rPr>
              <w:t>476,0</w:t>
            </w:r>
          </w:p>
        </w:tc>
        <w:tc>
          <w:tcPr>
            <w:tcW w:w="2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/>
            </w:pPr>
            <w:r>
              <w:rPr>
                <w:rFonts w:ascii="Times New Roman" w:hAnsi="Times New Roman"/>
                <w:bCs/>
              </w:rPr>
              <w:t>2 530,0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/>
            </w:pPr>
            <w:r>
              <w:rPr>
                <w:rFonts w:ascii="Times New Roman" w:hAnsi="Times New Roman"/>
                <w:bCs/>
              </w:rPr>
              <w:t>1 900,0</w:t>
            </w:r>
          </w:p>
        </w:tc>
        <w:tc>
          <w:tcPr>
            <w:tcW w:w="3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/>
            </w:pPr>
            <w:r>
              <w:rPr>
                <w:rFonts w:ascii="Times New Roman" w:hAnsi="Times New Roman"/>
              </w:rPr>
              <w:t>4 906,0</w:t>
            </w:r>
          </w:p>
        </w:tc>
      </w:tr>
      <w:tr>
        <w:trPr>
          <w:trHeight w:val="587" w:hRule="atLeast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113" w:right="-113" w:hanging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3.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13" w:hanging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кошти інших джерел</w:t>
            </w:r>
          </w:p>
        </w:tc>
        <w:tc>
          <w:tcPr>
            <w:tcW w:w="2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/>
            </w:pPr>
            <w:r>
              <w:rPr>
                <w:rFonts w:ascii="Times New Roman" w:hAnsi="Times New Roman"/>
                <w:bCs/>
              </w:rPr>
              <w:t>32,0</w:t>
            </w:r>
          </w:p>
        </w:tc>
        <w:tc>
          <w:tcPr>
            <w:tcW w:w="2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/>
            </w:pPr>
            <w:r>
              <w:rPr>
                <w:rFonts w:ascii="Times New Roman" w:hAnsi="Times New Roman"/>
                <w:bCs/>
              </w:rPr>
              <w:t>23 585,0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>
                <w:highlight w:val="yellow"/>
              </w:rPr>
            </w:pPr>
            <w:r>
              <w:rPr>
                <w:rFonts w:ascii="Times New Roman" w:hAnsi="Times New Roman"/>
                <w:bCs/>
              </w:rPr>
              <w:t>21 995,0</w:t>
            </w:r>
          </w:p>
        </w:tc>
        <w:tc>
          <w:tcPr>
            <w:tcW w:w="3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/>
            </w:pPr>
            <w:r>
              <w:rPr>
                <w:rFonts w:ascii="Times New Roman" w:hAnsi="Times New Roman"/>
              </w:rPr>
              <w:t>45 612,0</w:t>
            </w:r>
          </w:p>
        </w:tc>
      </w:tr>
    </w:tbl>
    <w:p>
      <w:pPr>
        <w:pStyle w:val="Normal"/>
        <w:shd w:val="clear" w:color="auto" w:fill="FFFFFF"/>
        <w:tabs>
          <w:tab w:val="clear" w:pos="709"/>
          <w:tab w:val="left" w:pos="100" w:leader="none"/>
        </w:tabs>
        <w:spacing w:lineRule="exact" w:line="317"/>
        <w:ind w:right="14" w:hanging="0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jc w:val="both"/>
        <w:rPr>
          <w:rFonts w:cs="Times New Roman"/>
          <w:color w:val="000000"/>
          <w:spacing w:val="-1"/>
          <w:lang w:eastAsia="uk-UA"/>
        </w:rPr>
      </w:pPr>
      <w:r>
        <w:rPr>
          <w:rFonts w:cs="Times New Roman"/>
          <w:color w:val="000000"/>
          <w:spacing w:val="-1"/>
          <w:lang w:eastAsia="uk-UA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pacing w:val="-1"/>
          <w:lang w:eastAsia="uk-UA"/>
        </w:rPr>
        <w:t>Вінцюк 777 995</w:t>
      </w:r>
      <w:r>
        <w:br w:type="page"/>
      </w:r>
    </w:p>
    <w:p>
      <w:pPr>
        <w:pStyle w:val="Normal"/>
        <w:tabs>
          <w:tab w:val="clear" w:pos="709"/>
          <w:tab w:val="left" w:pos="5580" w:leader="none"/>
        </w:tabs>
        <w:ind w:left="7767" w:firstLine="181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Додаток 2</w:t>
      </w:r>
    </w:p>
    <w:p>
      <w:pPr>
        <w:pStyle w:val="Normal"/>
        <w:tabs>
          <w:tab w:val="clear" w:pos="709"/>
          <w:tab w:val="left" w:pos="5580" w:leader="none"/>
        </w:tabs>
        <w:ind w:left="9581" w:hanging="0"/>
        <w:jc w:val="both"/>
        <w:rPr/>
      </w:pPr>
      <w:r>
        <w:rPr>
          <w:rFonts w:ascii="Times New Roman" w:hAnsi="Times New Roman"/>
          <w:color w:val="000000"/>
          <w:sz w:val="28"/>
          <w:szCs w:val="28"/>
        </w:rPr>
        <w:t xml:space="preserve">до Програми </w:t>
      </w:r>
      <w:r>
        <w:rPr>
          <w:rFonts w:ascii="Times New Roman" w:hAnsi="Times New Roman"/>
          <w:color w:val="000000"/>
          <w:spacing w:val="-1"/>
          <w:sz w:val="28"/>
          <w:szCs w:val="28"/>
          <w:lang w:eastAsia="uk-UA"/>
        </w:rPr>
        <w:t>«</w:t>
      </w:r>
      <w:r>
        <w:rPr>
          <w:rFonts w:cs="Times New Roman" w:ascii="Times New Roman" w:hAnsi="Times New Roman"/>
          <w:bCs/>
          <w:color w:val="000000"/>
          <w:spacing w:val="-1"/>
          <w:sz w:val="28"/>
          <w:szCs w:val="28"/>
          <w:lang w:eastAsia="uk-UA"/>
        </w:rPr>
        <w:t>Впровадження міжнародного проєкту “</w:t>
      </w:r>
      <w:r>
        <w:rPr>
          <w:rFonts w:cs="Times New Roman" w:ascii="Times New Roman" w:hAnsi="Times New Roman"/>
          <w:bCs/>
          <w:color w:val="050505"/>
          <w:sz w:val="28"/>
          <w:szCs w:val="28"/>
          <w:lang w:eastAsia="uk-UA"/>
        </w:rPr>
        <w:t>Дике життя у великому місті: захист і промоція дикої природи й біорізноманіття в Луцьку та Жешуві</w:t>
      </w:r>
      <w:r>
        <w:rPr>
          <w:rFonts w:cs="Times New Roman" w:ascii="Times New Roman" w:hAnsi="Times New Roman"/>
          <w:bCs/>
          <w:color w:val="000000"/>
          <w:spacing w:val="-1"/>
          <w:sz w:val="28"/>
          <w:szCs w:val="28"/>
          <w:lang w:eastAsia="uk-UA"/>
        </w:rPr>
        <w:t>” на 2024–2026 роки»</w:t>
      </w:r>
    </w:p>
    <w:p>
      <w:pPr>
        <w:pStyle w:val="Normal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Normal"/>
        <w:ind w:left="680" w:hanging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Перелік завдань, заходів та результативні показники </w:t>
      </w:r>
    </w:p>
    <w:p>
      <w:pPr>
        <w:pStyle w:val="Normal"/>
        <w:ind w:left="680" w:hanging="0"/>
        <w:jc w:val="center"/>
        <w:rPr/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Програми </w:t>
      </w:r>
      <w:r>
        <w:rPr>
          <w:rFonts w:ascii="Times New Roman" w:hAnsi="Times New Roman"/>
          <w:b/>
          <w:bCs/>
          <w:color w:val="000000"/>
          <w:spacing w:val="-1"/>
          <w:sz w:val="28"/>
          <w:szCs w:val="28"/>
          <w:lang w:eastAsia="uk-UA"/>
        </w:rPr>
        <w:t>«</w:t>
      </w:r>
      <w:r>
        <w:rPr>
          <w:rFonts w:cs="Times New Roman" w:ascii="Times New Roman" w:hAnsi="Times New Roman"/>
          <w:b/>
          <w:bCs/>
          <w:color w:val="000000"/>
          <w:spacing w:val="-1"/>
          <w:sz w:val="28"/>
          <w:szCs w:val="28"/>
          <w:lang w:eastAsia="uk-UA"/>
        </w:rPr>
        <w:t>Впровадження міжнародного проєкту “</w:t>
      </w:r>
      <w:r>
        <w:rPr>
          <w:rFonts w:cs="Times New Roman" w:ascii="Times New Roman" w:hAnsi="Times New Roman"/>
          <w:b/>
          <w:bCs/>
          <w:color w:val="050505"/>
          <w:sz w:val="28"/>
          <w:szCs w:val="28"/>
          <w:lang w:eastAsia="uk-UA"/>
        </w:rPr>
        <w:t>Дике життя у великому місті: захист і промоція</w:t>
      </w:r>
    </w:p>
    <w:p>
      <w:pPr>
        <w:pStyle w:val="Normal"/>
        <w:ind w:left="680" w:hanging="0"/>
        <w:jc w:val="center"/>
        <w:rPr/>
      </w:pPr>
      <w:r>
        <w:rPr>
          <w:rFonts w:cs="Times New Roman" w:ascii="Times New Roman" w:hAnsi="Times New Roman"/>
          <w:b/>
          <w:bCs/>
          <w:color w:val="050505"/>
          <w:sz w:val="28"/>
          <w:szCs w:val="28"/>
          <w:lang w:eastAsia="uk-UA"/>
        </w:rPr>
        <w:t>дикої природи й біорізноманіття в Луцьку та Жешуві</w:t>
      </w:r>
      <w:r>
        <w:rPr>
          <w:rFonts w:cs="Times New Roman" w:ascii="Times New Roman" w:hAnsi="Times New Roman"/>
          <w:b/>
          <w:bCs/>
          <w:color w:val="000000"/>
          <w:spacing w:val="-1"/>
          <w:sz w:val="28"/>
          <w:szCs w:val="28"/>
          <w:lang w:eastAsia="uk-UA"/>
        </w:rPr>
        <w:t>” на 2024–2026 роки»</w:t>
      </w:r>
    </w:p>
    <w:p>
      <w:pPr>
        <w:pStyle w:val="Normal"/>
        <w:ind w:left="680" w:hanging="0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tbl>
      <w:tblPr>
        <w:tblW w:w="15190" w:type="dxa"/>
        <w:jc w:val="left"/>
        <w:tblInd w:w="48" w:type="dxa"/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86"/>
        <w:gridCol w:w="2006"/>
        <w:gridCol w:w="2347"/>
        <w:gridCol w:w="2390"/>
        <w:gridCol w:w="1838"/>
        <w:gridCol w:w="1850"/>
        <w:gridCol w:w="2221"/>
        <w:gridCol w:w="1950"/>
      </w:tblGrid>
      <w:tr>
        <w:trPr/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left="72" w:hanging="1"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>№</w:t>
            </w:r>
          </w:p>
          <w:p>
            <w:pPr>
              <w:pStyle w:val="Normal"/>
              <w:widowControl w:val="false"/>
              <w:ind w:left="72" w:hanging="1"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>з/п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>Завдання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Назва заходу</w:t>
            </w:r>
          </w:p>
        </w:tc>
        <w:tc>
          <w:tcPr>
            <w:tcW w:w="2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>Виконавці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>Терміни виконання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>Джерела фінансування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>Орієнтовні обсяги фінансування,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>тис. грн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>Планові результатив-ні показники</w:t>
            </w:r>
          </w:p>
        </w:tc>
      </w:tr>
      <w:tr>
        <w:trPr>
          <w:trHeight w:val="1695" w:hRule="atLeast"/>
        </w:trPr>
        <w:tc>
          <w:tcPr>
            <w:tcW w:w="5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1.</w:t>
            </w:r>
          </w:p>
        </w:tc>
        <w:tc>
          <w:tcPr>
            <w:tcW w:w="20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</w:rPr>
              <w:t>Створення природного парку на березі річки Стир</w:t>
            </w:r>
          </w:p>
        </w:tc>
        <w:tc>
          <w:tcPr>
            <w:tcW w:w="23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495" w:leader="none"/>
              </w:tabs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Розробка проєктної документації (ландшафтний дизайн, ПКД),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495" w:leader="none"/>
              </w:tabs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виконання робіт зі створення (будівництва) природного парку</w:t>
            </w:r>
          </w:p>
        </w:tc>
        <w:tc>
          <w:tcPr>
            <w:tcW w:w="23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53" w:hang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Управління міжнародного співробітництва та проектної діяльності, д</w:t>
            </w:r>
            <w:r>
              <w:rPr>
                <w:rFonts w:ascii="Times New Roman" w:hAnsi="Times New Roman"/>
              </w:rPr>
              <w:t>епартамент містобудування, земельних ресурсів та реклами, відділ екології, управління туризму та промоції міста, департамент житлово-комунального господарства</w:t>
            </w:r>
          </w:p>
        </w:tc>
        <w:tc>
          <w:tcPr>
            <w:tcW w:w="18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53" w:hanging="1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2024 – 2026 роки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Бюджет Луцької міської територіальної громади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2024 рік – </w:t>
            </w:r>
            <w:r>
              <w:rPr>
                <w:rFonts w:ascii="Times New Roman" w:hAnsi="Times New Roman"/>
                <w:color w:val="000000"/>
              </w:rPr>
              <w:t>400,0</w:t>
            </w:r>
          </w:p>
          <w:p>
            <w:pPr>
              <w:pStyle w:val="Normal"/>
              <w:widowControl w:val="false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>2025 рік – 2 500</w:t>
            </w:r>
            <w:r>
              <w:rPr>
                <w:rFonts w:ascii="Times New Roman" w:hAnsi="Times New Roman"/>
                <w:lang w:val="en-US"/>
              </w:rPr>
              <w:t>,0</w:t>
            </w:r>
          </w:p>
          <w:p>
            <w:pPr>
              <w:pStyle w:val="Normal"/>
              <w:widowControl w:val="false"/>
              <w:spacing w:before="0" w:after="0"/>
              <w:contextualSpacing/>
              <w:rPr/>
            </w:pPr>
            <w:r>
              <w:rPr>
                <w:rFonts w:ascii="Times New Roman" w:hAnsi="Times New Roman"/>
                <w:color w:val="000000"/>
              </w:rPr>
              <w:t>2026 рік – 1 900,0</w:t>
            </w:r>
          </w:p>
        </w:tc>
        <w:tc>
          <w:tcPr>
            <w:tcW w:w="19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495" w:leader="none"/>
              </w:tabs>
              <w:rPr/>
            </w:pPr>
            <w:r>
              <w:rPr>
                <w:rFonts w:ascii="Times New Roman" w:hAnsi="Times New Roman"/>
                <w:color w:val="000000"/>
              </w:rPr>
              <w:t>Створено природний парк на березі річки Стир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</w:tr>
      <w:tr>
        <w:trPr>
          <w:trHeight w:val="1216" w:hRule="atLeast"/>
        </w:trPr>
        <w:tc>
          <w:tcPr>
            <w:tcW w:w="58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00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3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495" w:leader="none"/>
              </w:tabs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39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53" w:hanging="1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83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53" w:hanging="1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Грантові кошти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>2025 рік – 20 </w:t>
            </w:r>
            <w:r>
              <w:rPr>
                <w:rFonts w:ascii="Times New Roman" w:hAnsi="Times New Roman"/>
                <w:lang w:val="en-US"/>
              </w:rPr>
              <w:t>0</w:t>
            </w:r>
            <w:r>
              <w:rPr>
                <w:rFonts w:ascii="Times New Roman" w:hAnsi="Times New Roman"/>
              </w:rPr>
              <w:t>00,0</w:t>
            </w:r>
          </w:p>
          <w:p>
            <w:pPr>
              <w:pStyle w:val="Normal"/>
              <w:widowControl w:val="false"/>
              <w:spacing w:before="0" w:after="0"/>
              <w:contextualSpacing/>
              <w:rPr/>
            </w:pPr>
            <w:r>
              <w:rPr>
                <w:rFonts w:ascii="Times New Roman" w:hAnsi="Times New Roman"/>
                <w:color w:val="000000"/>
              </w:rPr>
              <w:t>2026 рік – 18 900,0</w:t>
            </w:r>
          </w:p>
          <w:p>
            <w:pPr>
              <w:pStyle w:val="Normal"/>
              <w:widowControl w:val="false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widowControl w:val="false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95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</w:tr>
      <w:tr>
        <w:trPr>
          <w:trHeight w:val="1695" w:hRule="atLeast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2.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/>
            </w:pPr>
            <w:r>
              <w:rPr>
                <w:rFonts w:cs="Times New Roman" w:ascii="Times New Roman" w:hAnsi="Times New Roman"/>
                <w:color w:val="000000"/>
              </w:rPr>
              <w:t>Розробка Концепції збереження природних об'єктів, заказників та об'єктів Смарагдової мережі у м. Луцьку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495" w:leader="none"/>
              </w:tabs>
              <w:snapToGrid w:val="false"/>
              <w:jc w:val="both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color w:val="000000"/>
              </w:rPr>
              <w:t>Розробка Концепції, організація прийомів експертів із Жешува, які консультуватимуть з питань розробки концепції</w:t>
            </w:r>
          </w:p>
        </w:tc>
        <w:tc>
          <w:tcPr>
            <w:tcW w:w="2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53" w:hanging="1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Управління міжнародного співробітництва та проектної діяльності, департамент містобудування, земельних ресурсів та реклами, відділ екології, управління туризму та промоції міста,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</w:t>
            </w:r>
            <w:r>
              <w:rPr>
                <w:rFonts w:ascii="Times New Roman" w:hAnsi="Times New Roman"/>
                <w:color w:val="000000"/>
              </w:rPr>
              <w:t>епартамент житлово-комунального господарства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53" w:hanging="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2024 – 2025 роки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Грантові кошти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>2024 рік – 0,00</w:t>
            </w:r>
          </w:p>
          <w:p>
            <w:pPr>
              <w:pStyle w:val="Normal"/>
              <w:widowControl w:val="false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>2025 рік – 1 300,0</w:t>
            </w:r>
          </w:p>
          <w:p>
            <w:pPr>
              <w:pStyle w:val="Normal"/>
              <w:widowControl w:val="false"/>
              <w:spacing w:before="0" w:after="0"/>
              <w:contextualSpacing/>
              <w:rPr>
                <w:rFonts w:ascii="Times New Roman" w:hAnsi="Times New Roman"/>
                <w:b/>
                <w:b/>
                <w:bCs/>
              </w:rPr>
            </w:pPr>
            <w:r>
              <w:rPr>
                <w:rFonts w:ascii="Times New Roman" w:hAnsi="Times New Roman"/>
              </w:rPr>
              <w:t>2026 рік – 1 000,0</w:t>
            </w:r>
          </w:p>
          <w:p>
            <w:pPr>
              <w:pStyle w:val="Normal"/>
              <w:widowControl w:val="false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360" w:leader="none"/>
                <w:tab w:val="left" w:pos="900" w:leader="none"/>
              </w:tabs>
              <w:jc w:val="both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color w:val="000000"/>
                <w:spacing w:val="-1"/>
                <w:lang w:eastAsia="uk-UA"/>
              </w:rPr>
              <w:t>Отримано план дій щодо збереження та розвитку природних об'єктів, заказників, територій Смарагдової мережі у місті Луцьку у вигляді програмного документа</w:t>
            </w:r>
          </w:p>
        </w:tc>
      </w:tr>
      <w:tr>
        <w:trPr>
          <w:trHeight w:val="1695" w:hRule="atLeast"/>
        </w:trPr>
        <w:tc>
          <w:tcPr>
            <w:tcW w:w="5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3.</w:t>
            </w:r>
          </w:p>
        </w:tc>
        <w:tc>
          <w:tcPr>
            <w:tcW w:w="20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Реалізація просвітницьких і промоційних транскордонних заходів</w:t>
            </w:r>
          </w:p>
          <w:p>
            <w:pPr>
              <w:pStyle w:val="Normal"/>
              <w:widowControl w:val="false"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 xml:space="preserve">Проведення Транскордонної вікторини на знання про природу,  Смарагдову мережу та </w:t>
            </w:r>
            <w:r>
              <w:rPr>
                <w:rFonts w:cs="Times New Roman" w:ascii="Times New Roman" w:hAnsi="Times New Roman"/>
                <w:color w:val="000000"/>
                <w:lang w:val="en-US"/>
              </w:rPr>
              <w:t>Natura</w:t>
            </w:r>
            <w:r>
              <w:rPr>
                <w:rFonts w:cs="Times New Roman" w:ascii="Times New Roman" w:hAnsi="Times New Roman"/>
                <w:color w:val="000000"/>
              </w:rPr>
              <w:t xml:space="preserve"> 2000 у Луцьку (півфінал), участь школярів у фіналі вікторини у Жешуві (витрати на міжнародне перевезення)</w:t>
            </w:r>
          </w:p>
          <w:p>
            <w:pPr>
              <w:pStyle w:val="Normal"/>
              <w:widowControl w:val="false"/>
              <w:snapToGrid w:val="false"/>
              <w:jc w:val="both"/>
              <w:rPr/>
            </w:pPr>
            <w:r>
              <w:rPr/>
            </w:r>
          </w:p>
        </w:tc>
        <w:tc>
          <w:tcPr>
            <w:tcW w:w="23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53" w:hang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Управління міжнародного співробітництва та проектної діяльності,</w:t>
            </w:r>
          </w:p>
          <w:p>
            <w:pPr>
              <w:pStyle w:val="Normal"/>
              <w:widowControl w:val="false"/>
              <w:ind w:left="-53" w:hang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департамент освіти, департамент містобудування, земельних ресурсів та реклами, відділ екології, управління туризму та промоції міста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53" w:hanging="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2025 рік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Грантові кошти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</w:rPr>
              <w:t>2025 рік – 200,0</w:t>
            </w:r>
          </w:p>
        </w:tc>
        <w:tc>
          <w:tcPr>
            <w:tcW w:w="19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Проведено просвітницькі та промоційні заходи. П</w:t>
            </w:r>
            <w:r>
              <w:rPr>
                <w:rFonts w:cs="Courier New" w:ascii="Times New Roman" w:hAnsi="Times New Roman"/>
                <w:color w:val="000000"/>
                <w:spacing w:val="-1"/>
                <w:lang w:eastAsia="ru-RU"/>
              </w:rPr>
              <w:t>ідвищено обізнаність різних категорій населення про дику природу та біорізноманіття</w:t>
            </w:r>
            <w:r>
              <w:rPr>
                <w:rFonts w:cs="Courier New" w:ascii="Times New Roman" w:hAnsi="Times New Roman"/>
                <w:color w:val="000000"/>
                <w:spacing w:val="-1"/>
                <w:sz w:val="20"/>
                <w:szCs w:val="20"/>
                <w:lang w:eastAsia="ru-RU"/>
              </w:rPr>
              <w:t>,</w:t>
            </w:r>
            <w:r>
              <w:rPr>
                <w:rFonts w:cs="Courier New" w:ascii="Times New Roman" w:hAnsi="Times New Roman"/>
                <w:color w:val="000000"/>
                <w:spacing w:val="-1"/>
                <w:lang w:eastAsia="ru-RU"/>
              </w:rPr>
              <w:t xml:space="preserve"> мережу </w:t>
            </w:r>
            <w:r>
              <w:rPr>
                <w:rFonts w:cs="Times New Roman" w:ascii="Times New Roman" w:hAnsi="Times New Roman"/>
                <w:color w:val="000000"/>
                <w:spacing w:val="-1"/>
                <w:lang w:val="en-US" w:eastAsia="uk-UA"/>
              </w:rPr>
              <w:t>Natura</w:t>
            </w:r>
            <w:r>
              <w:rPr>
                <w:rFonts w:cs="Times New Roman" w:ascii="Times New Roman" w:hAnsi="Times New Roman"/>
                <w:color w:val="000000"/>
                <w:spacing w:val="-1"/>
                <w:lang w:eastAsia="uk-UA"/>
              </w:rPr>
              <w:t xml:space="preserve"> 2000, Смарагдову мережу</w:t>
            </w:r>
          </w:p>
        </w:tc>
      </w:tr>
      <w:tr>
        <w:trPr>
          <w:trHeight w:val="1695" w:hRule="atLeast"/>
        </w:trPr>
        <w:tc>
          <w:tcPr>
            <w:tcW w:w="58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00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3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Проведення просвітницької транскордонної кампанії: </w:t>
            </w:r>
            <w:r>
              <w:rPr>
                <w:rFonts w:cs="Times New Roman" w:ascii="Times New Roman" w:hAnsi="Times New Roman"/>
                <w:color w:val="000000"/>
              </w:rPr>
              <w:t>розробка пазлів для вихованців дитсадочків,</w:t>
            </w:r>
          </w:p>
          <w:p>
            <w:pPr>
              <w:pStyle w:val="Normal"/>
              <w:widowControl w:val="false"/>
              <w:snapToGrid w:val="false"/>
              <w:jc w:val="both"/>
              <w:rPr/>
            </w:pPr>
            <w:r>
              <w:rPr>
                <w:rFonts w:cs="Times New Roman" w:ascii="Times New Roman" w:hAnsi="Times New Roman"/>
                <w:color w:val="000000"/>
              </w:rPr>
              <w:t>розробка настільної гри для школярів, створення (адаптація) та поширення онлайн вікторини та електронних постерів</w:t>
            </w:r>
          </w:p>
        </w:tc>
        <w:tc>
          <w:tcPr>
            <w:tcW w:w="239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53" w:hanging="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</w:rPr>
              <w:t xml:space="preserve">2025 – 2026 роки 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</w:rPr>
            </w:pPr>
            <w:r>
              <w:rPr>
                <w:rFonts w:ascii="Times New Roman" w:hAnsi="Times New Roman"/>
                <w:color w:val="000000"/>
              </w:rPr>
              <w:t>Бюджет Луцької міської територіальної громади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</w:rPr>
            </w:pPr>
            <w:r>
              <w:rPr>
                <w:rFonts w:ascii="Times New Roman" w:hAnsi="Times New Roman"/>
              </w:rPr>
              <w:t>2025 рік – 30,0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95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1695" w:hRule="atLeast"/>
        </w:trPr>
        <w:tc>
          <w:tcPr>
            <w:tcW w:w="58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00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3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495" w:leader="none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9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53" w:hanging="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3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Грантові кошти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</w:rPr>
              <w:t>2025 рік – 63,0</w:t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</w:rPr>
              <w:t>2026 рік – 385,0</w:t>
            </w:r>
          </w:p>
        </w:tc>
        <w:tc>
          <w:tcPr>
            <w:tcW w:w="195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113" w:hRule="atLeast"/>
        </w:trPr>
        <w:tc>
          <w:tcPr>
            <w:tcW w:w="58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00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495" w:leader="none"/>
              </w:tabs>
              <w:rPr/>
            </w:pPr>
            <w:r>
              <w:rPr>
                <w:rFonts w:ascii="Times New Roman" w:hAnsi="Times New Roman"/>
              </w:rPr>
              <w:t>Проведення зеленого пікніка: дискусії під відкритим небом, майстер класи, тур на каяках</w:t>
            </w:r>
          </w:p>
        </w:tc>
        <w:tc>
          <w:tcPr>
            <w:tcW w:w="239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53" w:hanging="1"/>
              <w:jc w:val="center"/>
              <w:rPr/>
            </w:pPr>
            <w:r>
              <w:rPr>
                <w:rFonts w:ascii="Times New Roman" w:hAnsi="Times New Roman"/>
              </w:rPr>
              <w:t>2026 рік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Грантові кошти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highlight w:val="yellow"/>
              </w:rPr>
            </w:pPr>
            <w:r>
              <w:rPr>
                <w:rFonts w:ascii="Times New Roman" w:hAnsi="Times New Roman"/>
              </w:rPr>
              <w:t>2026 рік – 210,0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847" w:hRule="atLeast"/>
        </w:trPr>
        <w:tc>
          <w:tcPr>
            <w:tcW w:w="5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4.</w:t>
            </w:r>
          </w:p>
        </w:tc>
        <w:tc>
          <w:tcPr>
            <w:tcW w:w="20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Реалізація заходів із запозичення досвіду,</w:t>
            </w:r>
          </w:p>
          <w:p>
            <w:pPr>
              <w:pStyle w:val="Normal"/>
              <w:widowControl w:val="false"/>
              <w:snapToGrid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візуалізації,</w:t>
            </w:r>
          </w:p>
          <w:p>
            <w:pPr>
              <w:pStyle w:val="Normal"/>
              <w:widowControl w:val="false"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адміністрування проєкту</w:t>
            </w:r>
          </w:p>
          <w:p>
            <w:pPr>
              <w:pStyle w:val="Normal"/>
              <w:widowControl w:val="false"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napToGrid w:val="false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3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495" w:leader="none"/>
              </w:tabs>
              <w:rPr/>
            </w:pPr>
            <w:r>
              <w:rPr>
                <w:rFonts w:ascii="Times New Roman" w:hAnsi="Times New Roman"/>
              </w:rPr>
              <w:t>Участь у стартовій зустрічі в Жешуві, участь у Конференції для експертів «Кращий досвід збереження та розвитку природних об’єктів, заповідників і територій Natura 2000 та Смарагдової мережі» в Жешуві (</w:t>
            </w:r>
            <w:r>
              <w:rPr>
                <w:rFonts w:cs="Times New Roman" w:ascii="Times New Roman" w:hAnsi="Times New Roman"/>
                <w:color w:val="000000"/>
              </w:rPr>
              <w:t>витрати на міжнародне перевезення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23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53" w:hang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Управління міжнародного співробітництва та проектної діяльності, д</w:t>
            </w:r>
            <w:r>
              <w:rPr>
                <w:rFonts w:ascii="Times New Roman" w:hAnsi="Times New Roman"/>
              </w:rPr>
              <w:t>епартамент містобудування, земельних ресурсів та реклами, відділ екології, управління туризму та промоції міста, департамент житлово-комунального господарства Луцької міської ради</w:t>
            </w:r>
          </w:p>
        </w:tc>
        <w:tc>
          <w:tcPr>
            <w:tcW w:w="18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53" w:hanging="1"/>
              <w:jc w:val="center"/>
              <w:rPr/>
            </w:pPr>
            <w:r>
              <w:rPr>
                <w:rFonts w:ascii="Times New Roman" w:hAnsi="Times New Roman"/>
              </w:rPr>
              <w:t>2024 – 2025 роки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Бюджет Луцької міської територіальної громади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</w:rPr>
              <w:t>2024 рік – 36,0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highlight w:val="red"/>
              </w:rPr>
            </w:pPr>
            <w:r>
              <w:rPr>
                <w:rFonts w:ascii="Times New Roman" w:hAnsi="Times New Roman"/>
                <w:highlight w:val="red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highlight w:val="red"/>
              </w:rPr>
            </w:pPr>
            <w:r>
              <w:rPr>
                <w:rFonts w:ascii="Times New Roman" w:hAnsi="Times New Roman"/>
                <w:highlight w:val="red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highlight w:val="red"/>
              </w:rPr>
            </w:pPr>
            <w:r>
              <w:rPr>
                <w:rFonts w:ascii="Times New Roman" w:hAnsi="Times New Roman"/>
                <w:highlight w:val="red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9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360" w:leader="none"/>
                <w:tab w:val="left" w:pos="900" w:leader="none"/>
              </w:tabs>
              <w:jc w:val="both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color w:val="000000"/>
                <w:spacing w:val="-1"/>
                <w:lang w:eastAsia="uk-UA"/>
              </w:rPr>
              <w:t>Покращено компетенції та підвищено кваліфікацію фахівців</w:t>
            </w:r>
          </w:p>
        </w:tc>
      </w:tr>
      <w:tr>
        <w:trPr>
          <w:trHeight w:val="847" w:hRule="atLeast"/>
        </w:trPr>
        <w:tc>
          <w:tcPr>
            <w:tcW w:w="58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200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/>
            </w:r>
          </w:p>
        </w:tc>
        <w:tc>
          <w:tcPr>
            <w:tcW w:w="23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495" w:leader="none"/>
              </w:tabs>
              <w:rPr/>
            </w:pPr>
            <w:r>
              <w:rPr/>
            </w:r>
          </w:p>
        </w:tc>
        <w:tc>
          <w:tcPr>
            <w:tcW w:w="239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53" w:hanging="1"/>
              <w:rPr/>
            </w:pPr>
            <w:r>
              <w:rPr/>
            </w:r>
          </w:p>
        </w:tc>
        <w:tc>
          <w:tcPr>
            <w:tcW w:w="183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53" w:hanging="1"/>
              <w:jc w:val="center"/>
              <w:rPr/>
            </w:pPr>
            <w:r>
              <w:rPr/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Грантові кошти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</w:rPr>
              <w:t>2025 рік – 72,0</w:t>
            </w:r>
          </w:p>
        </w:tc>
        <w:tc>
          <w:tcPr>
            <w:tcW w:w="195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360" w:leader="none"/>
                <w:tab w:val="left" w:pos="900" w:leader="none"/>
              </w:tabs>
              <w:jc w:val="both"/>
              <w:rPr/>
            </w:pPr>
            <w:r>
              <w:rPr/>
            </w:r>
          </w:p>
        </w:tc>
      </w:tr>
      <w:tr>
        <w:trPr>
          <w:trHeight w:val="2826" w:hRule="atLeast"/>
        </w:trPr>
        <w:tc>
          <w:tcPr>
            <w:tcW w:w="58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00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495" w:leader="none"/>
              </w:tabs>
              <w:rPr/>
            </w:pPr>
            <w:r>
              <w:rPr>
                <w:rFonts w:ascii="Times New Roman" w:hAnsi="Times New Roman"/>
              </w:rPr>
              <w:t>Розробка логотипу проєкту, дизайну кампанії; розробка та виготовлення промоційних матеріалів; виготовлення відео проєкту, інформаційних (пам’ятних) дошок</w:t>
            </w:r>
          </w:p>
        </w:tc>
        <w:tc>
          <w:tcPr>
            <w:tcW w:w="239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53" w:hanging="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53" w:hanging="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2024 – 2026 роки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Грантові кошти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</w:rPr>
              <w:t>2024 рік – 32,0</w:t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</w:rPr>
              <w:t>2025 рік – 350,0</w:t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</w:rPr>
              <w:t>2026 рік – 200,0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>Забезпечено промоцію проєкту та його результатів</w:t>
            </w:r>
          </w:p>
        </w:tc>
      </w:tr>
      <w:tr>
        <w:trPr>
          <w:trHeight w:val="1695" w:hRule="atLeast"/>
        </w:trPr>
        <w:tc>
          <w:tcPr>
            <w:tcW w:w="58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00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495" w:leader="none"/>
              </w:tabs>
              <w:rPr/>
            </w:pPr>
            <w:r>
              <w:rPr>
                <w:rFonts w:ascii="Times New Roman" w:hAnsi="Times New Roman"/>
              </w:rPr>
              <w:t>Управління проєктом (заробітна плата персоналу проєкту, витрати на транспорт, проживання, харчування персоналу проєкту під час візитів до м. Жешув), адміністративні витрати</w:t>
            </w:r>
          </w:p>
        </w:tc>
        <w:tc>
          <w:tcPr>
            <w:tcW w:w="239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53" w:hanging="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53" w:hanging="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2024 – 2026 роки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</w:rPr>
              <w:t xml:space="preserve">Бюджет </w:t>
            </w:r>
            <w:r>
              <w:rPr>
                <w:rFonts w:ascii="Times New Roman" w:hAnsi="Times New Roman"/>
                <w:color w:val="000000"/>
              </w:rPr>
              <w:t>Луцької міської територіальної громади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</w:rPr>
              <w:t>2024 рік – 40,0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widowControl w:val="false"/>
              <w:spacing w:before="0" w:after="0"/>
              <w:contextualSpacing/>
              <w:rPr/>
            </w:pPr>
            <w:r>
              <w:rPr/>
            </w:r>
          </w:p>
          <w:p>
            <w:pPr>
              <w:pStyle w:val="Normal"/>
              <w:widowControl w:val="false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9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Забезпечено ефективну координацію проєкту та реалізацію заходів для досягнення цілей проєкту</w:t>
            </w:r>
          </w:p>
        </w:tc>
      </w:tr>
      <w:tr>
        <w:trPr>
          <w:trHeight w:val="1483" w:hRule="atLeast"/>
        </w:trPr>
        <w:tc>
          <w:tcPr>
            <w:tcW w:w="58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00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495" w:leader="none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9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53" w:hanging="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3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53" w:hanging="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Грантові кошти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>2024 рік – 0,00</w:t>
            </w:r>
          </w:p>
          <w:p>
            <w:pPr>
              <w:pStyle w:val="Normal"/>
              <w:widowControl w:val="false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2025 рік – </w:t>
            </w:r>
            <w:r>
              <w:rPr>
                <w:rFonts w:ascii="Times New Roman" w:hAnsi="Times New Roman"/>
                <w:color w:val="000000"/>
              </w:rPr>
              <w:t>1 600,0</w:t>
            </w:r>
          </w:p>
          <w:p>
            <w:pPr>
              <w:pStyle w:val="Normal"/>
              <w:widowControl w:val="false"/>
              <w:spacing w:before="0" w:after="0"/>
              <w:contextualSpacing/>
              <w:rPr/>
            </w:pPr>
            <w:r>
              <w:rPr>
                <w:rFonts w:ascii="Times New Roman" w:hAnsi="Times New Roman"/>
                <w:color w:val="000000"/>
              </w:rPr>
              <w:t>2026 рік – 1 300,0</w:t>
            </w:r>
          </w:p>
        </w:tc>
        <w:tc>
          <w:tcPr>
            <w:tcW w:w="195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450" w:hRule="atLeast"/>
        </w:trPr>
        <w:tc>
          <w:tcPr>
            <w:tcW w:w="91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>
                <w:rFonts w:ascii="Times New Roman" w:hAnsi="Times New Roman"/>
                <w:color w:val="000000"/>
              </w:rPr>
              <w:t>Всього: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Бюджет Луцької міської територіальної громади</w:t>
            </w:r>
          </w:p>
        </w:tc>
        <w:tc>
          <w:tcPr>
            <w:tcW w:w="4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100" w:leader="none"/>
              </w:tabs>
              <w:ind w:left="-113" w:right="-113" w:hanging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 xml:space="preserve">  </w:t>
            </w:r>
            <w:r>
              <w:rPr>
                <w:rFonts w:ascii="Times New Roman" w:hAnsi="Times New Roman"/>
              </w:rPr>
              <w:t>4 906,0</w:t>
            </w:r>
          </w:p>
        </w:tc>
      </w:tr>
      <w:tr>
        <w:trPr>
          <w:trHeight w:val="450" w:hRule="atLeast"/>
        </w:trPr>
        <w:tc>
          <w:tcPr>
            <w:tcW w:w="91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Грантові кошти</w:t>
            </w:r>
          </w:p>
        </w:tc>
        <w:tc>
          <w:tcPr>
            <w:tcW w:w="4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100" w:leader="none"/>
              </w:tabs>
              <w:ind w:right="-113" w:hanging="0"/>
              <w:rPr>
                <w:rFonts w:ascii="Times New Roman" w:hAnsi="Times New Roman"/>
                <w:b/>
                <w:b/>
                <w:bCs/>
                <w:highlight w:val="yellow"/>
              </w:rPr>
            </w:pPr>
            <w:r>
              <w:rPr>
                <w:rFonts w:ascii="Times New Roman" w:hAnsi="Times New Roman"/>
              </w:rPr>
              <w:t>45 612,0</w:t>
            </w:r>
          </w:p>
        </w:tc>
      </w:tr>
    </w:tbl>
    <w:p>
      <w:pPr>
        <w:pStyle w:val="Normal"/>
        <w:spacing w:before="0" w:after="0"/>
        <w:ind w:left="851" w:hanging="0"/>
        <w:contextualSpacing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spacing w:before="0" w:after="0"/>
        <w:ind w:left="851" w:hanging="0"/>
        <w:contextualSpacing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spacing w:before="0" w:after="0"/>
        <w:contextualSpacing/>
        <w:jc w:val="both"/>
        <w:rPr/>
      </w:pPr>
      <w:r>
        <w:rPr>
          <w:rFonts w:ascii="Times New Roman" w:hAnsi="Times New Roman"/>
          <w:color w:val="000000"/>
        </w:rPr>
        <w:t>Вінцюк 777 995</w:t>
      </w:r>
    </w:p>
    <w:sectPr>
      <w:headerReference w:type="default" r:id="rId2"/>
      <w:type w:val="nextPage"/>
      <w:pgSz w:orient="landscape" w:w="16838" w:h="11906"/>
      <w:pgMar w:left="1134" w:right="567" w:header="0" w:top="1701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Wingdings">
    <w:charset w:val="cc"/>
    <w:family w:val="roman"/>
    <w:pitch w:val="variable"/>
  </w:font>
  <w:font w:name="Segoe UI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center"/>
      <w:rPr/>
    </w:pPr>
    <w:r>
      <w:rPr/>
    </w:r>
  </w:p>
  <w:p>
    <w:pPr>
      <w:pStyle w:val="Normal"/>
      <w:jc w:val="center"/>
      <w:rPr/>
    </w:pPr>
    <w:r>
      <w:rPr/>
    </w:r>
  </w:p>
  <w:p>
    <w:pPr>
      <w:pStyle w:val="Normal"/>
      <w:jc w:val="center"/>
      <w:rPr/>
    </w:pPr>
    <w:r>
      <w:rPr/>
    </w:r>
  </w:p>
  <w:p>
    <w:pPr>
      <w:pStyle w:val="Normal"/>
      <w:jc w:val="center"/>
      <w:rPr/>
    </w:pPr>
    <w:r>
      <w:rPr/>
    </w:r>
  </w:p>
  <w:p>
    <w:pPr>
      <w:pStyle w:val="Normal"/>
      <w:jc w:val="center"/>
      <w:rPr/>
    </w:pPr>
    <w:r>
      <w:rPr>
        <w:rFonts w:ascii="Times New Roman" w:hAnsi="Times New Roman"/>
        <w:sz w:val="28"/>
        <w:szCs w:val="28"/>
      </w:rPr>
      <w:fldChar w:fldCharType="begin"/>
    </w:r>
    <w:r>
      <w:rPr>
        <w:sz w:val="28"/>
        <w:szCs w:val="28"/>
        <w:rFonts w:ascii="Times New Roman" w:hAnsi="Times New Roman"/>
      </w:rPr>
      <w:instrText> PAGE </w:instrText>
    </w:r>
    <w:r>
      <w:rPr>
        <w:sz w:val="28"/>
        <w:szCs w:val="28"/>
        <w:rFonts w:ascii="Times New Roman" w:hAnsi="Times New Roman"/>
      </w:rPr>
      <w:fldChar w:fldCharType="separate"/>
    </w:r>
    <w:r>
      <w:rPr>
        <w:sz w:val="28"/>
        <w:szCs w:val="28"/>
        <w:rFonts w:ascii="Times New Roman" w:hAnsi="Times New Roman"/>
      </w:rPr>
      <w:t>7</w:t>
    </w:r>
    <w:r>
      <w:rPr>
        <w:sz w:val="28"/>
        <w:szCs w:val="28"/>
        <w:rFonts w:ascii="Times New Roman" w:hAnsi="Times New Roman"/>
      </w:rPr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2"/>
    <w:compatSetting w:name="useWord2013TrackBottomHyphenation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Style21"/>
    <w:next w:val="Style22"/>
    <w:uiPriority w:val="9"/>
    <w:qFormat/>
    <w:pPr>
      <w:numPr>
        <w:ilvl w:val="0"/>
        <w:numId w:val="1"/>
      </w:numPr>
      <w:outlineLvl w:val="0"/>
    </w:pPr>
    <w:rPr>
      <w:rFonts w:ascii="Liberation Serif" w:hAnsi="Liberation Serif" w:eastAsia="NSimSun"/>
      <w:b/>
      <w:bCs/>
      <w:sz w:val="48"/>
      <w:szCs w:val="48"/>
    </w:rPr>
  </w:style>
  <w:style w:type="paragraph" w:styleId="2">
    <w:name w:val="Heading 2"/>
    <w:basedOn w:val="Normal"/>
    <w:next w:val="Normal"/>
    <w:uiPriority w:val="9"/>
    <w:semiHidden/>
    <w:unhideWhenUsed/>
    <w:qFormat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2z0" w:customStyle="1">
    <w:name w:val="WW8Num2z0"/>
    <w:qFormat/>
    <w:rPr>
      <w:rFonts w:ascii="Times New Roman" w:hAnsi="Times New Roman" w:cs="Times New Roman"/>
      <w:b/>
      <w:color w:val="000000"/>
      <w:sz w:val="28"/>
      <w:szCs w:val="28"/>
      <w:lang w:val="uk-UA"/>
    </w:rPr>
  </w:style>
  <w:style w:type="character" w:styleId="Style12">
    <w:name w:val="Гіперпосилання"/>
    <w:rPr>
      <w:color w:val="0000FF"/>
      <w:u w:val="single"/>
    </w:rPr>
  </w:style>
  <w:style w:type="character" w:styleId="Style13">
    <w:name w:val="Виділення"/>
    <w:qFormat/>
    <w:rPr>
      <w:i/>
      <w:iCs/>
    </w:rPr>
  </w:style>
  <w:style w:type="character" w:styleId="Style14" w:customStyle="1">
    <w:name w:val="Маркери списку"/>
    <w:qFormat/>
    <w:rPr>
      <w:rFonts w:ascii="OpenSymbol" w:hAnsi="OpenSymbol" w:eastAsia="OpenSymbol" w:cs="OpenSymbol"/>
    </w:rPr>
  </w:style>
  <w:style w:type="character" w:styleId="Style15" w:customStyle="1">
    <w:name w:val="Виділення жирним"/>
    <w:qFormat/>
    <w:rPr>
      <w:b/>
      <w:bCs/>
    </w:rPr>
  </w:style>
  <w:style w:type="character" w:styleId="Style16" w:customStyle="1">
    <w:name w:val="Символ нумерації"/>
    <w:qFormat/>
    <w:rPr/>
  </w:style>
  <w:style w:type="character" w:styleId="WW8Num1z0" w:customStyle="1">
    <w:name w:val="WW8Num1z0"/>
    <w:qFormat/>
    <w:rPr>
      <w:rFonts w:ascii="Wingdings" w:hAnsi="Wingdings" w:cs="OpenSymbol;Arial Unicode MS"/>
      <w:sz w:val="28"/>
      <w:szCs w:val="28"/>
    </w:rPr>
  </w:style>
  <w:style w:type="character" w:styleId="Rvts9" w:customStyle="1">
    <w:name w:val="rvts9"/>
    <w:basedOn w:val="DefaultParagraphFont"/>
    <w:qFormat/>
    <w:rPr/>
  </w:style>
  <w:style w:type="character" w:styleId="Style17" w:customStyle="1">
    <w:name w:val="Текст выноски Знак"/>
    <w:basedOn w:val="DefaultParagraphFont"/>
    <w:qFormat/>
    <w:rPr>
      <w:rFonts w:ascii="Segoe UI" w:hAnsi="Segoe UI" w:eastAsia="Times New Roman" w:cs="Segoe UI"/>
      <w:sz w:val="18"/>
      <w:szCs w:val="18"/>
      <w:lang w:eastAsia="ru-RU"/>
    </w:rPr>
  </w:style>
  <w:style w:type="character" w:styleId="Style18" w:customStyle="1">
    <w:name w:val="Основной текст с отступом Знак"/>
    <w:basedOn w:val="DefaultParagraphFont"/>
    <w:qFormat/>
    <w:rPr>
      <w:rFonts w:ascii="Times New Roman" w:hAnsi="Times New Roman" w:eastAsia="Times New Roman" w:cs="Times New Roman"/>
      <w:color w:val="00000A"/>
      <w:sz w:val="28"/>
      <w:szCs w:val="24"/>
      <w:lang w:eastAsia="zh-CN"/>
    </w:rPr>
  </w:style>
  <w:style w:type="character" w:styleId="11" w:customStyle="1">
    <w:name w:val="Гіперпосилання1"/>
    <w:qFormat/>
    <w:rPr>
      <w:color w:val="000080"/>
      <w:u w:val="single"/>
    </w:rPr>
  </w:style>
  <w:style w:type="character" w:styleId="FontStyle13" w:customStyle="1">
    <w:name w:val="Font Style13"/>
    <w:qFormat/>
    <w:rPr>
      <w:rFonts w:ascii="Times New Roman" w:hAnsi="Times New Roman" w:cs="Times New Roman"/>
      <w:sz w:val="26"/>
      <w:szCs w:val="26"/>
    </w:rPr>
  </w:style>
  <w:style w:type="character" w:styleId="WW8Num2z4" w:customStyle="1">
    <w:name w:val="WW8Num2z4"/>
    <w:qFormat/>
    <w:rPr/>
  </w:style>
  <w:style w:type="character" w:styleId="Style19" w:customStyle="1">
    <w:name w:val="Нижний колонтитул Знак"/>
    <w:basedOn w:val="DefaultParagraphFont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20" w:customStyle="1">
    <w:name w:val="Верхний колонтитул Знак"/>
    <w:basedOn w:val="DefaultParagraphFont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21" w:customStyle="1">
    <w:name w:val="Заголовок 2 Знак"/>
    <w:basedOn w:val="DefaultParagraphFont"/>
    <w:qFormat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2" w:customStyle="1">
    <w:name w:val="Заголовок 1 Знак"/>
    <w:basedOn w:val="DefaultParagraphFont"/>
    <w:qFormat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paragraph" w:styleId="Style21" w:customStyle="1">
    <w:name w:val="Заголовок"/>
    <w:basedOn w:val="Normal"/>
    <w:next w:val="Style22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22">
    <w:name w:val="Body Text"/>
    <w:basedOn w:val="Normal"/>
    <w:pPr>
      <w:spacing w:lineRule="auto" w:line="276" w:before="0" w:after="140"/>
    </w:pPr>
    <w:rPr/>
  </w:style>
  <w:style w:type="paragraph" w:styleId="Style23">
    <w:name w:val="List"/>
    <w:basedOn w:val="Style22"/>
    <w:pPr/>
    <w:rPr/>
  </w:style>
  <w:style w:type="paragraph" w:styleId="Style24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5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Style26" w:customStyle="1">
    <w:name w:val="Вміст таблиці"/>
    <w:basedOn w:val="Normal"/>
    <w:qFormat/>
    <w:pPr>
      <w:suppressLineNumbers/>
    </w:pPr>
    <w:rPr/>
  </w:style>
  <w:style w:type="paragraph" w:styleId="Style27" w:customStyle="1">
    <w:name w:val="Заголовок таблиці"/>
    <w:basedOn w:val="Style26"/>
    <w:qFormat/>
    <w:pPr>
      <w:jc w:val="center"/>
    </w:pPr>
    <w:rPr>
      <w:b/>
      <w:bCs/>
    </w:rPr>
  </w:style>
  <w:style w:type="paragraph" w:styleId="HTMLPreformatted">
    <w:name w:val="HTML Preformatted"/>
    <w:basedOn w:val="Normal"/>
    <w:qFormat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</w:rPr>
  </w:style>
  <w:style w:type="paragraph" w:styleId="13" w:customStyle="1">
    <w:name w:val="Обычный (веб)1"/>
    <w:basedOn w:val="Normal"/>
    <w:qFormat/>
    <w:pPr>
      <w:spacing w:before="280" w:after="280"/>
      <w:textAlignment w:val="top"/>
    </w:pPr>
    <w:rPr/>
  </w:style>
  <w:style w:type="paragraph" w:styleId="Style28" w:customStyle="1">
    <w:name w:val="Верхній і нижній колонтитули"/>
    <w:basedOn w:val="Normal"/>
    <w:qFormat/>
    <w:pPr>
      <w:suppressLineNumbers/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29">
    <w:name w:val="Header"/>
    <w:basedOn w:val="Style28"/>
    <w:pPr/>
    <w:rPr/>
  </w:style>
  <w:style w:type="paragraph" w:styleId="HTML1" w:customStyle="1">
    <w:name w:val="Стандартний HTML1"/>
    <w:basedOn w:val="Normal"/>
    <w:qFormat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uppressAutoHyphens w:val="false"/>
    </w:pPr>
    <w:rPr>
      <w:rFonts w:ascii="Courier New" w:hAnsi="Courier New" w:cs="Courier New"/>
      <w:sz w:val="20"/>
      <w:szCs w:val="20"/>
    </w:rPr>
  </w:style>
  <w:style w:type="paragraph" w:styleId="14" w:customStyle="1">
    <w:name w:val="Звичайний (веб)1"/>
    <w:basedOn w:val="Normal"/>
    <w:qFormat/>
    <w:pPr>
      <w:spacing w:before="280" w:after="280"/>
    </w:pPr>
    <w:rPr/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qFormat/>
    <w:pPr>
      <w:spacing w:before="280" w:after="280"/>
    </w:pPr>
    <w:rPr>
      <w:lang w:val="ru-RU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>
      <w:rFonts w:eastAsia="Calibri"/>
      <w:sz w:val="28"/>
      <w:szCs w:val="28"/>
      <w:lang w:val="ru-RU" w:eastAsia="en-US"/>
    </w:rPr>
  </w:style>
  <w:style w:type="paragraph" w:styleId="Style30">
    <w:name w:val="Body Text Indent"/>
    <w:basedOn w:val="Normal"/>
    <w:pPr>
      <w:ind w:firstLine="545"/>
      <w:jc w:val="both"/>
    </w:pPr>
    <w:rPr>
      <w:color w:val="00000A"/>
      <w:sz w:val="28"/>
    </w:rPr>
  </w:style>
  <w:style w:type="paragraph" w:styleId="15" w:customStyle="1">
    <w:name w:val="Абзац списка1"/>
    <w:basedOn w:val="Normal"/>
    <w:qFormat/>
    <w:pPr>
      <w:spacing w:before="0" w:after="200"/>
      <w:ind w:left="720" w:hanging="0"/>
    </w:pPr>
    <w:rPr>
      <w:bCs/>
      <w:sz w:val="28"/>
    </w:rPr>
  </w:style>
  <w:style w:type="paragraph" w:styleId="Style51" w:customStyle="1">
    <w:name w:val="Style5"/>
    <w:basedOn w:val="Normal"/>
    <w:qFormat/>
    <w:pPr>
      <w:widowControl w:val="false"/>
      <w:spacing w:lineRule="exact" w:line="322"/>
      <w:ind w:firstLine="629"/>
      <w:jc w:val="both"/>
    </w:pPr>
    <w:rPr>
      <w:lang w:val="ru-RU"/>
    </w:rPr>
  </w:style>
  <w:style w:type="paragraph" w:styleId="Style31">
    <w:name w:val="Footer"/>
    <w:basedOn w:val="Normal"/>
    <w:pPr>
      <w:tabs>
        <w:tab w:val="clear" w:pos="709"/>
        <w:tab w:val="center" w:pos="4819" w:leader="none"/>
        <w:tab w:val="right" w:pos="9639" w:leader="none"/>
      </w:tabs>
    </w:pPr>
    <w:rPr/>
  </w:style>
  <w:style w:type="paragraph" w:styleId="Tj" w:customStyle="1">
    <w:name w:val="tj"/>
    <w:basedOn w:val="Normal"/>
    <w:qFormat/>
    <w:pPr>
      <w:spacing w:before="280" w:after="280"/>
    </w:pPr>
    <w:rPr>
      <w:lang w:val="ru-RU"/>
    </w:rPr>
  </w:style>
  <w:style w:type="numbering" w:styleId="NoList" w:default="1">
    <w:name w:val="No List"/>
    <w:uiPriority w:val="99"/>
    <w:semiHidden/>
    <w:unhideWhenUsed/>
    <w:qFormat/>
  </w:style>
  <w:style w:type="numbering" w:styleId="WW8Num2" w:customStyle="1">
    <w:name w:val="WW8Num2"/>
    <w:qFormat/>
  </w:style>
  <w:style w:type="numbering" w:styleId="WW8Num1" w:customStyle="1">
    <w:name w:val="WW8Num1"/>
    <w:qFormat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1766</TotalTime>
  <Application>LibreOffice/6.3.4.2$Windows_X86_64 LibreOffice_project/60da17e045e08f1793c57c00ba83cdfce946d0aa</Application>
  <Pages>7</Pages>
  <Words>844</Words>
  <Characters>5507</Characters>
  <CharactersWithSpaces>6216</CharactersWithSpaces>
  <Paragraphs>171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2023-09-06T09:03:00Z</dcterms:created>
  <dc:creator/>
  <dc:description/>
  <dc:language>uk-UA</dc:language>
  <cp:lastModifiedBy/>
  <cp:lastPrinted>2024-12-02T14:52:00Z</cp:lastPrinted>
  <dcterms:modified xsi:type="dcterms:W3CDTF">2024-12-02T17:10:51Z</dcterms:modified>
  <cp:revision>194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