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  <w:object w:dxaOrig="3105" w:dyaOrig="3300">
          <v:shape id="ole_rId2" style="width:58.2pt;height:59.2pt" o:ole="">
            <v:imagedata r:id="rId3" o:title=""/>
          </v:shape>
          <o:OLEObject Type="Embed" ProgID="" ShapeID="ole_rId2" DrawAspect="Content" ObjectID="_850976297" r:id="rId2"/>
        </w:object>
      </w:r>
    </w:p>
    <w:p>
      <w:pPr>
        <w:pStyle w:val="Normal"/>
        <w:bidi w:val="0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1"/>
        <w:numPr>
          <w:ilvl w:val="0"/>
          <w:numId w:val="2"/>
        </w:numPr>
        <w:bidi w:val="0"/>
        <w:rPr/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bidi w:val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2"/>
        <w:numPr>
          <w:ilvl w:val="1"/>
          <w:numId w:val="2"/>
        </w:numPr>
        <w:tabs>
          <w:tab w:val="clear" w:pos="709"/>
          <w:tab w:val="left" w:pos="4218" w:leader="none"/>
          <w:tab w:val="left" w:pos="4674" w:leader="none"/>
        </w:tabs>
        <w:bidi w:val="0"/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bidi w:val="0"/>
        <w:jc w:val="center"/>
        <w:rPr>
          <w:rFonts w:ascii="Times New Roman" w:hAnsi="Times New Roman" w:cs="Times New Roman"/>
          <w:b/>
          <w:b/>
          <w:bCs w:val="false"/>
          <w:i/>
          <w:i/>
          <w:sz w:val="40"/>
          <w:szCs w:val="40"/>
        </w:rPr>
      </w:pPr>
      <w:r>
        <w:rPr>
          <w:rFonts w:cs="Times New Roman" w:ascii="Times New Roman" w:hAnsi="Times New Roman"/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9"/>
          <w:tab w:val="left" w:pos="4687" w:leader="none"/>
        </w:tabs>
        <w:bidi w:val="0"/>
        <w:jc w:val="both"/>
        <w:rPr/>
      </w:pPr>
      <w:r>
        <w:rPr>
          <w:rFonts w:ascii="Times New Roman" w:hAnsi="Times New Roman"/>
          <w:sz w:val="24"/>
        </w:rPr>
        <w:t>________________                                     Луцьк                                         №______________</w:t>
      </w:r>
    </w:p>
    <w:p>
      <w:pPr>
        <w:pStyle w:val="Normal"/>
        <w:bidi w:val="0"/>
        <w:jc w:val="left"/>
        <w:rPr>
          <w:rFonts w:ascii="TimesNewRomanPSMT" w:hAnsi="TimesNewRomanPSMT"/>
          <w:sz w:val="28"/>
        </w:rPr>
      </w:pPr>
      <w:r>
        <w:rPr>
          <w:rFonts w:ascii="TimesNewRomanPSMT" w:hAnsi="TimesNewRomanPSMT"/>
          <w:sz w:val="28"/>
        </w:rPr>
      </w:r>
    </w:p>
    <w:p>
      <w:pPr>
        <w:pStyle w:val="Normal"/>
        <w:bidi w:val="0"/>
        <w:jc w:val="left"/>
        <w:rPr/>
      </w:pPr>
      <w:r>
        <w:rPr>
          <w:rFonts w:ascii="TimesNewRomanPSMT" w:hAnsi="TimesNewRomanPSMT"/>
          <w:sz w:val="28"/>
        </w:rPr>
        <w:t>Про внесення змін до рішення міської ради</w:t>
      </w:r>
    </w:p>
    <w:p>
      <w:pPr>
        <w:pStyle w:val="Normal"/>
        <w:bidi w:val="0"/>
        <w:jc w:val="left"/>
        <w:rPr/>
      </w:pPr>
      <w:r>
        <w:rPr>
          <w:rFonts w:ascii="TimesNewRomanPSMT" w:hAnsi="TimesNewRomanPSMT"/>
          <w:sz w:val="28"/>
        </w:rPr>
        <w:t>від 25.07.2007 № 16/17 „Про забезпечення</w:t>
      </w:r>
    </w:p>
    <w:p>
      <w:pPr>
        <w:pStyle w:val="Normal"/>
        <w:bidi w:val="0"/>
        <w:jc w:val="left"/>
        <w:rPr/>
      </w:pPr>
      <w:r>
        <w:rPr>
          <w:rFonts w:ascii="TimesNewRomanPSMT" w:hAnsi="TimesNewRomanPSMT"/>
          <w:sz w:val="28"/>
        </w:rPr>
        <w:t>дотримання Закону України  „Про автомобільний</w:t>
      </w:r>
    </w:p>
    <w:p>
      <w:pPr>
        <w:pStyle w:val="Normal"/>
        <w:bidi w:val="0"/>
        <w:jc w:val="left"/>
        <w:rPr/>
      </w:pPr>
      <w:bookmarkStart w:id="0" w:name="__DdeLink__4379_1635294257"/>
      <w:r>
        <w:rPr>
          <w:rFonts w:ascii="TimesNewRomanPSMT" w:hAnsi="TimesNewRomanPSMT"/>
          <w:sz w:val="28"/>
        </w:rPr>
        <w:t>транспорт” на вулицях м.Луцька”</w:t>
      </w:r>
      <w:bookmarkEnd w:id="0"/>
    </w:p>
    <w:p>
      <w:pPr>
        <w:pStyle w:val="Normal"/>
        <w:bidi w:val="0"/>
        <w:ind w:left="0" w:right="0" w:firstLine="624"/>
        <w:jc w:val="both"/>
        <w:rPr>
          <w:rFonts w:ascii="TimesNewRomanPSMT" w:hAnsi="TimesNewRomanPSMT"/>
          <w:sz w:val="28"/>
        </w:rPr>
      </w:pPr>
      <w:r>
        <w:rPr>
          <w:rFonts w:ascii="TimesNewRomanPSMT" w:hAnsi="TimesNewRomanPSMT"/>
          <w:sz w:val="28"/>
        </w:rPr>
      </w:r>
    </w:p>
    <w:p>
      <w:pPr>
        <w:pStyle w:val="Normal"/>
        <w:bidi w:val="0"/>
        <w:ind w:left="0" w:right="0" w:firstLine="624"/>
        <w:jc w:val="both"/>
        <w:rPr/>
      </w:pPr>
      <w:r>
        <w:rPr>
          <w:rFonts w:ascii="TimesNewRomanPSMT" w:hAnsi="TimesNewRomanPSMT"/>
          <w:sz w:val="28"/>
        </w:rPr>
        <w:t xml:space="preserve">Керуючись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0"/>
          <w:kern w:val="0"/>
          <w:sz w:val="28"/>
          <w:szCs w:val="28"/>
          <w:u w:val="none"/>
          <w:lang w:val="uk-UA" w:eastAsia="ru-RU" w:bidi="ar-SA"/>
        </w:rPr>
        <w:t>статтями 7, 32 Закону України “Про автомобільний транспорт”, 30 Закону України “Про місцеве самоврядування в Україні”, 6,  27 Закону України “Про дорожній рух”, 17, 19, 20 Закону України “Про автомобільні дороги”, пунктами 18 та 28 постанови Кабінету Міністрів України №176 “Про затвердження Правил надання послуг пасажирського автомобільного транспорту” (зі змінами), враховуючи погодження Управлінням патрульної поліції у Волинській області пропозицій стосовно маршрутів руху пасажирського транспорту у місті Луцьку від 25.06.2024, з метою забезпечення безпеки пасажирських перевезень, запобіганню утворення деформацій і руйнувань дорожнього покриття вулиць і проспектів,  зменшення заторів в дорожньому русі міста Луцька міська рада</w:t>
      </w:r>
    </w:p>
    <w:p>
      <w:pPr>
        <w:pStyle w:val="Normal"/>
        <w:bidi w:val="0"/>
        <w:ind w:left="0" w:right="0" w:firstLine="624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auto"/>
          <w:spacing w:val="0"/>
          <w:kern w:val="0"/>
          <w:sz w:val="28"/>
          <w:szCs w:val="28"/>
          <w:u w:val="none"/>
          <w:lang w:val="uk-UA" w:eastAsia="ru-RU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0"/>
          <w:kern w:val="0"/>
          <w:sz w:val="28"/>
          <w:szCs w:val="28"/>
          <w:u w:val="none"/>
          <w:lang w:val="uk-UA" w:eastAsia="ru-RU" w:bidi="ar-SA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0"/>
          <w:kern w:val="0"/>
          <w:sz w:val="28"/>
          <w:szCs w:val="28"/>
          <w:u w:val="none"/>
          <w:lang w:val="uk-UA" w:eastAsia="ru-RU" w:bidi="ar-SA"/>
        </w:rPr>
        <w:t>ВИРІШИЛА:</w:t>
      </w:r>
    </w:p>
    <w:p>
      <w:pPr>
        <w:pStyle w:val="Normal"/>
        <w:bidi w:val="0"/>
        <w:ind w:left="0" w:right="0" w:firstLine="624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auto"/>
          <w:spacing w:val="0"/>
          <w:kern w:val="0"/>
          <w:sz w:val="28"/>
          <w:szCs w:val="28"/>
          <w:u w:val="none"/>
          <w:lang w:val="uk-UA" w:eastAsia="ru-RU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0"/>
          <w:kern w:val="0"/>
          <w:sz w:val="28"/>
          <w:szCs w:val="28"/>
          <w:u w:val="none"/>
          <w:lang w:val="uk-UA" w:eastAsia="ru-RU" w:bidi="ar-SA"/>
        </w:rPr>
      </w:r>
    </w:p>
    <w:p>
      <w:pPr>
        <w:pStyle w:val="Normal"/>
        <w:bidi w:val="0"/>
        <w:ind w:left="0" w:right="0" w:firstLine="624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0"/>
          <w:kern w:val="0"/>
          <w:sz w:val="28"/>
          <w:szCs w:val="28"/>
          <w:u w:val="none"/>
          <w:lang w:val="uk-UA" w:eastAsia="ru-RU" w:bidi="ar-SA"/>
        </w:rPr>
        <w:t>1. Внести зміни до пункт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0"/>
          <w:kern w:val="0"/>
          <w:sz w:val="28"/>
          <w:szCs w:val="28"/>
          <w:u w:val="none"/>
          <w:lang w:val="uk-UA" w:eastAsia="ru-RU" w:bidi="ar-SA"/>
        </w:rPr>
        <w:t>ів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0"/>
          <w:kern w:val="0"/>
          <w:sz w:val="28"/>
          <w:szCs w:val="28"/>
          <w:u w:val="none"/>
          <w:lang w:val="uk-UA" w:eastAsia="ru-RU" w:bidi="ar-SA"/>
        </w:rPr>
        <w:t xml:space="preserve"> 2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0"/>
          <w:kern w:val="0"/>
          <w:sz w:val="28"/>
          <w:szCs w:val="28"/>
          <w:u w:val="none"/>
          <w:lang w:val="uk-UA" w:eastAsia="ru-RU" w:bidi="ar-SA"/>
        </w:rPr>
        <w:t>та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0"/>
          <w:kern w:val="0"/>
          <w:sz w:val="28"/>
          <w:szCs w:val="28"/>
          <w:u w:val="none"/>
          <w:lang w:val="uk-UA" w:eastAsia="ru-RU" w:bidi="ar-SA"/>
        </w:rPr>
        <w:t xml:space="preserve"> 3 рішення міської ради від 25.07.2007 № 16/17 „Про забезпечення дотримання Закону України „Про автомобільний транспорт” на вулицях м. Луцька”, виклавши їх в новій редакції:</w:t>
      </w:r>
    </w:p>
    <w:p>
      <w:pPr>
        <w:pStyle w:val="Normal"/>
        <w:bidi w:val="0"/>
        <w:ind w:left="0" w:right="0" w:firstLine="624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0"/>
          <w:kern w:val="0"/>
          <w:sz w:val="28"/>
          <w:szCs w:val="28"/>
          <w:u w:val="none"/>
          <w:lang w:val="uk-UA" w:eastAsia="ru-RU" w:bidi="ar-SA"/>
        </w:rPr>
        <w:t>“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0"/>
          <w:kern w:val="0"/>
          <w:sz w:val="28"/>
          <w:szCs w:val="28"/>
          <w:u w:val="none"/>
          <w:lang w:val="uk-UA" w:eastAsia="ru-RU" w:bidi="ar-SA"/>
        </w:rPr>
        <w:t xml:space="preserve">2. Затвердити організацію дорожнього руху на території міста Луцька Волинської області для міжміських, приміських маршрутів загального користування міжобласного та внутрішньообласного сполучення, відповідно до Додатків та графічних схем № 1, № 2 та № 3, а саме:  </w:t>
      </w:r>
    </w:p>
    <w:p>
      <w:pPr>
        <w:pStyle w:val="Style17"/>
        <w:widowControl/>
        <w:tabs>
          <w:tab w:val="clear" w:pos="709"/>
          <w:tab w:val="left" w:pos="400" w:leader="none"/>
        </w:tabs>
        <w:suppressAutoHyphens w:val="true"/>
        <w:bidi w:val="0"/>
        <w:spacing w:lineRule="auto" w:line="240" w:before="0" w:after="0"/>
        <w:ind w:left="0" w:right="0" w:firstLine="624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0"/>
          <w:kern w:val="0"/>
          <w:sz w:val="28"/>
          <w:szCs w:val="28"/>
          <w:u w:val="none"/>
          <w:lang w:val="uk-UA" w:eastAsia="ru-RU" w:bidi="ar-SA"/>
        </w:rPr>
        <w:t>2.1. Організацію дорожнього руху автобусних маршрутів загального користування в м. Луцьку Волинської області (міжобласних та внутрішньообласних автобусних маршрутів приміського сполучення)  згідно з Додатком № 1 та графічною схемою № 1;</w:t>
      </w:r>
    </w:p>
    <w:p>
      <w:pPr>
        <w:pStyle w:val="Style17"/>
        <w:widowControl/>
        <w:tabs>
          <w:tab w:val="clear" w:pos="709"/>
          <w:tab w:val="left" w:pos="400" w:leader="none"/>
        </w:tabs>
        <w:suppressAutoHyphens w:val="true"/>
        <w:bidi w:val="0"/>
        <w:spacing w:lineRule="auto" w:line="240" w:before="0" w:after="0"/>
        <w:ind w:left="0" w:right="0" w:firstLine="624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0"/>
          <w:kern w:val="0"/>
          <w:sz w:val="28"/>
          <w:szCs w:val="28"/>
          <w:u w:val="none"/>
          <w:lang w:val="uk-UA" w:eastAsia="ru-RU" w:bidi="ar-SA"/>
        </w:rPr>
        <w:t>2.2. Організацію дорожнього руху автобусних маршрутів загального користування вулицями міста Луцька Волинської області (міжобласних та внутрішньообласних автобусних маршрутів міжміського сполучення графіком руху, яких передбачений заїзд на автостанцію) згідно з Додатком № 2 та графічною схемою № 2;</w:t>
      </w:r>
    </w:p>
    <w:p>
      <w:pPr>
        <w:pStyle w:val="Normal"/>
        <w:bidi w:val="0"/>
        <w:ind w:left="0" w:right="0" w:firstLine="624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0"/>
          <w:kern w:val="0"/>
          <w:sz w:val="28"/>
          <w:szCs w:val="28"/>
          <w:u w:val="none"/>
          <w:lang w:val="uk-UA" w:eastAsia="ru-RU" w:bidi="ar-SA"/>
        </w:rPr>
        <w:t xml:space="preserve">2.3. Організацію дорожнього руху автобусних маршрутів загального користування вулицями міста Луцька Волинської області (для транзитних </w:t>
      </w:r>
      <w:bookmarkStart w:id="1" w:name="__DdeLink__179_4086478225"/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0"/>
          <w:kern w:val="0"/>
          <w:sz w:val="28"/>
          <w:szCs w:val="28"/>
          <w:u w:val="none"/>
          <w:lang w:val="uk-UA" w:eastAsia="ru-RU" w:bidi="ar-SA"/>
        </w:rPr>
        <w:t xml:space="preserve">внутрішньообласних </w:t>
      </w:r>
      <w:bookmarkEnd w:id="1"/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0"/>
          <w:kern w:val="0"/>
          <w:sz w:val="28"/>
          <w:szCs w:val="28"/>
          <w:u w:val="none"/>
          <w:lang w:val="uk-UA" w:eastAsia="ru-RU" w:bidi="ar-SA"/>
        </w:rPr>
        <w:t>та міжобласних автобусних маршрутів  міжміського та приміського сполучення) згідно  з Додатком № 3 та графічною схемою № 3.</w:t>
      </w:r>
    </w:p>
    <w:p>
      <w:pPr>
        <w:pStyle w:val="Normal"/>
        <w:bidi w:val="0"/>
        <w:ind w:left="0" w:right="0" w:firstLine="624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0"/>
          <w:kern w:val="0"/>
          <w:sz w:val="28"/>
          <w:szCs w:val="28"/>
          <w:u w:val="none"/>
          <w:lang w:val="uk-UA" w:eastAsia="ru-RU" w:bidi="ar-SA"/>
        </w:rPr>
        <w:t xml:space="preserve">3. </w:t>
      </w:r>
      <w:r>
        <w:rPr>
          <w:rFonts w:eastAsia="NSimSu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kern w:val="0"/>
          <w:sz w:val="28"/>
          <w:szCs w:val="28"/>
          <w:u w:val="none"/>
          <w:lang w:val="uk-UA" w:eastAsia="zh-CN" w:bidi="hi-IN"/>
        </w:rPr>
        <w:t xml:space="preserve">Відділу транспорту,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kern w:val="0"/>
          <w:sz w:val="28"/>
          <w:szCs w:val="28"/>
          <w:u w:val="none"/>
          <w:lang w:val="uk-UA" w:eastAsia="zh-CN" w:bidi="hi-IN"/>
        </w:rPr>
        <w:t xml:space="preserve">затверджену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0"/>
          <w:kern w:val="0"/>
          <w:sz w:val="28"/>
          <w:szCs w:val="28"/>
          <w:u w:val="none"/>
          <w:lang w:val="uk-UA" w:eastAsia="ru-RU" w:bidi="ar-SA"/>
        </w:rPr>
        <w:t xml:space="preserve">організацію дорожнього руху на території міста Луцька Волинської області для міжміських, приміських маршрутів загального користування міжобласного та внутрішньообласного сполучення, відповідно з Додатками та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kern w:val="0"/>
          <w:sz w:val="28"/>
          <w:szCs w:val="28"/>
          <w:u w:val="none"/>
          <w:lang w:val="uk-UA" w:eastAsia="zh-CN" w:bidi="hi-IN"/>
        </w:rPr>
        <w:t>графічними схемами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0"/>
          <w:kern w:val="0"/>
          <w:sz w:val="28"/>
          <w:szCs w:val="28"/>
          <w:u w:val="none"/>
          <w:lang w:val="uk-UA" w:eastAsia="ru-RU" w:bidi="ar-SA"/>
        </w:rPr>
        <w:t xml:space="preserve"> № 1, № 2, № 3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kern w:val="0"/>
          <w:sz w:val="28"/>
          <w:szCs w:val="28"/>
          <w:u w:val="none"/>
          <w:lang w:val="uk-UA" w:eastAsia="zh-CN" w:bidi="hi-IN"/>
        </w:rPr>
        <w:t xml:space="preserve"> надіслати:</w:t>
      </w:r>
    </w:p>
    <w:p>
      <w:pPr>
        <w:pStyle w:val="Normal"/>
        <w:tabs>
          <w:tab w:val="clear" w:pos="709"/>
          <w:tab w:val="left" w:pos="9355" w:leader="none"/>
        </w:tabs>
        <w:bidi w:val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hi-IN"/>
        </w:rPr>
        <w:t xml:space="preserve">3.1.  Організатору пасажирських перевезень на міжміських і приміських автобусних маршрутах загального користування, що проходять територією двох або більше територіальних громад та не виходять за межі області  -  Волинській обласній військовій адміністрації для приведення схем руху в частині проїзду по місту Луцьку внутрішньообласних автобусних маршрутів </w:t>
      </w:r>
      <w:bookmarkStart w:id="2" w:name="__DdeLink__57_3127727531"/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hi-IN"/>
        </w:rPr>
        <w:t xml:space="preserve">згідно з </w:t>
      </w:r>
      <w:bookmarkStart w:id="3" w:name="__DdeLink__156_1316638673"/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hi-IN"/>
        </w:rPr>
        <w:t>Додатк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hi-IN"/>
        </w:rPr>
        <w:t xml:space="preserve">ами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hi-IN"/>
        </w:rPr>
        <w:t>та графічними схемами, затвердженими пунктом 2 цього рішення.</w:t>
      </w:r>
      <w:bookmarkEnd w:id="2"/>
      <w:bookmarkEnd w:id="3"/>
    </w:p>
    <w:p>
      <w:pPr>
        <w:pStyle w:val="Normal"/>
        <w:tabs>
          <w:tab w:val="clear" w:pos="709"/>
          <w:tab w:val="left" w:pos="9355" w:leader="none"/>
        </w:tabs>
        <w:bidi w:val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hi-IN"/>
        </w:rPr>
        <w:t xml:space="preserve">3.2. Організатору  пасажирських перевезень на міжміських і приміських автобусних маршрутах (міжобласні маршрути) - Міністерству розвитку громад, територій та інфраструктури України для приведення схем руху в частині проїзду по місту Луцьку міжобласних автобусних маршрутів згідно з </w:t>
      </w:r>
      <w:bookmarkStart w:id="4" w:name="__DdeLink__156_13166386731"/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hi-IN"/>
        </w:rPr>
        <w:t>Додатк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hi-IN"/>
        </w:rPr>
        <w:t xml:space="preserve">ами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hi-IN"/>
        </w:rPr>
        <w:t>та графічними схемами, затвердженими пунктом 2 цього рішення.</w:t>
      </w:r>
      <w:bookmarkEnd w:id="4"/>
    </w:p>
    <w:p>
      <w:pPr>
        <w:pStyle w:val="Normal"/>
        <w:bidi w:val="0"/>
        <w:ind w:left="0" w:right="0" w:firstLine="624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kern w:val="0"/>
          <w:sz w:val="28"/>
          <w:szCs w:val="28"/>
          <w:u w:val="none"/>
          <w:lang w:val="uk-UA" w:eastAsia="zh-CN" w:bidi="hi-IN"/>
        </w:rPr>
        <w:t>3.3. Управлінню патрульної поліції у Волинській області для погодження паспортів автобусних маршрутів (схеми руху автобусного маршруту у частині проїзду по місту Луцьку та характеристики маршруту) виключно на підставі узгоджених Додатків та графічних схем, затверджених пунктом 2 цього рішення”.</w:t>
      </w:r>
    </w:p>
    <w:p>
      <w:pPr>
        <w:pStyle w:val="Normal"/>
        <w:bidi w:val="0"/>
        <w:ind w:left="0" w:right="0" w:firstLine="624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kern w:val="0"/>
          <w:sz w:val="28"/>
          <w:szCs w:val="28"/>
          <w:u w:val="none"/>
          <w:lang w:val="uk-UA" w:eastAsia="zh-CN" w:bidi="hi-IN"/>
        </w:rPr>
        <w:t>2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kern w:val="0"/>
          <w:sz w:val="28"/>
          <w:szCs w:val="28"/>
          <w:u w:val="none"/>
          <w:lang w:val="uk-UA" w:eastAsia="zh-CN" w:bidi="hi-IN"/>
        </w:rPr>
        <w:t>. В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kern w:val="0"/>
          <w:sz w:val="28"/>
          <w:szCs w:val="28"/>
          <w:u w:val="none"/>
          <w:lang w:val="uk-UA" w:eastAsia="zh-CN" w:bidi="hi-IN"/>
        </w:rPr>
        <w:t>изн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kern w:val="0"/>
          <w:sz w:val="28"/>
          <w:szCs w:val="28"/>
          <w:u w:val="none"/>
          <w:lang w:val="uk-UA" w:eastAsia="zh-CN" w:bidi="hi-IN"/>
        </w:rPr>
        <w:t>ати таким, що втрати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kern w:val="0"/>
          <w:sz w:val="28"/>
          <w:szCs w:val="28"/>
          <w:u w:val="none"/>
          <w:lang w:val="uk-UA" w:eastAsia="zh-CN" w:bidi="hi-IN"/>
        </w:rPr>
        <w:t>в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kern w:val="0"/>
          <w:sz w:val="28"/>
          <w:szCs w:val="28"/>
          <w:u w:val="none"/>
          <w:lang w:val="uk-UA" w:eastAsia="zh-CN" w:bidi="hi-IN"/>
        </w:rPr>
        <w:t xml:space="preserve"> чинність пункт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kern w:val="0"/>
          <w:sz w:val="28"/>
          <w:szCs w:val="28"/>
          <w:u w:val="none"/>
          <w:lang w:val="uk-UA" w:eastAsia="zh-CN" w:bidi="hi-IN"/>
        </w:rPr>
        <w:t>3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kern w:val="0"/>
          <w:sz w:val="28"/>
          <w:szCs w:val="28"/>
          <w:u w:val="none"/>
          <w:lang w:val="uk-UA" w:eastAsia="zh-CN" w:bidi="hi-IN"/>
        </w:rPr>
        <w:t xml:space="preserve"> рішення від 23.06.2021 № 13/90. </w:t>
      </w:r>
    </w:p>
    <w:p>
      <w:pPr>
        <w:pStyle w:val="Normal"/>
        <w:bidi w:val="0"/>
        <w:ind w:left="0" w:right="0" w:firstLine="624"/>
        <w:jc w:val="both"/>
        <w:rPr/>
      </w:pPr>
      <w:r>
        <w:rPr>
          <w:rFonts w:eastAsia="Times New Roman" w:cs="Times New Roman" w:ascii="TimesNewRomanPSMT" w:hAnsi="TimesNewRomanPSMT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kern w:val="0"/>
          <w:sz w:val="28"/>
          <w:szCs w:val="28"/>
          <w:u w:val="none"/>
          <w:lang w:val="uk-UA" w:eastAsia="zh-CN" w:bidi="hi-IN"/>
        </w:rPr>
        <w:t>3</w:t>
      </w:r>
      <w:r>
        <w:rPr>
          <w:rFonts w:eastAsia="Times New Roman" w:cs="Times New Roman" w:ascii="TimesNewRomanPSMT" w:hAnsi="TimesNewRomanPSMT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kern w:val="0"/>
          <w:sz w:val="28"/>
          <w:szCs w:val="28"/>
          <w:u w:val="none"/>
          <w:lang w:val="uk-UA" w:eastAsia="zh-CN" w:bidi="hi-IN"/>
        </w:rPr>
        <w:t xml:space="preserve">. </w:t>
      </w:r>
      <w:r>
        <w:rPr>
          <w:rFonts w:eastAsia="Times New Roman" w:cs="TimesNewRomanPSMT" w:ascii="TimesNewRomanPSMT" w:hAnsi="TimesNewRomanPSMT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kern w:val="0"/>
          <w:sz w:val="28"/>
          <w:szCs w:val="28"/>
          <w:u w:val="none"/>
          <w:lang w:val="uk-UA" w:eastAsia="zh-CN" w:bidi="hi-IN"/>
        </w:rPr>
        <w:t>Доручити управлінню інформаційної роботи довести рішення до відома громадськості через медіа.</w:t>
      </w:r>
    </w:p>
    <w:p>
      <w:pPr>
        <w:pStyle w:val="Normal"/>
        <w:bidi w:val="0"/>
        <w:ind w:left="0" w:right="0" w:firstLine="624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hi-IN"/>
        </w:rPr>
        <w:t>4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hi-IN"/>
        </w:rPr>
        <w:t xml:space="preserve">. Контроль за виконанням рішення покласти на заступника міського голови Чебелюк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hi-IN"/>
        </w:rPr>
        <w:t xml:space="preserve">Ірину Іванівну та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hi-IN"/>
        </w:rPr>
        <w:t xml:space="preserve">постійну комісію міської ради з питань генерального планування, будівництва, архітектури та благоустрою, житлово-комунального господарства, екології, транспорту та енергоощадності. </w:t>
      </w:r>
    </w:p>
    <w:p>
      <w:pPr>
        <w:pStyle w:val="Normal"/>
        <w:bidi w:val="0"/>
        <w:ind w:firstLine="708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hi-IN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hi-IN"/>
        </w:rPr>
      </w:r>
    </w:p>
    <w:p>
      <w:pPr>
        <w:pStyle w:val="Normal"/>
        <w:tabs>
          <w:tab w:val="clear" w:pos="709"/>
          <w:tab w:val="left" w:pos="9355" w:leader="none"/>
        </w:tabs>
        <w:bidi w:val="0"/>
        <w:ind w:right="-5" w:hanging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hi-IN"/>
        </w:rPr>
        <w:t>Міський голова                                                                           Ігор ПОЛІЩУК</w:t>
      </w:r>
    </w:p>
    <w:p>
      <w:pPr>
        <w:pStyle w:val="Normal"/>
        <w:bidi w:val="0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hi-IN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hi-IN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kern w:val="0"/>
          <w:sz w:val="24"/>
          <w:szCs w:val="24"/>
          <w:u w:val="none"/>
          <w:lang w:val="uk-UA" w:eastAsia="zh-CN" w:bidi="hi-IN"/>
        </w:rPr>
        <w:t>Главічка 777 986</w:t>
      </w:r>
    </w:p>
    <w:sectPr>
      <w:type w:val="nextPage"/>
      <w:pgSz w:w="11906" w:h="16838"/>
      <w:pgMar w:left="1995" w:right="506" w:header="0" w:top="690" w:footer="0" w:bottom="2033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Mono">
    <w:altName w:val="Courier New"/>
    <w:charset w:val="cc"/>
    <w:family w:val="roman"/>
    <w:pitch w:val="variable"/>
  </w:font>
  <w:font w:name="Times New Roman">
    <w:charset w:val="cc"/>
    <w:family w:val="roman"/>
    <w:pitch w:val="variable"/>
  </w:font>
  <w:font w:name="TimesNewRomanPSMT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0"/>
      <w:sz w:val="24"/>
      <w:szCs w:val="24"/>
      <w:lang w:val="ru-RU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pPr>
      <w:spacing w:lineRule="auto" w:line="276" w:before="0" w:after="140"/>
    </w:pPr>
    <w:rPr/>
  </w:style>
  <w:style w:type="paragraph" w:styleId="Style14">
    <w:name w:val="List"/>
    <w:basedOn w:val="Style13"/>
    <w:pPr/>
    <w:rPr>
      <w:rFonts w:cs="Lucida Sans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Lucida Sans"/>
    </w:rPr>
  </w:style>
  <w:style w:type="paragraph" w:styleId="Style17">
    <w:name w:val="Текст в заданном формате"/>
    <w:basedOn w:val="Normal"/>
    <w:qFormat/>
    <w:pPr>
      <w:spacing w:before="0" w:after="0"/>
    </w:pPr>
    <w:rPr>
      <w:rFonts w:ascii="Liberation Mono" w:hAnsi="Liberation Mono" w:eastAsia="NSimSun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410</TotalTime>
  <Application>LibreOffice/6.3.4.2$Windows_X86_64 LibreOffice_project/60da17e045e08f1793c57c00ba83cdfce946d0aa</Application>
  <Pages>2</Pages>
  <Words>537</Words>
  <Characters>3600</Characters>
  <CharactersWithSpaces>4280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cp:lastPrinted>2024-11-29T08:42:23Z</cp:lastPrinted>
  <dcterms:modified xsi:type="dcterms:W3CDTF">2024-12-02T11:29:10Z</dcterms:modified>
  <cp:revision>22</cp:revision>
  <dc:subject/>
  <dc:title/>
</cp:coreProperties>
</file>