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7F68" w14:textId="77777777" w:rsidR="008622D7" w:rsidRDefault="00000000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Звіт</w:t>
      </w:r>
    </w:p>
    <w:p w14:paraId="64A57984" w14:textId="77777777" w:rsidR="008622D7" w:rsidRDefault="00000000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роботу Комунального підприємства «АвтоПаркСервіс» </w:t>
      </w:r>
    </w:p>
    <w:p w14:paraId="3B33BAC2" w14:textId="77777777" w:rsidR="008622D7" w:rsidRDefault="008622D7">
      <w:pPr>
        <w:spacing w:after="0" w:line="276" w:lineRule="auto"/>
        <w:jc w:val="center"/>
        <w:rPr>
          <w:rFonts w:ascii="Times New Roman" w:hAnsi="Times New Roman"/>
        </w:rPr>
      </w:pPr>
    </w:p>
    <w:p w14:paraId="4A907D57" w14:textId="77777777" w:rsidR="008622D7" w:rsidRDefault="00000000">
      <w:pPr>
        <w:spacing w:after="142" w:line="240" w:lineRule="auto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>Основні види діяльності підприємства</w:t>
      </w:r>
    </w:p>
    <w:p w14:paraId="24255CC8" w14:textId="77777777" w:rsidR="008622D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З метою задоволення потреб та інтересів територіальної громади у послугах паркування було прийнято рішення Луцької міської ради від 28.05.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2008 № 27/13</w:t>
      </w:r>
      <w:r>
        <w:rPr>
          <w:rFonts w:ascii="Times New Roman" w:hAnsi="Times New Roman"/>
          <w:sz w:val="28"/>
          <w:szCs w:val="28"/>
          <w:lang w:val="uk-UA"/>
        </w:rPr>
        <w:t xml:space="preserve"> “Про створення комунального підприємства «АвтоПаркСервіс»”.</w:t>
      </w:r>
    </w:p>
    <w:p w14:paraId="486526E5" w14:textId="77777777" w:rsidR="008622D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Основними видами діяльності КП «АвтоПаркСервіс» є забезпечення функціонування інфраструктури автомобільного та міського транспорту, надання послуг з паркування автомобілів, надання в оренду власного нерухомого майна, управління нерухомим майном тощо.</w:t>
      </w:r>
    </w:p>
    <w:p w14:paraId="6B91E88B" w14:textId="77777777" w:rsidR="008622D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Протягом 2024 року основну частину доходу підприємство отримало надаючи послуги:</w:t>
      </w:r>
    </w:p>
    <w:p w14:paraId="57931607" w14:textId="77777777" w:rsidR="008622D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бронювання місць для стоянки автотранспорту на відведених місцях;</w:t>
      </w:r>
    </w:p>
    <w:p w14:paraId="40C0FC5C" w14:textId="77777777" w:rsidR="008622D7" w:rsidRDefault="00000000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паркування транспортних засобів на паркувальних майданчиках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  <w:lang w:val="uk-UA"/>
        </w:rPr>
        <w:t xml:space="preserve"> вул. Карпенка-Карого,1 та вул. Кривий Вал;</w:t>
      </w:r>
    </w:p>
    <w:p w14:paraId="469E2BE4" w14:textId="77777777" w:rsidR="008622D7" w:rsidRDefault="00000000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розташування рекламних засобів, що перебувають у комунальній власності Луцької міської територіальної громади (рекламні засоби задіяні для розміщення соціальної реклами та висвітлення інформації про соціальні проєкти);</w:t>
      </w:r>
    </w:p>
    <w:p w14:paraId="3D0694D5" w14:textId="344B0BC0" w:rsidR="008622D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контролю оплати проїзду громадському транспорті (з </w:t>
      </w:r>
      <w:r w:rsidR="000D0B89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8 жовтня 2024</w:t>
      </w:r>
      <w:r w:rsidR="000D0B89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року).</w:t>
      </w:r>
    </w:p>
    <w:p w14:paraId="40888266" w14:textId="35A2496E" w:rsidR="008622D7" w:rsidRDefault="00000000" w:rsidP="000D0B89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У 2024 році на виконання рішень виконавчого комітету міської ради від 20.12.2022 № 692-</w:t>
      </w:r>
      <w:r w:rsidRPr="000D0B89">
        <w:rPr>
          <w:rFonts w:ascii="Times New Roman" w:hAnsi="Times New Roman"/>
          <w:sz w:val="28"/>
          <w:szCs w:val="28"/>
          <w:lang w:val="uk-UA"/>
        </w:rPr>
        <w:t>1</w:t>
      </w:r>
      <w:r w:rsidR="000D0B89" w:rsidRPr="000D0B8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D0B89" w:rsidRPr="000D0B89">
        <w:rPr>
          <w:rFonts w:ascii="Times New Roman" w:hAnsi="Times New Roman"/>
          <w:sz w:val="28"/>
          <w:szCs w:val="28"/>
          <w:lang w:val="uk-UA"/>
        </w:rPr>
        <w:t xml:space="preserve">Про визначення комунального підприємства </w:t>
      </w:r>
      <w:r w:rsidR="000D0B89">
        <w:rPr>
          <w:rFonts w:ascii="Times New Roman" w:hAnsi="Times New Roman"/>
          <w:sz w:val="28"/>
          <w:szCs w:val="28"/>
          <w:lang w:val="en-US"/>
        </w:rPr>
        <w:t>“</w:t>
      </w:r>
      <w:r w:rsidR="000D0B89" w:rsidRPr="000D0B89">
        <w:rPr>
          <w:rFonts w:ascii="Times New Roman" w:hAnsi="Times New Roman"/>
          <w:sz w:val="28"/>
          <w:szCs w:val="28"/>
          <w:lang w:val="uk-UA"/>
        </w:rPr>
        <w:t>АвтоПаркСервіс</w:t>
      </w:r>
      <w:r w:rsidR="000D0B89">
        <w:rPr>
          <w:rFonts w:ascii="Times New Roman" w:hAnsi="Times New Roman"/>
          <w:sz w:val="28"/>
          <w:szCs w:val="28"/>
          <w:lang w:val="en-US"/>
        </w:rPr>
        <w:t>”</w:t>
      </w:r>
      <w:r w:rsidR="000D0B89" w:rsidRPr="000D0B89">
        <w:rPr>
          <w:rFonts w:ascii="Times New Roman" w:hAnsi="Times New Roman"/>
          <w:sz w:val="28"/>
          <w:szCs w:val="28"/>
          <w:lang w:val="uk-UA"/>
        </w:rPr>
        <w:t xml:space="preserve"> уповноваженою організацією з облаштування та експлуатації місць для розміщення транспортних засобів</w:t>
      </w:r>
      <w:r w:rsidR="000D0B89" w:rsidRPr="000D0B89">
        <w:rPr>
          <w:rFonts w:ascii="Times New Roman" w:hAnsi="Times New Roman"/>
          <w:sz w:val="28"/>
          <w:szCs w:val="28"/>
          <w:lang w:val="uk-UA"/>
        </w:rPr>
        <w:t>»</w:t>
      </w:r>
      <w:r w:rsidR="000D0B89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>
        <w:rPr>
          <w:rFonts w:ascii="Times New Roman" w:hAnsi="Times New Roman"/>
          <w:sz w:val="28"/>
          <w:szCs w:val="28"/>
          <w:lang w:val="uk-UA"/>
        </w:rPr>
        <w:t xml:space="preserve"> та від 29.12.2022 № 724-1 </w:t>
      </w:r>
      <w:r w:rsidR="000D0B89">
        <w:rPr>
          <w:rFonts w:ascii="Times New Roman" w:hAnsi="Times New Roman"/>
          <w:sz w:val="28"/>
          <w:szCs w:val="28"/>
          <w:lang w:val="uk-UA"/>
        </w:rPr>
        <w:t>«</w:t>
      </w:r>
      <w:r w:rsidR="000D0B89" w:rsidRPr="000D0B89">
        <w:rPr>
          <w:rFonts w:ascii="Times New Roman" w:hAnsi="Times New Roman"/>
          <w:sz w:val="28"/>
          <w:szCs w:val="28"/>
          <w:lang w:val="uk-UA"/>
        </w:rPr>
        <w:t>Про конкурс з визначення суб’єктів господарювання – надавачів послуг з облаштування та експлуатації місць для розміщення транспортних засобів у місті Луцьку</w:t>
      </w:r>
      <w:r w:rsidR="000D0B89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зі змінами комунальним підприємством проведено два конкурси з визначення суб’єктів господарювання – надавачів послуг з облаштування та експлуатації місць для розміщення транспортних засобів у місті Луцьку на вул. Глушець.</w:t>
      </w:r>
    </w:p>
    <w:p w14:paraId="4FFF66C9" w14:textId="77777777" w:rsidR="008622D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КП «АвтоПаркСервіс» визначено уповноваженим підприємством для здійснення організації та експлуатації майданчиків платного паркування транспортних засобів. 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продовж 2024 року (на виконання рішення виконавчого комітету міської ради від 02.09.2021 № 700-1 </w:t>
      </w:r>
      <w:r>
        <w:rPr>
          <w:rFonts w:ascii="Times New Roman" w:hAnsi="Times New Roman"/>
          <w:sz w:val="28"/>
          <w:szCs w:val="28"/>
          <w:lang w:val="uk-UA"/>
        </w:rPr>
        <w:t xml:space="preserve">«Про організацію майданчика для платного паркування транспортних засобів на вулиці Богдана Хмельницького, 1»)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проводилась робота з організації спеціально обладнаного майданчика для паркування транспортних засобів на вул. Богдана Хмельницького, 1 (поруч із </w:t>
      </w:r>
      <w:r>
        <w:rPr>
          <w:rFonts w:ascii="Times New Roman" w:hAnsi="Times New Roman"/>
          <w:sz w:val="28"/>
          <w:szCs w:val="28"/>
          <w:lang w:val="uk-UA"/>
        </w:rPr>
        <w:t xml:space="preserve">Волинським академічним обласним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українським музично-драматичним театром імені Тараса Шевченка), зокрема:</w:t>
      </w:r>
    </w:p>
    <w:p w14:paraId="1416FDCC" w14:textId="77777777" w:rsidR="008622D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розроблено </w:t>
      </w:r>
      <w:r>
        <w:rPr>
          <w:rFonts w:ascii="Times New Roman" w:hAnsi="Times New Roman"/>
          <w:sz w:val="28"/>
          <w:szCs w:val="28"/>
          <w:lang w:val="uk-UA"/>
        </w:rPr>
        <w:t>та затверджено схему організації дорожнього руху на цьому паркувальному майданчику;</w:t>
      </w:r>
    </w:p>
    <w:p w14:paraId="5113273E" w14:textId="3C768872" w:rsidR="008622D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виконано підготовчі роботи з облаштування майданчика для паркування транспортних засобів, з урахуванням завантаженості та потреб 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>жителів і гостей міста;</w:t>
      </w:r>
    </w:p>
    <w:p w14:paraId="66D54ED6" w14:textId="77777777" w:rsidR="008622D7" w:rsidRDefault="00000000">
      <w:pPr>
        <w:spacing w:after="0" w:line="240" w:lineRule="auto"/>
        <w:ind w:firstLine="567"/>
        <w:jc w:val="both"/>
      </w:pPr>
      <w:r>
        <w:rPr>
          <w:rStyle w:val="rvts0"/>
          <w:rFonts w:ascii="Times New Roman" w:hAnsi="Times New Roman"/>
          <w:sz w:val="28"/>
          <w:szCs w:val="28"/>
          <w:lang w:val="uk-UA"/>
        </w:rPr>
        <w:t>нанесено необхідну дорожню розмітку;</w:t>
      </w:r>
    </w:p>
    <w:p w14:paraId="203E555D" w14:textId="77777777" w:rsidR="008622D7" w:rsidRDefault="00000000">
      <w:pPr>
        <w:spacing w:after="0" w:line="240" w:lineRule="auto"/>
        <w:ind w:firstLine="567"/>
        <w:jc w:val="both"/>
      </w:pPr>
      <w:r>
        <w:rPr>
          <w:rStyle w:val="rvts0"/>
          <w:rFonts w:ascii="Times New Roman" w:hAnsi="Times New Roman"/>
          <w:sz w:val="28"/>
          <w:szCs w:val="28"/>
          <w:lang w:val="uk-UA"/>
        </w:rPr>
        <w:t>оголошено тендер на закупівлю обладнання.</w:t>
      </w:r>
    </w:p>
    <w:p w14:paraId="125DA0A9" w14:textId="5094A3A6" w:rsidR="008622D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Господарська діяльність КП «АвтоПаркСервіс» із забезпечення паркування транспортних засобів у звітному періоді проводилась на відведених паркувальних майданчиках, що розташовані на вулицях Карпенка-Карого, 1</w:t>
      </w:r>
      <w:r w:rsidR="00B9263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–</w:t>
      </w:r>
      <w:r w:rsidR="00B9263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26 паркомісць (в т. ч. чотири для осіб з інвалідністю), Кривий Вал – 26 паркомісць (в т. ч. чотири для осіб з інвалідністю).</w:t>
      </w:r>
    </w:p>
    <w:p w14:paraId="2CE93F00" w14:textId="77777777" w:rsidR="008622D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Тариф на послуги з користування платними комунальними майданчиками для паркування, що введені в експлуатацію, встановлено в розмірі 10,0 грн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 ПДВ за одну годину паркування.</w:t>
      </w:r>
    </w:p>
    <w:p w14:paraId="0B22A10B" w14:textId="77777777" w:rsidR="008622D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З жовтня 2024 року Комунальне підприємство «АвтоПаркСервіс» уповноважено здійснювати контроль за здійсненням оплати (реєстрації) проїзду у міському пасажирському транспорті загального користування (в автобусах).</w:t>
      </w:r>
    </w:p>
    <w:p w14:paraId="4A88E5C2" w14:textId="77777777" w:rsidR="008622D7" w:rsidRDefault="008622D7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14:paraId="00E31740" w14:textId="77777777" w:rsidR="008622D7" w:rsidRDefault="00000000">
      <w:pPr>
        <w:spacing w:after="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Фінансово-господарська діяльність підприємства</w:t>
      </w:r>
    </w:p>
    <w:p w14:paraId="22FFA893" w14:textId="77777777" w:rsidR="008622D7" w:rsidRDefault="008622D7">
      <w:pPr>
        <w:spacing w:after="0" w:line="240" w:lineRule="auto"/>
        <w:ind w:firstLine="567"/>
        <w:jc w:val="center"/>
        <w:rPr>
          <w:rFonts w:ascii="Times New Roman" w:hAnsi="Times New Roman"/>
          <w:sz w:val="10"/>
          <w:szCs w:val="10"/>
          <w:lang w:val="uk-UA"/>
        </w:rPr>
      </w:pPr>
    </w:p>
    <w:p w14:paraId="44F2DD54" w14:textId="18D3A0C8" w:rsidR="008622D7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 2024 року переважна частина доходів підприємства складалась із надходжень, отриманих від надання послуг із бронювання місць для паркування автотранспорту на вул</w:t>
      </w:r>
      <w:r w:rsidR="00B92636">
        <w:rPr>
          <w:rFonts w:ascii="Times New Roman" w:hAnsi="Times New Roman"/>
          <w:sz w:val="28"/>
          <w:szCs w:val="28"/>
          <w:lang w:val="uk-UA"/>
        </w:rPr>
        <w:t>. </w:t>
      </w:r>
      <w:r>
        <w:rPr>
          <w:rFonts w:ascii="Times New Roman" w:hAnsi="Times New Roman"/>
          <w:sz w:val="28"/>
          <w:szCs w:val="28"/>
          <w:lang w:val="uk-UA"/>
        </w:rPr>
        <w:t xml:space="preserve">Назарія Яремчука, що надається підприємством відповідно до рішення виконавчого комітету міської ради від 29.10.2015 № 639-1 «Про забезпечення Комунальним підприємством “АвтоПаркСервіс” бронювання місць для стоянки автотранспорту на відведених місцях». </w:t>
      </w:r>
    </w:p>
    <w:p w14:paraId="3421C143" w14:textId="77777777" w:rsidR="008622D7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Всього комунальним підприємством отримано 4 609,2 тис. грн доходів, що на 980,3 тис. грн </w:t>
      </w:r>
      <w:bookmarkStart w:id="0" w:name="_Hlk187149837"/>
      <w:r>
        <w:rPr>
          <w:rFonts w:ascii="Times New Roman" w:hAnsi="Times New Roman"/>
          <w:sz w:val="28"/>
          <w:szCs w:val="28"/>
          <w:lang w:val="uk-UA"/>
        </w:rPr>
        <w:t>більше ніж за 2023 рік (3 628,9 тис. грн).</w:t>
      </w:r>
    </w:p>
    <w:bookmarkEnd w:id="0"/>
    <w:p w14:paraId="0DFFEC21" w14:textId="77777777" w:rsidR="008622D7" w:rsidRDefault="008622D7">
      <w:pPr>
        <w:spacing w:after="0" w:line="240" w:lineRule="auto"/>
        <w:jc w:val="center"/>
        <w:rPr>
          <w:rFonts w:ascii="Times New Roman" w:hAnsi="Times New Roman"/>
        </w:rPr>
      </w:pPr>
    </w:p>
    <w:p w14:paraId="2E1257BA" w14:textId="77777777" w:rsidR="008622D7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Порівняльна характеристика доходів підприємства</w:t>
      </w:r>
    </w:p>
    <w:p w14:paraId="10BC34B8" w14:textId="77777777" w:rsidR="008622D7" w:rsidRDefault="0000000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тис. грн </w:t>
      </w:r>
    </w:p>
    <w:tbl>
      <w:tblPr>
        <w:tblW w:w="9353" w:type="dxa"/>
        <w:tblInd w:w="73" w:type="dxa"/>
        <w:tblLayout w:type="fixed"/>
        <w:tblLook w:val="00A0" w:firstRow="1" w:lastRow="0" w:firstColumn="1" w:lastColumn="0" w:noHBand="0" w:noVBand="0"/>
      </w:tblPr>
      <w:tblGrid>
        <w:gridCol w:w="630"/>
        <w:gridCol w:w="4229"/>
        <w:gridCol w:w="1411"/>
        <w:gridCol w:w="1424"/>
        <w:gridCol w:w="1659"/>
      </w:tblGrid>
      <w:tr w:rsidR="008622D7" w:rsidRPr="00B92636" w14:paraId="7A101529" w14:textId="77777777">
        <w:trPr>
          <w:trHeight w:val="55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2886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6090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63E1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9A56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A8CA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Відхилення +/-</w:t>
            </w:r>
          </w:p>
        </w:tc>
      </w:tr>
      <w:tr w:rsidR="008622D7" w:rsidRPr="00B92636" w14:paraId="2BFA1EF5" w14:textId="77777777">
        <w:trPr>
          <w:trHeight w:val="48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C68C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BE0E" w14:textId="77777777" w:rsidR="008622D7" w:rsidRPr="00B9263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Доходи від надання послуг фізичним особам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E6B8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3 628,9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ED32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4 609,2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7487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980,3</w:t>
            </w:r>
          </w:p>
        </w:tc>
      </w:tr>
      <w:tr w:rsidR="008622D7" w:rsidRPr="00B92636" w14:paraId="10D880E0" w14:textId="77777777">
        <w:trPr>
          <w:trHeight w:val="48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7485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F226" w14:textId="77777777" w:rsidR="008622D7" w:rsidRPr="00B9263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ПДВ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81DC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267,8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9788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768,2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289B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500,4</w:t>
            </w:r>
          </w:p>
        </w:tc>
      </w:tr>
      <w:tr w:rsidR="008622D7" w:rsidRPr="00B92636" w14:paraId="3615EFBC" w14:textId="77777777">
        <w:trPr>
          <w:trHeight w:val="49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DE8D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A482" w14:textId="77777777" w:rsidR="008622D7" w:rsidRPr="00B92636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Інші вирахування з доходу (паркувальний збір)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EE89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332,8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D968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344,7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D4A3D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11,9</w:t>
            </w:r>
          </w:p>
        </w:tc>
      </w:tr>
      <w:tr w:rsidR="008622D7" w:rsidRPr="00B92636" w14:paraId="41A2A3ED" w14:textId="77777777">
        <w:trPr>
          <w:trHeight w:val="39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D684" w14:textId="77777777" w:rsidR="008622D7" w:rsidRPr="00B92636" w:rsidRDefault="008622D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49EB" w14:textId="77777777" w:rsidR="008622D7" w:rsidRPr="00B92636" w:rsidRDefault="00000000">
            <w:pPr>
              <w:widowControl w:val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 чистий дохід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662F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3 037,3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F12F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3 496,3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53A5" w14:textId="77777777" w:rsidR="008622D7" w:rsidRPr="00B92636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459,0</w:t>
            </w:r>
          </w:p>
        </w:tc>
      </w:tr>
    </w:tbl>
    <w:p w14:paraId="1777A3C6" w14:textId="77777777" w:rsidR="008622D7" w:rsidRDefault="008622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D2B340" w14:textId="77777777" w:rsidR="008622D7" w:rsidRDefault="00000000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У 2024 році Комунальним підприємством «АвтоПаркСервіс» сплачено податків, зборів та інших обов’язкових платежів до бюджетів усіх рівнів на суму 2 424,2 тис. грн, що на 865,2 тис. грн </w:t>
      </w:r>
      <w:r>
        <w:rPr>
          <w:rFonts w:ascii="Times New Roman" w:hAnsi="Times New Roman"/>
          <w:sz w:val="28"/>
          <w:szCs w:val="28"/>
          <w:lang w:val="uk-UA"/>
        </w:rPr>
        <w:t>більше ніж за 2023 рік (1 559,0 тис. грн).</w:t>
      </w:r>
    </w:p>
    <w:p w14:paraId="253393AA" w14:textId="77777777" w:rsidR="008622D7" w:rsidRDefault="008622D7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14:paraId="46B4AC6F" w14:textId="77777777" w:rsidR="008622D7" w:rsidRDefault="00000000">
      <w:pPr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Розмір сплачених податків, зборів та інших обов’язкових </w:t>
      </w:r>
    </w:p>
    <w:p w14:paraId="1C4809B3" w14:textId="77777777" w:rsidR="008622D7" w:rsidRDefault="00000000">
      <w:pPr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платежів до бюджетів усіх рівнів у 2024 році</w:t>
      </w:r>
    </w:p>
    <w:p w14:paraId="12A8D6AC" w14:textId="77777777" w:rsidR="008622D7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tbl>
      <w:tblPr>
        <w:tblW w:w="9344" w:type="dxa"/>
        <w:jc w:val="right"/>
        <w:tblLayout w:type="fixed"/>
        <w:tblLook w:val="00A0" w:firstRow="1" w:lastRow="0" w:firstColumn="1" w:lastColumn="0" w:noHBand="0" w:noVBand="0"/>
      </w:tblPr>
      <w:tblGrid>
        <w:gridCol w:w="673"/>
        <w:gridCol w:w="6362"/>
        <w:gridCol w:w="2309"/>
      </w:tblGrid>
      <w:tr w:rsidR="008622D7" w:rsidRPr="00B92636" w14:paraId="6A4673BC" w14:textId="77777777">
        <w:trPr>
          <w:trHeight w:val="325"/>
          <w:jc w:val="righ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3243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33DF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AB7B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 грн</w:t>
            </w:r>
          </w:p>
        </w:tc>
      </w:tr>
      <w:tr w:rsidR="008622D7" w:rsidRPr="00B92636" w14:paraId="339EDE3E" w14:textId="77777777">
        <w:trPr>
          <w:trHeight w:val="267"/>
          <w:jc w:val="righ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BD2DC46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3592F43" w14:textId="77777777" w:rsidR="008622D7" w:rsidRPr="00B92636" w:rsidRDefault="0000000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F770245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139,6</w:t>
            </w:r>
          </w:p>
        </w:tc>
      </w:tr>
      <w:tr w:rsidR="008622D7" w:rsidRPr="00B92636" w14:paraId="666740BE" w14:textId="77777777">
        <w:trPr>
          <w:trHeight w:val="267"/>
          <w:jc w:val="righ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0C0CDCE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FA45D82" w14:textId="77777777" w:rsidR="008622D7" w:rsidRPr="00B92636" w:rsidRDefault="0000000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Частина чистого прибутку (25%)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FA41FDD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229,9</w:t>
            </w:r>
          </w:p>
        </w:tc>
      </w:tr>
      <w:tr w:rsidR="008622D7" w:rsidRPr="00B92636" w14:paraId="28848C93" w14:textId="77777777">
        <w:trPr>
          <w:trHeight w:val="267"/>
          <w:jc w:val="righ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22BA299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F099ECC" w14:textId="77777777" w:rsidR="008622D7" w:rsidRPr="00B92636" w:rsidRDefault="0000000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Збір за місця паркування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F1DE26F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346,0</w:t>
            </w:r>
          </w:p>
        </w:tc>
      </w:tr>
      <w:tr w:rsidR="008622D7" w:rsidRPr="00B92636" w14:paraId="06D22B65" w14:textId="77777777">
        <w:trPr>
          <w:trHeight w:val="267"/>
          <w:jc w:val="righ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011AB7D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0EC83D9" w14:textId="77777777" w:rsidR="008622D7" w:rsidRPr="00B92636" w:rsidRDefault="0000000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ЄСВ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C8AE078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373,7</w:t>
            </w:r>
          </w:p>
        </w:tc>
      </w:tr>
      <w:tr w:rsidR="008622D7" w:rsidRPr="00B92636" w14:paraId="1AA0DBE0" w14:textId="77777777">
        <w:trPr>
          <w:trHeight w:val="267"/>
          <w:jc w:val="righ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7D78653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24906AE" w14:textId="77777777" w:rsidR="008622D7" w:rsidRPr="00B92636" w:rsidRDefault="0000000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ПДФО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6920399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307,2</w:t>
            </w:r>
          </w:p>
        </w:tc>
      </w:tr>
      <w:tr w:rsidR="008622D7" w:rsidRPr="00B92636" w14:paraId="594ABE79" w14:textId="77777777">
        <w:trPr>
          <w:trHeight w:val="267"/>
          <w:jc w:val="righ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81FEB4E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B92DB63" w14:textId="77777777" w:rsidR="008622D7" w:rsidRPr="00B92636" w:rsidRDefault="0000000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Військовий збір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BF74CD0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33,8</w:t>
            </w:r>
          </w:p>
        </w:tc>
      </w:tr>
      <w:tr w:rsidR="008622D7" w:rsidRPr="00B92636" w14:paraId="24A5402A" w14:textId="77777777">
        <w:trPr>
          <w:trHeight w:val="267"/>
          <w:jc w:val="righ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37A0BFD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C2AAF32" w14:textId="77777777" w:rsidR="008622D7" w:rsidRPr="00B92636" w:rsidRDefault="0000000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Земельний податок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C8FD32D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305,4</w:t>
            </w:r>
          </w:p>
        </w:tc>
      </w:tr>
      <w:tr w:rsidR="008622D7" w:rsidRPr="00B92636" w14:paraId="5BD9E46C" w14:textId="77777777">
        <w:trPr>
          <w:trHeight w:val="267"/>
          <w:jc w:val="righ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29B446D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99CFA24" w14:textId="77777777" w:rsidR="008622D7" w:rsidRPr="00B92636" w:rsidRDefault="00000000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ПДВ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6350A53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688,6</w:t>
            </w:r>
          </w:p>
        </w:tc>
      </w:tr>
      <w:tr w:rsidR="008622D7" w:rsidRPr="00B92636" w14:paraId="7C7C32CB" w14:textId="77777777">
        <w:trPr>
          <w:trHeight w:val="267"/>
          <w:jc w:val="righ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11CEE02" w14:textId="77777777" w:rsidR="008622D7" w:rsidRPr="00B92636" w:rsidRDefault="008622D7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DE39658" w14:textId="77777777" w:rsidR="008622D7" w:rsidRPr="00B92636" w:rsidRDefault="0000000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F0BA314" w14:textId="77777777" w:rsidR="008622D7" w:rsidRPr="00B92636" w:rsidRDefault="00000000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2 424,2</w:t>
            </w:r>
          </w:p>
        </w:tc>
      </w:tr>
    </w:tbl>
    <w:p w14:paraId="43B591C1" w14:textId="77777777" w:rsidR="008622D7" w:rsidRDefault="008622D7">
      <w:pPr>
        <w:pStyle w:val="af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56445" w14:textId="77777777" w:rsidR="008622D7" w:rsidRDefault="00000000">
      <w:pPr>
        <w:pStyle w:val="af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Сума витрат господарської діяльності КП «АвтоПаркСервіс» за підсумками 2024 року склала 2 827,2 тис. грн, що на 979,4 тис. грн більше, порівняно із 2023 роком.</w:t>
      </w:r>
    </w:p>
    <w:p w14:paraId="0F0465AA" w14:textId="77777777" w:rsidR="008622D7" w:rsidRDefault="008622D7">
      <w:pPr>
        <w:pStyle w:val="af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BCDFE2" w14:textId="77777777" w:rsidR="008622D7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Структура витрат </w:t>
      </w:r>
    </w:p>
    <w:p w14:paraId="06E5B2A1" w14:textId="77777777" w:rsidR="008622D7" w:rsidRDefault="008622D7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9323" w:type="dxa"/>
        <w:tblInd w:w="148" w:type="dxa"/>
        <w:tblLayout w:type="fixed"/>
        <w:tblLook w:val="00A0" w:firstRow="1" w:lastRow="0" w:firstColumn="1" w:lastColumn="0" w:noHBand="0" w:noVBand="0"/>
      </w:tblPr>
      <w:tblGrid>
        <w:gridCol w:w="7305"/>
        <w:gridCol w:w="2018"/>
      </w:tblGrid>
      <w:tr w:rsidR="008622D7" w:rsidRPr="00B92636" w14:paraId="654263CC" w14:textId="77777777">
        <w:trPr>
          <w:trHeight w:val="542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026F94" w14:textId="77777777" w:rsidR="008622D7" w:rsidRPr="00B92636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63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Статті витрат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7F573C" w14:textId="77777777" w:rsidR="008622D7" w:rsidRPr="00B92636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тис. грн</w:t>
            </w:r>
          </w:p>
        </w:tc>
      </w:tr>
      <w:tr w:rsidR="008622D7" w:rsidRPr="00B92636" w14:paraId="4D5BC8A3" w14:textId="77777777">
        <w:trPr>
          <w:trHeight w:val="463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827E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263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Собівартість реалізованої продукції (товарів, робіт та послуг)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FF81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1 433,7</w:t>
            </w:r>
          </w:p>
        </w:tc>
      </w:tr>
      <w:tr w:rsidR="008622D7" w:rsidRPr="00B92636" w14:paraId="4D170B95" w14:textId="77777777">
        <w:trPr>
          <w:trHeight w:val="425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E7B6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263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Адміністративні витрати всього, у тому числі: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0A6F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1 088,2</w:t>
            </w:r>
          </w:p>
        </w:tc>
      </w:tr>
      <w:tr w:rsidR="008622D7" w:rsidRPr="00B92636" w14:paraId="09E1F023" w14:textId="77777777">
        <w:trPr>
          <w:trHeight w:val="447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2302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 xml:space="preserve">    витрати на оплату праці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A8F7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680,5</w:t>
            </w:r>
          </w:p>
        </w:tc>
      </w:tr>
      <w:tr w:rsidR="008622D7" w:rsidRPr="00B92636" w14:paraId="634EF40A" w14:textId="77777777">
        <w:trPr>
          <w:trHeight w:val="447"/>
        </w:trPr>
        <w:tc>
          <w:tcPr>
            <w:tcW w:w="7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317A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відрахування на соціальні  заходи (ЄСВ)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E917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152,2</w:t>
            </w:r>
          </w:p>
        </w:tc>
      </w:tr>
      <w:tr w:rsidR="008622D7" w:rsidRPr="00B92636" w14:paraId="14B0E949" w14:textId="77777777">
        <w:trPr>
          <w:trHeight w:val="447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17EB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витрати та послуги зв'язку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8EFA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10,0</w:t>
            </w:r>
          </w:p>
        </w:tc>
      </w:tr>
      <w:tr w:rsidR="008622D7" w:rsidRPr="00B92636" w14:paraId="6E8FBBFF" w14:textId="77777777">
        <w:trPr>
          <w:trHeight w:val="353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4E8A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інші адміністративні витрати всього, в тому числі: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E6BE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245,5</w:t>
            </w:r>
          </w:p>
        </w:tc>
      </w:tr>
      <w:tr w:rsidR="008622D7" w:rsidRPr="00B92636" w14:paraId="422BE3E6" w14:textId="77777777">
        <w:trPr>
          <w:trHeight w:val="353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0F97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</w:t>
            </w: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адміністративні та судові збори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C157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64,6</w:t>
            </w:r>
          </w:p>
        </w:tc>
      </w:tr>
      <w:tr w:rsidR="008622D7" w:rsidRPr="00B92636" w14:paraId="4EC4F092" w14:textId="77777777">
        <w:trPr>
          <w:trHeight w:val="353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B85C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витрати на інформаційні послуги (медіа)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780A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35,6</w:t>
            </w:r>
          </w:p>
        </w:tc>
      </w:tr>
      <w:tr w:rsidR="008622D7" w:rsidRPr="00B92636" w14:paraId="47D3B89B" w14:textId="77777777">
        <w:trPr>
          <w:trHeight w:val="353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022E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комунальні послуги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8330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28,6</w:t>
            </w:r>
          </w:p>
        </w:tc>
      </w:tr>
      <w:tr w:rsidR="008622D7" w:rsidRPr="00B92636" w14:paraId="6DB7A54D" w14:textId="77777777">
        <w:trPr>
          <w:trHeight w:val="353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E901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витрати на канцтовари, заправку картриджів, поштові витрати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84E8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20,7</w:t>
            </w:r>
          </w:p>
        </w:tc>
      </w:tr>
      <w:tr w:rsidR="008622D7" w:rsidRPr="00B92636" w14:paraId="14CE41DC" w14:textId="77777777">
        <w:trPr>
          <w:trHeight w:val="353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5FD4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підписка та обслуговування Медок, 1-С Бухгалтерія, Ліга закон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0E5F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16,4</w:t>
            </w:r>
          </w:p>
        </w:tc>
      </w:tr>
      <w:tr w:rsidR="008622D7" w:rsidRPr="00B92636" w14:paraId="4996538D" w14:textId="77777777">
        <w:trPr>
          <w:trHeight w:val="353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4540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касове, банк. обслуговування (в т.ч. - % посттермінала), абонплата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8828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14,4</w:t>
            </w:r>
          </w:p>
        </w:tc>
      </w:tr>
      <w:tr w:rsidR="008622D7" w:rsidRPr="00B92636" w14:paraId="7703E95C" w14:textId="77777777">
        <w:trPr>
          <w:trHeight w:val="353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D14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ремонт основних засобів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1E79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13,3</w:t>
            </w:r>
          </w:p>
        </w:tc>
      </w:tr>
      <w:tr w:rsidR="008622D7" w:rsidRPr="00B92636" w14:paraId="29EA8903" w14:textId="77777777">
        <w:trPr>
          <w:trHeight w:val="353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73B8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амортизація основних засобів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3915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13,1</w:t>
            </w:r>
          </w:p>
        </w:tc>
      </w:tr>
      <w:tr w:rsidR="008622D7" w:rsidRPr="00B92636" w14:paraId="6AC2CC56" w14:textId="77777777">
        <w:trPr>
          <w:trHeight w:val="353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FC47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витрати на послуги з приймання платежів (Ізі-Пей, ЮАПЕЙ)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EE82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12,6</w:t>
            </w:r>
          </w:p>
        </w:tc>
      </w:tr>
      <w:tr w:rsidR="008622D7" w:rsidRPr="00B92636" w14:paraId="7DB4CE60" w14:textId="77777777">
        <w:trPr>
          <w:trHeight w:val="353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FAA6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оренда приміщення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925D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/>
              </w:rPr>
              <w:t>10,3</w:t>
            </w:r>
          </w:p>
        </w:tc>
      </w:tr>
      <w:tr w:rsidR="008622D7" w:rsidRPr="00B92636" w14:paraId="160C6F89" w14:textId="77777777">
        <w:trPr>
          <w:trHeight w:val="353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3BDA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витрати по прибиранню місць загального користування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E127" w14:textId="77777777" w:rsidR="008622D7" w:rsidRPr="00B92636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 w:eastAsia="ru-RU"/>
              </w:rPr>
              <w:t>8,6</w:t>
            </w:r>
          </w:p>
        </w:tc>
      </w:tr>
      <w:tr w:rsidR="008622D7" w:rsidRPr="00B92636" w14:paraId="28E1280F" w14:textId="77777777">
        <w:trPr>
          <w:trHeight w:val="353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907D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B92636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електронні ключі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14AE" w14:textId="77777777" w:rsidR="008622D7" w:rsidRPr="00B92636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 w:eastAsia="ru-RU"/>
              </w:rPr>
              <w:t>5,0</w:t>
            </w:r>
          </w:p>
        </w:tc>
      </w:tr>
      <w:tr w:rsidR="008622D7" w:rsidRPr="00B92636" w14:paraId="0ED6C087" w14:textId="77777777">
        <w:trPr>
          <w:trHeight w:val="353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A0E9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витрати на о</w:t>
            </w:r>
            <w:r w:rsidRPr="00B92636">
              <w:rPr>
                <w:rFonts w:ascii="Times New Roman" w:hAnsi="Times New Roman"/>
                <w:sz w:val="28"/>
                <w:szCs w:val="28"/>
                <w:lang w:eastAsia="uk-UA"/>
              </w:rPr>
              <w:t>хорон</w:t>
            </w:r>
            <w:r w:rsidRPr="00B92636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</w:t>
            </w:r>
            <w:r w:rsidRPr="00B9263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праці</w:t>
            </w:r>
            <w:r w:rsidRPr="00B92636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та страхування приміщення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0633" w14:textId="77777777" w:rsidR="008622D7" w:rsidRPr="00B92636" w:rsidRDefault="0000000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92636">
              <w:rPr>
                <w:rFonts w:ascii="Times New Roman" w:hAnsi="Times New Roman"/>
                <w:sz w:val="28"/>
                <w:szCs w:val="28"/>
                <w:lang w:val="uk-UA" w:eastAsia="ru-RU"/>
              </w:rPr>
              <w:t>2,3</w:t>
            </w:r>
          </w:p>
        </w:tc>
      </w:tr>
      <w:tr w:rsidR="008622D7" w:rsidRPr="00B92636" w14:paraId="47B24FFB" w14:textId="77777777">
        <w:trPr>
          <w:trHeight w:val="246"/>
        </w:trPr>
        <w:tc>
          <w:tcPr>
            <w:tcW w:w="7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FA4A108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263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Інші витрати (земельний податок)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9C28D44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305,3</w:t>
            </w:r>
          </w:p>
        </w:tc>
      </w:tr>
      <w:tr w:rsidR="008622D7" w:rsidRPr="00B92636" w14:paraId="547A26F9" w14:textId="77777777">
        <w:trPr>
          <w:trHeight w:val="478"/>
        </w:trPr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EB327B4" w14:textId="77777777" w:rsidR="008622D7" w:rsidRPr="00B92636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263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A06DDDC" w14:textId="77777777" w:rsidR="008622D7" w:rsidRPr="00B92636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63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2 827,2</w:t>
            </w:r>
          </w:p>
        </w:tc>
      </w:tr>
    </w:tbl>
    <w:p w14:paraId="6D36076E" w14:textId="77777777" w:rsidR="008622D7" w:rsidRPr="00B92636" w:rsidRDefault="008622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C7F328" w14:textId="77777777" w:rsidR="008622D7" w:rsidRDefault="00000000">
      <w:pPr>
        <w:spacing w:after="142" w:line="240" w:lineRule="auto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>Чисельність працівників та розмір заробітної плати</w:t>
      </w:r>
    </w:p>
    <w:p w14:paraId="2DC82A76" w14:textId="77777777" w:rsidR="008622D7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Станом на 31.12.2024 чисельність працівників КП «АвтоПаркСервіс» складала 13 осіб, в тому числі два сумісники та одна мобілізована особа. Сума середньомісячної заробітної плати одного працівника у 2024 році становила 17 797,7 грн, в т. ч. штатного – 18 860,8 грн.</w:t>
      </w:r>
    </w:p>
    <w:p w14:paraId="7311BE0A" w14:textId="77777777" w:rsidR="008622D7" w:rsidRDefault="00000000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32"/>
          <w:lang w:val="uk-UA"/>
        </w:rPr>
        <w:t>Заборгованість із виплати заробітної плати на підприємстві відсутня.</w:t>
      </w:r>
    </w:p>
    <w:p w14:paraId="0AB48949" w14:textId="77777777" w:rsidR="008622D7" w:rsidRDefault="008622D7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14:paraId="4B036E8A" w14:textId="77777777" w:rsidR="008622D7" w:rsidRDefault="00000000">
      <w:pPr>
        <w:spacing w:after="142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Перспективи розвитку підприємства</w:t>
      </w:r>
    </w:p>
    <w:p w14:paraId="5DB486BD" w14:textId="3A1BCF4B" w:rsidR="008622D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За результатами фінансово-господарської діяльності КП «АвтоПаркСервіс» у 2024 році отримано 4 609,2 тис. грн доходів (за 2023</w:t>
      </w:r>
      <w:r w:rsidR="00397346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рік – 3 361,1 тис. грн). У 2025 році підприємством заплановано отримати 4 897,8 тис. грн доходів (без ПДВ).</w:t>
      </w:r>
    </w:p>
    <w:p w14:paraId="71A1DBFF" w14:textId="1A0FAABF" w:rsidR="008622D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З метою сприяння розвитку туристичної сфери міста Луцька для подорожуючих автомобілем, протягом І півріччя 2025 </w:t>
      </w:r>
      <w:r w:rsidR="00397346">
        <w:rPr>
          <w:rFonts w:ascii="Times New Roman" w:hAnsi="Times New Roman"/>
          <w:sz w:val="28"/>
          <w:szCs w:val="28"/>
          <w:lang w:val="uk-UA"/>
        </w:rPr>
        <w:t xml:space="preserve">року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комунальне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підприємство планує зосередити свої сили на поступовому збільшенні кількості паркомісць у центральній частині міста</w:t>
      </w:r>
      <w:r w:rsidR="00397346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зокрема:</w:t>
      </w:r>
    </w:p>
    <w:p w14:paraId="6981AF95" w14:textId="66162711" w:rsidR="008622D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завершити облаштування спеціально відведеного майданчика для паркування транспортних засобів на вул. Богдана Хмельницького, 1 –планується впровадження автоматичної системи паркування у вигляді в’їзного-виїзного терміналу (до кінця березня 2025 року);</w:t>
      </w:r>
    </w:p>
    <w:p w14:paraId="2F39E157" w14:textId="77777777" w:rsidR="008622D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вул. Винниченка – облаштування паркувального майданчика планується шляхом нанесення відповідної дорожньої розмітки, встановлення інформаційних табличок з інструкцією безготівкової оплати послуг.</w:t>
      </w:r>
    </w:p>
    <w:p w14:paraId="5A8683E5" w14:textId="77777777" w:rsidR="008622D7" w:rsidRDefault="00000000">
      <w:pPr>
        <w:spacing w:after="0" w:line="240" w:lineRule="auto"/>
        <w:ind w:firstLine="567"/>
        <w:jc w:val="both"/>
        <w:rPr>
          <w:b/>
          <w:color w:val="FF0000"/>
        </w:rPr>
      </w:pPr>
      <w:r>
        <w:rPr>
          <w:rFonts w:ascii="Times New Roman" w:hAnsi="Times New Roman"/>
          <w:sz w:val="28"/>
          <w:szCs w:val="28"/>
          <w:lang w:val="uk-UA"/>
        </w:rPr>
        <w:t>На сьогодні, враховуючи поступове збільшення кількості автомобілів із електричними двигунами та автомобілів з гібридним двигуном та з метою позитивного впливу на екологічну та енергетичну ситуацію в місті, підвищення рівня комфорту в громаді, підприємство продовжує приймати участь у реалізації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електрозарядної інфраструктури </w:t>
      </w:r>
      <w:r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 долучившись до виконання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Програми розвитку електрозарядної інфраструктури Луцької міської територіальної громади на 2023-2027 роки, затвердженої рішенням міської ради від 29.11.2023 № 53/67. </w:t>
      </w:r>
    </w:p>
    <w:p w14:paraId="757ED85B" w14:textId="604485C7" w:rsidR="008622D7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1"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У 2025 році, після введення в експлуатацію спеціально відведеного майданчика для паркування транспортних засобів на вул. Богдана Хмельницького, 1 та встановлення тарифу на послугу з паркування транспортних засобів на </w:t>
      </w:r>
      <w:r w:rsidR="00397346">
        <w:rPr>
          <w:rFonts w:ascii="Times New Roman" w:hAnsi="Times New Roman"/>
          <w:sz w:val="28"/>
          <w:szCs w:val="28"/>
          <w:lang w:val="uk-UA"/>
        </w:rPr>
        <w:t>цьому</w:t>
      </w:r>
      <w:r>
        <w:rPr>
          <w:rFonts w:ascii="Times New Roman" w:hAnsi="Times New Roman"/>
          <w:sz w:val="28"/>
          <w:szCs w:val="28"/>
          <w:lang w:val="uk-UA"/>
        </w:rPr>
        <w:t xml:space="preserve"> паркувальному майданчику (І півріччя 2025</w:t>
      </w:r>
      <w:r w:rsidR="00397346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року) комунальним підприємством планується </w:t>
      </w:r>
      <w:r w:rsidR="00397346">
        <w:rPr>
          <w:rFonts w:ascii="Times New Roman" w:hAnsi="Times New Roman"/>
          <w:sz w:val="28"/>
          <w:szCs w:val="28"/>
          <w:lang w:val="uk-UA"/>
        </w:rPr>
        <w:t>таке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1E3F180B" w14:textId="77777777" w:rsidR="008622D7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переглянути встановлені тарифи на послуги з паркування транспортних засобів на паркувальних майданчиках, що також дасть можливість підвищити дохідність підприємства;</w:t>
      </w:r>
    </w:p>
    <w:p w14:paraId="758A1092" w14:textId="64B2F80B" w:rsidR="008622D7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</w:t>
      </w:r>
      <w:r w:rsidR="00397346">
        <w:rPr>
          <w:rFonts w:ascii="Times New Roman" w:hAnsi="Times New Roman"/>
          <w:sz w:val="28"/>
          <w:szCs w:val="28"/>
          <w:lang w:val="uk-UA"/>
        </w:rPr>
        <w:t xml:space="preserve">ити </w:t>
      </w:r>
      <w:r>
        <w:rPr>
          <w:rFonts w:ascii="Times New Roman" w:hAnsi="Times New Roman"/>
          <w:sz w:val="28"/>
          <w:szCs w:val="28"/>
          <w:lang w:val="uk-UA"/>
        </w:rPr>
        <w:t>обсяг надання послуг з розміщення рекламних засобів, що перебувають у комунальній власності територіальної громади міста Луцька (зокрема, від розміщення соціальної реклами та висвітлення інформації про соціальні проєкти до надання комерційних послуг з розміщення реклами).</w:t>
      </w:r>
    </w:p>
    <w:p w14:paraId="4CAAA22E" w14:textId="77777777" w:rsidR="008622D7" w:rsidRDefault="00000000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uk-UA"/>
        </w:rPr>
        <w:t>Крім цього, оскільки основна частина дохідності КП «АвтоПаркСервіс» формується за рахунок надання послуги з бронювання місць для стоянки автотранспорту на відведених місцях (на вул. Назарія Яремчука та вул. Івана Корсака), підприємство працює над облаштуванням нових (додаткових) місць для паркування, що в перспективі дасть можливість вирішити проблему хаотичного розміщення автотранспорту на вищезазначених вулицях.</w:t>
      </w:r>
    </w:p>
    <w:p w14:paraId="491CA357" w14:textId="77777777" w:rsidR="008622D7" w:rsidRDefault="008622D7">
      <w:pPr>
        <w:spacing w:after="0" w:line="240" w:lineRule="auto"/>
        <w:jc w:val="both"/>
        <w:rPr>
          <w:sz w:val="28"/>
          <w:szCs w:val="28"/>
        </w:rPr>
      </w:pPr>
    </w:p>
    <w:p w14:paraId="6AB31845" w14:textId="77777777" w:rsidR="008622D7" w:rsidRDefault="008622D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B6FCD5" w14:textId="77777777" w:rsidR="008622D7" w:rsidRDefault="008622D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E0E7B8D" w14:textId="77777777" w:rsidR="008622D7" w:rsidRDefault="00000000">
      <w:pPr>
        <w:spacing w:after="0" w:line="240" w:lineRule="auto"/>
      </w:pPr>
      <w:r>
        <w:rPr>
          <w:rFonts w:ascii="Times New Roman" w:hAnsi="Times New Roman"/>
          <w:bCs/>
          <w:sz w:val="28"/>
          <w:szCs w:val="28"/>
          <w:lang w:val="uk-UA"/>
        </w:rPr>
        <w:t>Директор КП «АвтоПаркСервіс»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Олег БАХТАЙ</w:t>
      </w:r>
    </w:p>
    <w:sectPr w:rsidR="008622D7">
      <w:headerReference w:type="even" r:id="rId7"/>
      <w:headerReference w:type="default" r:id="rId8"/>
      <w:headerReference w:type="first" r:id="rId9"/>
      <w:pgSz w:w="11906" w:h="16838"/>
      <w:pgMar w:top="1417" w:right="567" w:bottom="1701" w:left="1985" w:header="850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DDF9" w14:textId="77777777" w:rsidR="00514BCD" w:rsidRDefault="00514BCD">
      <w:pPr>
        <w:spacing w:after="0" w:line="240" w:lineRule="auto"/>
      </w:pPr>
      <w:r>
        <w:separator/>
      </w:r>
    </w:p>
  </w:endnote>
  <w:endnote w:type="continuationSeparator" w:id="0">
    <w:p w14:paraId="6C41BC14" w14:textId="77777777" w:rsidR="00514BCD" w:rsidRDefault="0051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6238" w14:textId="77777777" w:rsidR="00514BCD" w:rsidRDefault="00514BCD">
      <w:pPr>
        <w:spacing w:after="0" w:line="240" w:lineRule="auto"/>
      </w:pPr>
      <w:r>
        <w:separator/>
      </w:r>
    </w:p>
  </w:footnote>
  <w:footnote w:type="continuationSeparator" w:id="0">
    <w:p w14:paraId="5BCC9F68" w14:textId="77777777" w:rsidR="00514BCD" w:rsidRDefault="0051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3347" w14:textId="77777777" w:rsidR="008622D7" w:rsidRDefault="008622D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EEED" w14:textId="77777777" w:rsidR="008622D7" w:rsidRDefault="00000000">
    <w:pPr>
      <w:pStyle w:val="ad"/>
      <w:spacing w:after="0" w:line="240" w:lineRule="auto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8CD4" w14:textId="77777777" w:rsidR="008622D7" w:rsidRDefault="008622D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A71"/>
    <w:multiLevelType w:val="multilevel"/>
    <w:tmpl w:val="2B188B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8C957F2"/>
    <w:multiLevelType w:val="multilevel"/>
    <w:tmpl w:val="6666EF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3355751">
    <w:abstractNumId w:val="0"/>
  </w:num>
  <w:num w:numId="2" w16cid:durableId="822046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2D7"/>
    <w:rsid w:val="000D0B89"/>
    <w:rsid w:val="00397346"/>
    <w:rsid w:val="00514BCD"/>
    <w:rsid w:val="008622D7"/>
    <w:rsid w:val="0094291D"/>
    <w:rsid w:val="00B9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DF27"/>
  <w15:docId w15:val="{8A096451-0756-4DB8-A5E2-F3D12A59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5E2"/>
    <w:pPr>
      <w:spacing w:after="160" w:line="259" w:lineRule="auto"/>
    </w:pPr>
    <w:rPr>
      <w:rFonts w:cs="Times New Roman"/>
      <w:lang w:val="ru-RU" w:eastAsia="en-US"/>
    </w:rPr>
  </w:style>
  <w:style w:type="paragraph" w:styleId="2">
    <w:name w:val="heading 2"/>
    <w:basedOn w:val="a0"/>
    <w:next w:val="a1"/>
    <w:link w:val="20"/>
    <w:uiPriority w:val="99"/>
    <w:qFormat/>
    <w:rsid w:val="003565E2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"/>
    <w:semiHidden/>
    <w:qFormat/>
    <w:rsid w:val="00A02AA4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en-US"/>
    </w:rPr>
  </w:style>
  <w:style w:type="character" w:customStyle="1" w:styleId="FontStyle11">
    <w:name w:val="Font Style11"/>
    <w:uiPriority w:val="99"/>
    <w:qFormat/>
    <w:rsid w:val="003565E2"/>
    <w:rPr>
      <w:rFonts w:ascii="Times New Roman" w:hAnsi="Times New Roman"/>
      <w:sz w:val="26"/>
    </w:rPr>
  </w:style>
  <w:style w:type="character" w:customStyle="1" w:styleId="a5">
    <w:name w:val="Текст выноски Знак"/>
    <w:uiPriority w:val="99"/>
    <w:semiHidden/>
    <w:qFormat/>
    <w:rsid w:val="003565E2"/>
    <w:rPr>
      <w:rFonts w:ascii="Segoe UI" w:hAnsi="Segoe UI"/>
      <w:sz w:val="18"/>
    </w:rPr>
  </w:style>
  <w:style w:type="character" w:customStyle="1" w:styleId="a6">
    <w:name w:val="Основной текст Знак"/>
    <w:uiPriority w:val="99"/>
    <w:semiHidden/>
    <w:qFormat/>
    <w:rPr>
      <w:lang w:val="ru-RU" w:eastAsia="en-US"/>
    </w:rPr>
  </w:style>
  <w:style w:type="character" w:customStyle="1" w:styleId="a7">
    <w:name w:val="Текст у виносці Знак"/>
    <w:uiPriority w:val="99"/>
    <w:semiHidden/>
    <w:qFormat/>
    <w:rPr>
      <w:rFonts w:ascii="Times New Roman" w:hAnsi="Times New Roman"/>
      <w:sz w:val="2"/>
      <w:lang w:val="ru-RU" w:eastAsia="en-US"/>
    </w:rPr>
  </w:style>
  <w:style w:type="character" w:customStyle="1" w:styleId="a8">
    <w:name w:val="Верхний колонтитул Знак"/>
    <w:uiPriority w:val="99"/>
    <w:qFormat/>
    <w:rPr>
      <w:lang w:val="ru-RU" w:eastAsia="en-US"/>
    </w:rPr>
  </w:style>
  <w:style w:type="character" w:customStyle="1" w:styleId="a9">
    <w:name w:val="Нижний колонтитул Знак"/>
    <w:uiPriority w:val="99"/>
    <w:qFormat/>
    <w:rPr>
      <w:lang w:val="ru-RU" w:eastAsia="en-US"/>
    </w:rPr>
  </w:style>
  <w:style w:type="character" w:customStyle="1" w:styleId="aa">
    <w:name w:val="Основной текст_"/>
    <w:basedOn w:val="a2"/>
    <w:uiPriority w:val="99"/>
    <w:qFormat/>
    <w:rPr>
      <w:rFonts w:cs="Times New Roman"/>
      <w:sz w:val="17"/>
      <w:szCs w:val="17"/>
    </w:rPr>
  </w:style>
  <w:style w:type="character" w:customStyle="1" w:styleId="rvts0">
    <w:name w:val="rvts0"/>
    <w:basedOn w:val="a2"/>
    <w:uiPriority w:val="99"/>
    <w:qFormat/>
    <w:rPr>
      <w:rFonts w:cs="Times New Roman"/>
    </w:rPr>
  </w:style>
  <w:style w:type="character" w:customStyle="1" w:styleId="ab">
    <w:name w:val="Основний текст Знак"/>
    <w:basedOn w:val="a2"/>
    <w:link w:val="a1"/>
    <w:uiPriority w:val="99"/>
    <w:semiHidden/>
    <w:qFormat/>
    <w:locked/>
    <w:rsid w:val="003565E2"/>
    <w:rPr>
      <w:rFonts w:cs="Times New Roman"/>
      <w:lang w:val="ru-RU" w:eastAsia="en-US"/>
    </w:rPr>
  </w:style>
  <w:style w:type="character" w:customStyle="1" w:styleId="BalloonTextChar">
    <w:name w:val="Balloon Text Char"/>
    <w:basedOn w:val="a2"/>
    <w:uiPriority w:val="99"/>
    <w:semiHidden/>
    <w:qFormat/>
    <w:locked/>
    <w:rsid w:val="003565E2"/>
    <w:rPr>
      <w:rFonts w:ascii="Times New Roman" w:hAnsi="Times New Roman" w:cs="Times New Roman"/>
      <w:sz w:val="2"/>
      <w:lang w:val="ru-RU" w:eastAsia="en-US"/>
    </w:rPr>
  </w:style>
  <w:style w:type="character" w:customStyle="1" w:styleId="ac">
    <w:name w:val="Верхній колонтитул Знак"/>
    <w:basedOn w:val="a2"/>
    <w:link w:val="ad"/>
    <w:uiPriority w:val="99"/>
    <w:semiHidden/>
    <w:qFormat/>
    <w:locked/>
    <w:rsid w:val="003565E2"/>
    <w:rPr>
      <w:rFonts w:cs="Times New Roman"/>
      <w:lang w:val="ru-RU" w:eastAsia="en-US"/>
    </w:rPr>
  </w:style>
  <w:style w:type="character" w:customStyle="1" w:styleId="ae">
    <w:name w:val="Нижній колонтитул Знак"/>
    <w:basedOn w:val="a2"/>
    <w:link w:val="af"/>
    <w:uiPriority w:val="99"/>
    <w:semiHidden/>
    <w:qFormat/>
    <w:locked/>
    <w:rsid w:val="003565E2"/>
    <w:rPr>
      <w:rFonts w:cs="Times New Roman"/>
      <w:lang w:val="ru-RU" w:eastAsia="en-US"/>
    </w:rPr>
  </w:style>
  <w:style w:type="character" w:customStyle="1" w:styleId="hgkelc">
    <w:name w:val="hgkelc"/>
    <w:basedOn w:val="a2"/>
    <w:uiPriority w:val="99"/>
    <w:qFormat/>
    <w:rPr>
      <w:rFonts w:cs="Times New Roman"/>
    </w:rPr>
  </w:style>
  <w:style w:type="character" w:customStyle="1" w:styleId="BodyTextChar1">
    <w:name w:val="Body Text Char1"/>
    <w:basedOn w:val="a2"/>
    <w:uiPriority w:val="99"/>
    <w:semiHidden/>
    <w:qFormat/>
    <w:rPr>
      <w:rFonts w:cs="Times New Roman"/>
      <w:lang w:val="ru-RU" w:eastAsia="en-US"/>
    </w:rPr>
  </w:style>
  <w:style w:type="character" w:customStyle="1" w:styleId="BalloonTextChar1">
    <w:name w:val="Balloon Text Char1"/>
    <w:basedOn w:val="a2"/>
    <w:uiPriority w:val="99"/>
    <w:semiHidden/>
    <w:qFormat/>
    <w:locked/>
    <w:rPr>
      <w:rFonts w:ascii="Times New Roman" w:hAnsi="Times New Roman" w:cs="Times New Roman"/>
      <w:sz w:val="2"/>
      <w:lang w:val="ru-RU" w:eastAsia="en-US"/>
    </w:rPr>
  </w:style>
  <w:style w:type="character" w:customStyle="1" w:styleId="HeaderChar1">
    <w:name w:val="Header Char1"/>
    <w:basedOn w:val="a2"/>
    <w:uiPriority w:val="99"/>
    <w:semiHidden/>
    <w:qFormat/>
    <w:rPr>
      <w:rFonts w:cs="Times New Roman"/>
      <w:lang w:val="ru-RU" w:eastAsia="en-US"/>
    </w:rPr>
  </w:style>
  <w:style w:type="character" w:customStyle="1" w:styleId="FooterChar1">
    <w:name w:val="Footer Char1"/>
    <w:basedOn w:val="a2"/>
    <w:uiPriority w:val="99"/>
    <w:semiHidden/>
    <w:qFormat/>
    <w:rPr>
      <w:rFonts w:cs="Times New Roman"/>
      <w:lang w:val="ru-RU" w:eastAsia="en-US"/>
    </w:rPr>
  </w:style>
  <w:style w:type="character" w:customStyle="1" w:styleId="BodyTextChar2">
    <w:name w:val="Body Text Char2"/>
    <w:basedOn w:val="a2"/>
    <w:uiPriority w:val="99"/>
    <w:semiHidden/>
    <w:qFormat/>
    <w:rsid w:val="00A02AA4"/>
    <w:rPr>
      <w:rFonts w:cs="Times New Roman"/>
      <w:lang w:val="ru-RU" w:eastAsia="en-US"/>
    </w:rPr>
  </w:style>
  <w:style w:type="character" w:customStyle="1" w:styleId="1">
    <w:name w:val="Текст у виносці Знак1"/>
    <w:basedOn w:val="a2"/>
    <w:link w:val="af0"/>
    <w:uiPriority w:val="99"/>
    <w:semiHidden/>
    <w:qFormat/>
    <w:rsid w:val="00A02AA4"/>
    <w:rPr>
      <w:rFonts w:ascii="Times New Roman" w:hAnsi="Times New Roman" w:cs="Times New Roman"/>
      <w:sz w:val="0"/>
      <w:szCs w:val="0"/>
      <w:lang w:val="ru-RU" w:eastAsia="en-US"/>
    </w:rPr>
  </w:style>
  <w:style w:type="character" w:customStyle="1" w:styleId="HeaderChar2">
    <w:name w:val="Header Char2"/>
    <w:basedOn w:val="a2"/>
    <w:uiPriority w:val="99"/>
    <w:semiHidden/>
    <w:qFormat/>
    <w:rsid w:val="00A02AA4"/>
    <w:rPr>
      <w:rFonts w:cs="Times New Roman"/>
      <w:lang w:val="ru-RU" w:eastAsia="en-US"/>
    </w:rPr>
  </w:style>
  <w:style w:type="character" w:customStyle="1" w:styleId="FooterChar2">
    <w:name w:val="Footer Char2"/>
    <w:basedOn w:val="a2"/>
    <w:uiPriority w:val="99"/>
    <w:semiHidden/>
    <w:qFormat/>
    <w:rsid w:val="00A02AA4"/>
    <w:rPr>
      <w:rFonts w:cs="Times New Roman"/>
      <w:lang w:val="ru-RU" w:eastAsia="en-US"/>
    </w:rPr>
  </w:style>
  <w:style w:type="paragraph" w:customStyle="1" w:styleId="a0">
    <w:name w:val="Заголовок"/>
    <w:basedOn w:val="a"/>
    <w:next w:val="a1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link w:val="ab"/>
    <w:uiPriority w:val="99"/>
    <w:pPr>
      <w:spacing w:after="140" w:line="276" w:lineRule="auto"/>
    </w:pPr>
  </w:style>
  <w:style w:type="paragraph" w:styleId="af1">
    <w:name w:val="List"/>
    <w:basedOn w:val="a1"/>
    <w:uiPriority w:val="99"/>
    <w:rPr>
      <w:rFonts w:cs="Arial"/>
    </w:rPr>
  </w:style>
  <w:style w:type="paragraph" w:styleId="af2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3">
    <w:name w:val="Покажчик"/>
    <w:basedOn w:val="a"/>
    <w:uiPriority w:val="99"/>
    <w:qFormat/>
    <w:pPr>
      <w:suppressLineNumbers/>
    </w:pPr>
    <w:rPr>
      <w:rFonts w:cs="Arial"/>
    </w:rPr>
  </w:style>
  <w:style w:type="paragraph" w:styleId="af4">
    <w:name w:val="No Spacing"/>
    <w:uiPriority w:val="99"/>
    <w:qFormat/>
    <w:rsid w:val="003565E2"/>
    <w:rPr>
      <w:rFonts w:cs="Times New Roman"/>
      <w:lang w:val="ru-RU" w:eastAsia="en-US"/>
    </w:rPr>
  </w:style>
  <w:style w:type="paragraph" w:styleId="af5">
    <w:name w:val="List Paragraph"/>
    <w:basedOn w:val="a"/>
    <w:uiPriority w:val="99"/>
    <w:qFormat/>
    <w:rsid w:val="003565E2"/>
    <w:pPr>
      <w:ind w:left="720"/>
      <w:contextualSpacing/>
    </w:pPr>
  </w:style>
  <w:style w:type="paragraph" w:styleId="af0">
    <w:name w:val="Balloon Text"/>
    <w:basedOn w:val="a"/>
    <w:link w:val="1"/>
    <w:uiPriority w:val="99"/>
    <w:semiHidden/>
    <w:qFormat/>
    <w:rsid w:val="003565E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6">
    <w:name w:val="Верхній і нижній колонтитули"/>
    <w:basedOn w:val="a"/>
    <w:uiPriority w:val="99"/>
    <w:qFormat/>
    <w:rsid w:val="003565E2"/>
  </w:style>
  <w:style w:type="paragraph" w:customStyle="1" w:styleId="HeaderandFooter">
    <w:name w:val="Header and Footer"/>
    <w:basedOn w:val="a"/>
    <w:uiPriority w:val="99"/>
    <w:qFormat/>
    <w:rsid w:val="003565E2"/>
  </w:style>
  <w:style w:type="paragraph" w:styleId="ad">
    <w:name w:val="header"/>
    <w:basedOn w:val="a"/>
    <w:link w:val="ac"/>
    <w:uiPriority w:val="99"/>
    <w:pPr>
      <w:tabs>
        <w:tab w:val="center" w:pos="4986"/>
        <w:tab w:val="right" w:pos="9973"/>
      </w:tabs>
    </w:pPr>
  </w:style>
  <w:style w:type="paragraph" w:styleId="af">
    <w:name w:val="footer"/>
    <w:basedOn w:val="a"/>
    <w:link w:val="ae"/>
    <w:uiPriority w:val="99"/>
    <w:pPr>
      <w:tabs>
        <w:tab w:val="center" w:pos="4986"/>
        <w:tab w:val="right" w:pos="9973"/>
      </w:tabs>
    </w:pPr>
  </w:style>
  <w:style w:type="paragraph" w:customStyle="1" w:styleId="10">
    <w:name w:val="Основной текст1"/>
    <w:basedOn w:val="a"/>
    <w:uiPriority w:val="99"/>
    <w:qFormat/>
    <w:pPr>
      <w:widowControl w:val="0"/>
      <w:suppressAutoHyphens w:val="0"/>
      <w:spacing w:after="100" w:line="290" w:lineRule="auto"/>
      <w:ind w:firstLine="400"/>
    </w:pPr>
    <w:rPr>
      <w:rFonts w:cs="Calibri"/>
      <w:sz w:val="17"/>
      <w:szCs w:val="17"/>
      <w:lang w:val="uk-UA" w:eastAsia="uk-UA"/>
    </w:rPr>
  </w:style>
  <w:style w:type="paragraph" w:customStyle="1" w:styleId="af7">
    <w:name w:val="Вміст таблиці"/>
    <w:basedOn w:val="a"/>
    <w:uiPriority w:val="99"/>
    <w:qFormat/>
    <w:rsid w:val="003565E2"/>
    <w:pPr>
      <w:widowControl w:val="0"/>
      <w:suppressLineNumbers/>
    </w:pPr>
  </w:style>
  <w:style w:type="paragraph" w:customStyle="1" w:styleId="af8">
    <w:name w:val="Заголовок таблиці"/>
    <w:basedOn w:val="af7"/>
    <w:uiPriority w:val="99"/>
    <w:qFormat/>
    <w:rsid w:val="003565E2"/>
    <w:pPr>
      <w:jc w:val="center"/>
    </w:pPr>
    <w:rPr>
      <w:b/>
      <w:bCs/>
    </w:rPr>
  </w:style>
  <w:style w:type="numbering" w:customStyle="1" w:styleId="af9">
    <w:name w:val="Без маркерів"/>
    <w:uiPriority w:val="99"/>
    <w:semiHidden/>
    <w:unhideWhenUsed/>
    <w:qFormat/>
  </w:style>
  <w:style w:type="table" w:styleId="afa">
    <w:name w:val="Table Grid"/>
    <w:basedOn w:val="a3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5926</Words>
  <Characters>3378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Frime</dc:creator>
  <dc:description/>
  <cp:lastModifiedBy>Ірина Демидюк</cp:lastModifiedBy>
  <cp:revision>18</cp:revision>
  <cp:lastPrinted>2025-01-07T09:54:00Z</cp:lastPrinted>
  <dcterms:created xsi:type="dcterms:W3CDTF">2025-01-07T11:28:00Z</dcterms:created>
  <dcterms:modified xsi:type="dcterms:W3CDTF">2025-01-09T11:49:00Z</dcterms:modified>
  <dc:language>uk-UA</dc:language>
</cp:coreProperties>
</file>