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ind w:left="4820"/>
        <w:rPr>
          <w:szCs w:val="28"/>
        </w:rPr>
      </w:pPr>
      <w:r>
        <w:rPr>
          <w:szCs w:val="28"/>
        </w:rPr>
        <w:t>Додаток</w:t>
      </w:r>
    </w:p>
    <w:p>
      <w:pPr>
        <w:pStyle w:val="Normal"/>
        <w:ind w:left="4820"/>
        <w:rPr/>
      </w:pPr>
      <w:r>
        <w:rPr>
          <w:szCs w:val="28"/>
        </w:rPr>
        <w:t>до розпорядження міського голови</w:t>
      </w:r>
    </w:p>
    <w:p>
      <w:pPr>
        <w:pStyle w:val="Normal"/>
        <w:ind w:left="4820"/>
        <w:rPr/>
      </w:pPr>
      <w:r>
        <w:rPr>
          <w:szCs w:val="28"/>
        </w:rPr>
        <w:t>________________ № _______</w:t>
      </w:r>
    </w:p>
    <w:p>
      <w:pPr>
        <w:pStyle w:val="Normal"/>
        <w:ind w:left="4820"/>
        <w:rPr>
          <w:szCs w:val="28"/>
        </w:rPr>
      </w:pPr>
      <w:r>
        <w:rPr>
          <w:szCs w:val="28"/>
        </w:rPr>
      </w:r>
    </w:p>
    <w:p>
      <w:pPr>
        <w:pStyle w:val="Normal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СКЛАД</w:t>
      </w:r>
    </w:p>
    <w:p>
      <w:pPr>
        <w:pStyle w:val="Normal"/>
        <w:tabs>
          <w:tab w:val="clear" w:pos="708"/>
          <w:tab w:val="left" w:pos="564" w:leader="none"/>
        </w:tabs>
        <w:jc w:val="center"/>
        <w:rPr>
          <w:bCs w:val="false"/>
          <w:color w:val="000000"/>
          <w:spacing w:val="-1"/>
          <w:szCs w:val="28"/>
          <w:highlight w:val="white"/>
          <w:shd w:fill="FFFFFF" w:val="clear"/>
          <w:lang w:bidi="hi-IN"/>
        </w:rPr>
      </w:pPr>
      <w:r>
        <w:rPr>
          <w:bCs w:val="false"/>
          <w:color w:val="000000"/>
          <w:spacing w:val="-1"/>
          <w:szCs w:val="28"/>
          <w:highlight w:val="white"/>
          <w:shd w:fill="FFFFFF" w:val="clear"/>
          <w:lang w:bidi="hi-IN"/>
        </w:rPr>
        <w:t>комісії з питань введення в експлуатацію та контролю за  функціонуванням місцевої автоматизованої системи централізованого оповіщення Луцької міської територіальної громади</w:t>
      </w:r>
    </w:p>
    <w:p>
      <w:pPr>
        <w:pStyle w:val="Normal"/>
        <w:ind w:left="993" w:right="141"/>
        <w:jc w:val="center"/>
        <w:rPr/>
      </w:pPr>
      <w:r>
        <w:rPr/>
      </w:r>
    </w:p>
    <w:tbl>
      <w:tblPr>
        <w:tblW w:w="9606" w:type="dxa"/>
        <w:jc w:val="left"/>
        <w:tblInd w:w="-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044"/>
        <w:gridCol w:w="275"/>
        <w:gridCol w:w="5287"/>
      </w:tblGrid>
      <w:tr>
        <w:trPr>
          <w:trHeight w:val="1016" w:hRule="atLeast"/>
        </w:trPr>
        <w:tc>
          <w:tcPr>
            <w:tcW w:w="4044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highlight w:val="white"/>
              </w:rPr>
              <w:t>Кирилюк Юрій Вікторович</w:t>
            </w:r>
          </w:p>
        </w:tc>
        <w:tc>
          <w:tcPr>
            <w:tcW w:w="275" w:type="dxa"/>
            <w:tcBorders/>
            <w:shd w:color="auto" w:fill="auto" w:val="clear"/>
          </w:tcPr>
          <w:p>
            <w:pPr>
              <w:pStyle w:val="Normal"/>
              <w:widowControl w:val="false"/>
              <w:snapToGrid w:val="false"/>
              <w:ind w:left="-108" w:right="-155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287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 xml:space="preserve">начальник </w:t>
            </w:r>
            <w:bookmarkStart w:id="0" w:name="__DdeLink__682_535908167_копія_1"/>
            <w:r>
              <w:rPr/>
              <w:t>відділу з питань надзвичайних ситуацій та цивільного захисту населення</w:t>
            </w:r>
            <w:bookmarkEnd w:id="0"/>
            <w:r>
              <w:rPr/>
              <w:t>, голова комісії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</w:tr>
      <w:tr>
        <w:trPr>
          <w:trHeight w:val="958" w:hRule="atLeast"/>
        </w:trPr>
        <w:tc>
          <w:tcPr>
            <w:tcW w:w="4044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highlight w:val="white"/>
              </w:rPr>
              <w:t>Сапожніков</w:t>
            </w:r>
          </w:p>
          <w:p>
            <w:pPr>
              <w:pStyle w:val="Normal"/>
              <w:widowControl w:val="false"/>
              <w:rPr/>
            </w:pPr>
            <w:r>
              <w:rPr>
                <w:rFonts w:eastAsia="Calibri"/>
                <w:highlight w:val="white"/>
              </w:rPr>
              <w:t>Дмитро Миколайович</w:t>
            </w:r>
          </w:p>
        </w:tc>
        <w:tc>
          <w:tcPr>
            <w:tcW w:w="275" w:type="dxa"/>
            <w:tcBorders/>
            <w:shd w:color="auto" w:fill="auto" w:val="clear"/>
          </w:tcPr>
          <w:p>
            <w:pPr>
              <w:pStyle w:val="Normal"/>
              <w:widowControl w:val="false"/>
              <w:snapToGrid w:val="false"/>
              <w:ind w:left="-108" w:right="-155"/>
              <w:jc w:val="center"/>
              <w:rPr/>
            </w:pPr>
            <w:r>
              <w:rPr>
                <w:szCs w:val="28"/>
              </w:rPr>
              <w:t>-</w:t>
            </w:r>
          </w:p>
        </w:tc>
        <w:tc>
          <w:tcPr>
            <w:tcW w:w="5287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eastAsia="Calibri"/>
                <w:bCs w:val="false"/>
                <w:highlight w:val="white"/>
              </w:rPr>
              <w:t>головний спеціаліст відділу з питань надзвичайних ситуацій та цивільного захисту населення, секретар комісії</w:t>
            </w:r>
          </w:p>
          <w:p>
            <w:pPr>
              <w:pStyle w:val="Normal"/>
              <w:widowControl w:val="false"/>
              <w:jc w:val="both"/>
              <w:rPr>
                <w:rFonts w:eastAsia="Calibri"/>
                <w:bCs w:val="false"/>
                <w:highlight w:val="white"/>
              </w:rPr>
            </w:pPr>
            <w:r>
              <w:rPr>
                <w:rFonts w:eastAsia="Calibri"/>
                <w:bCs w:val="false"/>
                <w:highlight w:val="white"/>
              </w:rPr>
            </w:r>
          </w:p>
        </w:tc>
      </w:tr>
      <w:tr>
        <w:trPr>
          <w:trHeight w:val="1016" w:hRule="atLeast"/>
        </w:trPr>
        <w:tc>
          <w:tcPr>
            <w:tcW w:w="4044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Гурний Олександр Михайлович</w:t>
            </w:r>
          </w:p>
        </w:tc>
        <w:tc>
          <w:tcPr>
            <w:tcW w:w="275" w:type="dxa"/>
            <w:tcBorders/>
            <w:shd w:color="auto" w:fill="auto" w:val="clear"/>
          </w:tcPr>
          <w:p>
            <w:pPr>
              <w:pStyle w:val="Normal"/>
              <w:widowControl w:val="false"/>
              <w:snapToGrid w:val="false"/>
              <w:ind w:left="-108" w:right="-155"/>
              <w:jc w:val="center"/>
              <w:rPr>
                <w:szCs w:val="28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5287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Cs w:val="28"/>
              </w:rPr>
            </w:pPr>
            <w:r>
              <w:rPr>
                <w:szCs w:val="28"/>
              </w:rPr>
              <w:t>начальник відділу позашкільної та професійно-технічної освіти департаменту освіти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</w:tr>
      <w:tr>
        <w:trPr>
          <w:trHeight w:val="1357" w:hRule="atLeast"/>
        </w:trPr>
        <w:tc>
          <w:tcPr>
            <w:tcW w:w="4044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Книш Тетяна Володимирівна</w:t>
            </w:r>
          </w:p>
        </w:tc>
        <w:tc>
          <w:tcPr>
            <w:tcW w:w="275" w:type="dxa"/>
            <w:tcBorders/>
            <w:shd w:color="auto" w:fill="auto" w:val="clear"/>
          </w:tcPr>
          <w:p>
            <w:pPr>
              <w:pStyle w:val="Normal"/>
              <w:widowControl w:val="false"/>
              <w:snapToGrid w:val="false"/>
              <w:ind w:left="-108" w:right="-155"/>
              <w:jc w:val="center"/>
              <w:rPr>
                <w:szCs w:val="28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5287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Cs w:val="28"/>
              </w:rPr>
            </w:pPr>
            <w:r>
              <w:rPr>
                <w:szCs w:val="28"/>
              </w:rPr>
              <w:t>заступник директора, начальник відділу комунікацій «15-80» департаменту «Центр надання адміністративних послуг у місті Луцьку»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</w:tr>
      <w:tr>
        <w:trPr>
          <w:trHeight w:val="696" w:hRule="atLeast"/>
        </w:trPr>
        <w:tc>
          <w:tcPr>
            <w:tcW w:w="4044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highlight w:val="white"/>
              </w:rPr>
              <w:t>Король Олександр Анатолійович</w:t>
            </w:r>
          </w:p>
        </w:tc>
        <w:tc>
          <w:tcPr>
            <w:tcW w:w="275" w:type="dxa"/>
            <w:tcBorders/>
            <w:shd w:color="auto" w:fill="auto" w:val="clear"/>
          </w:tcPr>
          <w:p>
            <w:pPr>
              <w:pStyle w:val="Normal"/>
              <w:widowControl w:val="false"/>
              <w:snapToGrid w:val="false"/>
              <w:ind w:left="-108" w:right="-155"/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-</w:t>
            </w:r>
          </w:p>
        </w:tc>
        <w:tc>
          <w:tcPr>
            <w:tcW w:w="5287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Cs w:val="28"/>
              </w:rPr>
            </w:pPr>
            <w:r>
              <w:rPr>
                <w:szCs w:val="28"/>
              </w:rPr>
              <w:t>начальник управління інформаційно-комунікаційних технологій</w:t>
            </w:r>
          </w:p>
          <w:p>
            <w:pPr>
              <w:pStyle w:val="Normal"/>
              <w:widowControl w:val="false"/>
              <w:jc w:val="both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>
          <w:trHeight w:val="696" w:hRule="atLeast"/>
        </w:trPr>
        <w:tc>
          <w:tcPr>
            <w:tcW w:w="4044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highlight w:val="white"/>
              </w:rPr>
              <w:t>Королюк Тетяна Іларіонівна</w:t>
            </w:r>
          </w:p>
        </w:tc>
        <w:tc>
          <w:tcPr>
            <w:tcW w:w="275" w:type="dxa"/>
            <w:tcBorders/>
            <w:shd w:color="auto" w:fill="auto" w:val="clear"/>
          </w:tcPr>
          <w:p>
            <w:pPr>
              <w:pStyle w:val="Normal"/>
              <w:widowControl w:val="false"/>
              <w:snapToGrid w:val="false"/>
              <w:ind w:left="-108" w:right="-155"/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-</w:t>
            </w:r>
          </w:p>
        </w:tc>
        <w:tc>
          <w:tcPr>
            <w:tcW w:w="5287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Cs w:val="28"/>
              </w:rPr>
            </w:pPr>
            <w:r>
              <w:rPr>
                <w:szCs w:val="28"/>
              </w:rPr>
              <w:t>заступник начальника відділу обліку та звітності</w:t>
            </w:r>
          </w:p>
          <w:p>
            <w:pPr>
              <w:pStyle w:val="Normal"/>
              <w:widowControl w:val="false"/>
              <w:jc w:val="both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>
          <w:trHeight w:val="728" w:hRule="atLeast"/>
        </w:trPr>
        <w:tc>
          <w:tcPr>
            <w:tcW w:w="4044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highlight w:val="white"/>
              </w:rPr>
              <w:t>Корчук Андрій Іванович</w:t>
            </w:r>
          </w:p>
        </w:tc>
        <w:tc>
          <w:tcPr>
            <w:tcW w:w="275" w:type="dxa"/>
            <w:tcBorders/>
            <w:shd w:color="auto" w:fill="auto" w:val="clear"/>
          </w:tcPr>
          <w:p>
            <w:pPr>
              <w:pStyle w:val="Normal"/>
              <w:widowControl w:val="false"/>
              <w:snapToGrid w:val="false"/>
              <w:ind w:left="-108" w:right="-155"/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-</w:t>
            </w:r>
          </w:p>
        </w:tc>
        <w:tc>
          <w:tcPr>
            <w:tcW w:w="5287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Cs w:val="28"/>
              </w:rPr>
            </w:pPr>
            <w:r>
              <w:rPr>
                <w:szCs w:val="28"/>
              </w:rPr>
              <w:t>начальник інженерно-технічного відділу управління капітального будівництва</w:t>
            </w:r>
          </w:p>
          <w:p>
            <w:pPr>
              <w:pStyle w:val="Normal"/>
              <w:widowControl w:val="false"/>
              <w:jc w:val="both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>
          <w:trHeight w:val="1034" w:hRule="atLeast"/>
        </w:trPr>
        <w:tc>
          <w:tcPr>
            <w:tcW w:w="4044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Кролік Олександр Сергійович</w:t>
            </w:r>
          </w:p>
        </w:tc>
        <w:tc>
          <w:tcPr>
            <w:tcW w:w="275" w:type="dxa"/>
            <w:tcBorders/>
            <w:shd w:color="auto" w:fill="auto" w:val="clear"/>
          </w:tcPr>
          <w:p>
            <w:pPr>
              <w:pStyle w:val="Normal"/>
              <w:widowControl w:val="false"/>
              <w:snapToGrid w:val="false"/>
              <w:ind w:left="-108" w:right="-155"/>
              <w:jc w:val="center"/>
              <w:rPr>
                <w:szCs w:val="28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5287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Cs w:val="28"/>
              </w:rPr>
            </w:pPr>
            <w:r>
              <w:rPr>
                <w:szCs w:val="28"/>
              </w:rPr>
              <w:t>начальник відділу технічного забезпечення та зв’язку управління інформаційно-комунікаційних технологій</w:t>
            </w:r>
          </w:p>
          <w:p>
            <w:pPr>
              <w:pStyle w:val="Normal"/>
              <w:widowControl w:val="false"/>
              <w:jc w:val="both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>
          <w:trHeight w:val="1354" w:hRule="atLeast"/>
        </w:trPr>
        <w:tc>
          <w:tcPr>
            <w:tcW w:w="4044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Левчук Юрій Петрович</w:t>
            </w:r>
          </w:p>
        </w:tc>
        <w:tc>
          <w:tcPr>
            <w:tcW w:w="275" w:type="dxa"/>
            <w:tcBorders/>
            <w:shd w:color="auto" w:fill="auto" w:val="clear"/>
          </w:tcPr>
          <w:p>
            <w:pPr>
              <w:pStyle w:val="Normal"/>
              <w:widowControl w:val="false"/>
              <w:snapToGrid w:val="false"/>
              <w:ind w:left="-108" w:right="-155"/>
              <w:jc w:val="center"/>
              <w:rPr>
                <w:szCs w:val="28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5287" w:type="dxa"/>
            <w:tcBorders/>
            <w:shd w:color="auto" w:fill="auto" w:val="clear"/>
          </w:tcPr>
          <w:p>
            <w:pPr>
              <w:pStyle w:val="Style23"/>
              <w:jc w:val="both"/>
              <w:rPr/>
            </w:pPr>
            <w:r>
              <w:rPr/>
              <w:t>заступник начальника відділу заходів цивільного захисту управління з питань цивільного захисту Волинської обласної державної адміністрації (за згодою)</w:t>
            </w:r>
          </w:p>
          <w:p>
            <w:pPr>
              <w:pStyle w:val="Style23"/>
              <w:jc w:val="both"/>
              <w:rPr/>
            </w:pPr>
            <w:r>
              <w:rPr/>
            </w:r>
          </w:p>
        </w:tc>
      </w:tr>
      <w:tr>
        <w:trPr>
          <w:trHeight w:val="729" w:hRule="atLeast"/>
        </w:trPr>
        <w:tc>
          <w:tcPr>
            <w:tcW w:w="4044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rFonts w:eastAsia="Calibri"/>
                <w:szCs w:val="28"/>
                <w:highlight w:val="white"/>
              </w:rPr>
              <w:t>Фоменко Сергій Іванович</w:t>
            </w:r>
          </w:p>
        </w:tc>
        <w:tc>
          <w:tcPr>
            <w:tcW w:w="275" w:type="dxa"/>
            <w:tcBorders/>
            <w:shd w:color="auto" w:fill="auto" w:val="clear"/>
          </w:tcPr>
          <w:p>
            <w:pPr>
              <w:pStyle w:val="Normal"/>
              <w:widowControl w:val="false"/>
              <w:snapToGrid w:val="false"/>
              <w:ind w:left="-108" w:right="-155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287" w:type="dxa"/>
            <w:tcBorders/>
            <w:shd w:color="auto" w:fill="auto" w:val="clear"/>
          </w:tcPr>
          <w:p>
            <w:pPr>
              <w:pStyle w:val="Style23"/>
              <w:jc w:val="both"/>
              <w:rPr/>
            </w:pPr>
            <w:r>
              <w:rPr/>
              <w:t>начальник відділу моніторингу, зв’язку та оперативного чергування управління з питань цивільного захисту Волинської обласної державної адміністрації</w:t>
            </w:r>
            <w:r>
              <w:rPr>
                <w:rFonts w:eastAsia="Calibri"/>
                <w:szCs w:val="28"/>
                <w:highlight w:val="white"/>
              </w:rPr>
              <w:t xml:space="preserve"> </w:t>
            </w:r>
            <w:r>
              <w:rPr>
                <w:rFonts w:eastAsia="Calibri"/>
                <w:szCs w:val="28"/>
                <w:highlight w:val="white"/>
              </w:rPr>
              <w:t>(за згодою)</w:t>
            </w:r>
          </w:p>
          <w:p>
            <w:pPr>
              <w:pStyle w:val="Style23"/>
              <w:jc w:val="both"/>
              <w:rPr>
                <w:rFonts w:eastAsia="Calibri"/>
                <w:szCs w:val="28"/>
                <w:highlight w:val="white"/>
              </w:rPr>
            </w:pPr>
            <w:r>
              <w:rPr/>
            </w:r>
          </w:p>
        </w:tc>
      </w:tr>
      <w:tr>
        <w:trPr>
          <w:trHeight w:val="729" w:hRule="atLeast"/>
        </w:trPr>
        <w:tc>
          <w:tcPr>
            <w:tcW w:w="4044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rFonts w:eastAsia="Calibri"/>
                <w:szCs w:val="28"/>
                <w:highlight w:val="white"/>
              </w:rPr>
              <w:t>Цвірук Микола Іванович</w:t>
            </w:r>
          </w:p>
        </w:tc>
        <w:tc>
          <w:tcPr>
            <w:tcW w:w="275" w:type="dxa"/>
            <w:tcBorders/>
            <w:shd w:color="auto" w:fill="auto" w:val="clear"/>
          </w:tcPr>
          <w:p>
            <w:pPr>
              <w:pStyle w:val="Normal"/>
              <w:widowControl w:val="false"/>
              <w:snapToGrid w:val="false"/>
              <w:ind w:left="-108" w:right="-155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287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eastAsia="Calibri"/>
                <w:szCs w:val="28"/>
                <w:highlight w:val="white"/>
              </w:rPr>
            </w:pPr>
            <w:r>
              <w:rPr>
                <w:rFonts w:eastAsia="Calibri"/>
                <w:szCs w:val="28"/>
                <w:highlight w:val="white"/>
              </w:rPr>
              <w:t>заступник начальника управління капітального будівництва</w:t>
            </w:r>
          </w:p>
          <w:p>
            <w:pPr>
              <w:pStyle w:val="Normal"/>
              <w:widowControl w:val="false"/>
              <w:jc w:val="both"/>
              <w:rPr>
                <w:rFonts w:eastAsia="Calibri"/>
                <w:szCs w:val="28"/>
                <w:highlight w:val="white"/>
              </w:rPr>
            </w:pPr>
            <w:r>
              <w:rPr>
                <w:rFonts w:eastAsia="Calibri"/>
                <w:szCs w:val="28"/>
                <w:highlight w:val="white"/>
              </w:rPr>
            </w:r>
          </w:p>
        </w:tc>
      </w:tr>
    </w:tbl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-142"/>
        <w:jc w:val="both"/>
        <w:rPr>
          <w:color w:val="000009"/>
          <w:spacing w:val="-1"/>
          <w:szCs w:val="28"/>
        </w:rPr>
      </w:pPr>
      <w:r>
        <w:rPr>
          <w:color w:val="000009"/>
          <w:spacing w:val="-1"/>
          <w:szCs w:val="28"/>
        </w:rPr>
        <w:t>Заступник міського голови,</w:t>
      </w:r>
    </w:p>
    <w:p>
      <w:pPr>
        <w:pStyle w:val="Normal"/>
        <w:ind w:left="-142"/>
        <w:jc w:val="both"/>
        <w:rPr/>
      </w:pPr>
      <w:r>
        <w:rPr>
          <w:color w:val="000009"/>
          <w:spacing w:val="-1"/>
          <w:szCs w:val="28"/>
        </w:rPr>
        <w:t>керуючий справами виконкому</w:t>
        <w:tab/>
        <w:tab/>
        <w:tab/>
        <w:tab/>
        <w:tab/>
      </w:r>
      <w:r>
        <w:rPr>
          <w:color w:val="000009"/>
          <w:szCs w:val="28"/>
        </w:rPr>
        <w:t>Юрій ВЕРБИЧ</w:t>
      </w:r>
    </w:p>
    <w:p>
      <w:pPr>
        <w:pStyle w:val="Normal"/>
        <w:ind w:left="-142"/>
        <w:jc w:val="both"/>
        <w:rPr>
          <w:sz w:val="24"/>
        </w:rPr>
      </w:pPr>
      <w:r>
        <w:rPr>
          <w:sz w:val="24"/>
        </w:rPr>
      </w:r>
    </w:p>
    <w:p>
      <w:pPr>
        <w:pStyle w:val="Normal"/>
        <w:ind w:left="-142"/>
        <w:jc w:val="both"/>
        <w:rPr>
          <w:sz w:val="24"/>
        </w:rPr>
      </w:pPr>
      <w:r>
        <w:rPr>
          <w:sz w:val="24"/>
        </w:rPr>
      </w:r>
    </w:p>
    <w:p>
      <w:pPr>
        <w:pStyle w:val="Normal"/>
        <w:ind w:left="-142"/>
        <w:jc w:val="both"/>
        <w:rPr/>
      </w:pPr>
      <w:r>
        <w:rPr>
          <w:sz w:val="24"/>
        </w:rPr>
        <w:t>Кирилюк 720 087</w:t>
        <w:tab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985" w:right="567" w:gutter="0" w:header="0" w:top="1134" w:footer="0" w:bottom="1134"/>
      <w:pgNumType w:start="1"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730727144"/>
    </w:sdtPr>
    <w:sdtContent>
      <w:p>
        <w:pPr>
          <w:pStyle w:val="Header"/>
          <w:jc w:val="center"/>
          <w:rPr/>
        </w:pPr>
        <w:r>
          <w:rPr/>
        </w:r>
      </w:p>
      <w:p>
        <w:pPr>
          <w:pStyle w:val="Head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bidi="ar-SA" w:val="uk-UA" w:eastAsia="zh-CN"/>
    </w:rPr>
  </w:style>
  <w:style w:type="paragraph" w:styleId="Heading1">
    <w:name w:val="heading 1"/>
    <w:basedOn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2" w:customStyle="1">
    <w:name w:val="Основной шрифт абзаца2"/>
    <w:qFormat/>
    <w:rPr/>
  </w:style>
  <w:style w:type="character" w:styleId="WW8Num2z0" w:customStyle="1">
    <w:name w:val="WW8Num2z0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kern w:val="0"/>
      <w:sz w:val="28"/>
      <w:szCs w:val="28"/>
      <w:lang w:val="uk-UA" w:bidi="ar-SA"/>
    </w:rPr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Style13" w:customStyle="1">
    <w:name w:val="Шрифт абзацу за промовчанням"/>
    <w:qFormat/>
    <w:rPr/>
  </w:style>
  <w:style w:type="character" w:styleId="1" w:customStyle="1">
    <w:name w:val="Шрифт абзацу за замовчуванням1"/>
    <w:qFormat/>
    <w:rPr/>
  </w:style>
  <w:style w:type="character" w:styleId="11" w:customStyle="1">
    <w:name w:val="Основной шрифт абзаца1"/>
    <w:qFormat/>
    <w:rPr/>
  </w:style>
  <w:style w:type="character" w:styleId="12" w:customStyle="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4" w:customStyle="1">
    <w:name w:val="Основной текст с отступом Знак"/>
    <w:qFormat/>
    <w:rPr>
      <w:rFonts w:ascii="Times New Roman" w:hAnsi="Times New Roman" w:eastAsia="Times New Roman" w:cs="Times New Roman"/>
      <w:bCs/>
      <w:sz w:val="28"/>
      <w:szCs w:val="24"/>
      <w:lang w:val="uk-UA"/>
    </w:rPr>
  </w:style>
  <w:style w:type="character" w:styleId="Style15" w:customStyle="1">
    <w:name w:val="Верхний колонтитул Знак"/>
    <w:qFormat/>
    <w:rPr>
      <w:rFonts w:ascii="Times New Roman" w:hAnsi="Times New Roman" w:eastAsia="Times New Roman" w:cs="Times New Roman"/>
      <w:bCs/>
      <w:sz w:val="28"/>
      <w:szCs w:val="24"/>
      <w:lang w:val="uk-UA"/>
    </w:rPr>
  </w:style>
  <w:style w:type="character" w:styleId="Style16" w:customStyle="1">
    <w:name w:val="Нижний колонтитул Знак"/>
    <w:qFormat/>
    <w:rPr>
      <w:rFonts w:ascii="Times New Roman" w:hAnsi="Times New Roman" w:eastAsia="Times New Roman" w:cs="Times New Roman"/>
      <w:bCs/>
      <w:sz w:val="28"/>
      <w:szCs w:val="24"/>
      <w:lang w:val="uk-UA"/>
    </w:rPr>
  </w:style>
  <w:style w:type="character" w:styleId="FontStyle22" w:customStyle="1">
    <w:name w:val="Font Style22"/>
    <w:qFormat/>
    <w:rPr>
      <w:rFonts w:ascii="Times New Roman" w:hAnsi="Times New Roman" w:cs="Times New Roman"/>
      <w:sz w:val="26"/>
      <w:szCs w:val="26"/>
    </w:rPr>
  </w:style>
  <w:style w:type="character" w:styleId="21" w:customStyle="1">
    <w:name w:val="Шрифт абзацу за промовчанням2"/>
    <w:qFormat/>
    <w:rPr/>
  </w:style>
  <w:style w:type="character" w:styleId="13" w:customStyle="1">
    <w:name w:val="Шрифт абзацу за промовчанням1"/>
    <w:qFormat/>
    <w:rPr/>
  </w:style>
  <w:style w:type="character" w:styleId="Style17" w:customStyle="1">
    <w:name w:val="Текст у виносці Знак"/>
    <w:qFormat/>
    <w:rPr>
      <w:rFonts w:ascii="Segoe UI" w:hAnsi="Segoe UI" w:cs="Mangal"/>
      <w:sz w:val="18"/>
      <w:szCs w:val="16"/>
      <w:lang w:val="uk-UA" w:eastAsia="zh-CN" w:bidi="hi-IN"/>
    </w:rPr>
  </w:style>
  <w:style w:type="character" w:styleId="14" w:customStyle="1">
    <w:name w:val="Гіперпосилання1"/>
    <w:qFormat/>
    <w:rPr>
      <w:rFonts w:cs="Times New Roman"/>
      <w:color w:val="000080"/>
      <w:u w:val="single"/>
    </w:rPr>
  </w:style>
  <w:style w:type="character" w:styleId="notereference1" w:customStyle="1">
    <w:name w:val="note reference_1"/>
    <w:qFormat/>
    <w:rPr/>
  </w:style>
  <w:style w:type="character" w:styleId="notereference" w:customStyle="1">
    <w:name w:val="note reference"/>
    <w:qFormat/>
    <w:rPr/>
  </w:style>
  <w:style w:type="character" w:styleId="Style18" w:customStyle="1">
    <w:name w:val="Нижній колонтитул Знак"/>
    <w:qFormat/>
    <w:rPr>
      <w:rFonts w:cs="Mangal"/>
      <w:sz w:val="21"/>
      <w:szCs w:val="21"/>
      <w:lang w:val="uk-UA" w:eastAsia="zh-CN" w:bidi="hi-IN"/>
    </w:rPr>
  </w:style>
  <w:style w:type="character" w:styleId="22" w:customStyle="1">
    <w:name w:val="Основной текст с отступом 2 Знак"/>
    <w:qFormat/>
    <w:rPr>
      <w:rFonts w:cs="Mangal"/>
      <w:sz w:val="21"/>
      <w:szCs w:val="21"/>
      <w:lang w:val="uk-UA" w:eastAsia="zh-CN" w:bidi="hi-IN"/>
    </w:rPr>
  </w:style>
  <w:style w:type="character" w:styleId="23" w:customStyle="1">
    <w:name w:val="Основний текст з відступом 2 Знак"/>
    <w:qFormat/>
    <w:rPr>
      <w:rFonts w:ascii="Arial" w:hAnsi="Arial" w:cs="Arial"/>
      <w:b/>
      <w:bCs/>
      <w:i/>
      <w:iCs/>
      <w:sz w:val="28"/>
      <w:szCs w:val="28"/>
      <w:lang w:val="uk-UA" w:eastAsia="zh-CN"/>
    </w:rPr>
  </w:style>
  <w:style w:type="character" w:styleId="Style19" w:customStyle="1">
    <w:name w:val="Верхній колонтитул Знак"/>
    <w:basedOn w:val="DefaultParagraphFont"/>
    <w:uiPriority w:val="99"/>
    <w:qFormat/>
    <w:rsid w:val="00eb3c15"/>
    <w:rPr>
      <w:rFonts w:ascii="Times New Roman" w:hAnsi="Times New Roman" w:eastAsia="Times New Roman" w:cs="Times New Roman"/>
      <w:bCs/>
      <w:color w:val="00000A"/>
      <w:sz w:val="28"/>
      <w:lang w:bidi="ar-SA"/>
    </w:rPr>
  </w:style>
  <w:style w:type="paragraph" w:styleId="Style20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Mangal;Liberation Mono"/>
    </w:rPr>
  </w:style>
  <w:style w:type="paragraph" w:styleId="Caption">
    <w:name w:val="caption"/>
    <w:qFormat/>
    <w:pPr>
      <w:widowControl w:val="false"/>
      <w:suppressAutoHyphens w:val="true"/>
      <w:bidi w:val="0"/>
      <w:spacing w:before="120" w:after="120"/>
      <w:jc w:val="left"/>
    </w:pPr>
    <w:rPr>
      <w:rFonts w:cs="FreeSans" w:ascii="Liberation Serif" w:hAnsi="Liberation Serif" w:eastAsia="NSimSun"/>
      <w:i/>
      <w:iCs/>
      <w:color w:val="00000A"/>
      <w:kern w:val="0"/>
      <w:sz w:val="28"/>
      <w:szCs w:val="24"/>
      <w:lang w:val="uk-UA" w:eastAsia="zh-CN" w:bidi="hi-IN"/>
    </w:rPr>
  </w:style>
  <w:style w:type="paragraph" w:styleId="Style21" w:customStyle="1">
    <w:name w:val="Покажчик"/>
    <w:basedOn w:val="Normal"/>
    <w:qFormat/>
    <w:pPr>
      <w:suppressLineNumbers/>
    </w:pPr>
    <w:rPr>
      <w:rFonts w:cs="Mangal;Liberation Mono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15" w:customStyle="1">
    <w:name w:val="Заголовок1"/>
    <w:basedOn w:val="Normal"/>
    <w:qFormat/>
    <w:pPr>
      <w:keepNext w:val="true"/>
      <w:spacing w:before="240" w:after="120"/>
    </w:pPr>
    <w:rPr>
      <w:rFonts w:ascii="Liberation Sans;Arial" w:hAnsi="Liberation Sans;Arial" w:eastAsia="Microsoft YaHei" w:cs="Mangal;Liberation Mono"/>
      <w:szCs w:val="28"/>
    </w:rPr>
  </w:style>
  <w:style w:type="paragraph" w:styleId="16" w:customStyle="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7" w:customStyle="1">
    <w:name w:val="Назва об'єкта1"/>
    <w:basedOn w:val="Normal"/>
    <w:qFormat/>
    <w:pPr>
      <w:suppressLineNumbers/>
      <w:spacing w:before="120" w:after="120"/>
    </w:pPr>
    <w:rPr>
      <w:rFonts w:cs="Mangal;Liberation Mono"/>
      <w:i/>
      <w:iCs/>
      <w:sz w:val="24"/>
    </w:rPr>
  </w:style>
  <w:style w:type="paragraph" w:styleId="BodyTextIndent">
    <w:name w:val="Body Text Indent"/>
    <w:basedOn w:val="Normal"/>
    <w:pPr>
      <w:spacing w:before="0" w:after="120"/>
      <w:ind w:left="283"/>
    </w:pPr>
    <w:rPr/>
  </w:style>
  <w:style w:type="paragraph" w:styleId="Style22" w:customStyle="1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link w:val="Style19"/>
    <w:uiPriority w:val="99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 w:customStyle="1">
    <w:name w:val="Вміст таблиці"/>
    <w:basedOn w:val="Normal"/>
    <w:qFormat/>
    <w:pPr>
      <w:suppressLineNumbers/>
    </w:pPr>
    <w:rPr/>
  </w:style>
  <w:style w:type="paragraph" w:styleId="Style24" w:customStyle="1">
    <w:name w:val="Заголовок таблиці"/>
    <w:basedOn w:val="Style23"/>
    <w:qFormat/>
    <w:pPr>
      <w:jc w:val="center"/>
    </w:pPr>
    <w:rPr>
      <w:b/>
    </w:rPr>
  </w:style>
  <w:style w:type="paragraph" w:styleId="ListParagraph">
    <w:name w:val="List Paragraph"/>
    <w:basedOn w:val="Normal"/>
    <w:qFormat/>
    <w:pPr>
      <w:spacing w:before="0" w:after="160"/>
      <w:ind w:left="720"/>
      <w:contextualSpacing/>
    </w:pPr>
    <w:rPr/>
  </w:style>
  <w:style w:type="paragraph" w:styleId="3" w:customStyle="1">
    <w:name w:val="Назва об'єкта3"/>
    <w:basedOn w:val="Normal"/>
    <w:qFormat/>
    <w:pPr>
      <w:spacing w:before="120" w:after="120"/>
    </w:pPr>
    <w:rPr>
      <w:i/>
      <w:iCs/>
    </w:rPr>
  </w:style>
  <w:style w:type="paragraph" w:styleId="24" w:customStyle="1">
    <w:name w:val="Назва об'єкта2"/>
    <w:basedOn w:val="Normal"/>
    <w:qFormat/>
    <w:pPr>
      <w:spacing w:before="120" w:after="120"/>
    </w:pPr>
    <w:rPr>
      <w:rFonts w:cs="Mangal"/>
      <w:i/>
      <w:iCs/>
    </w:rPr>
  </w:style>
  <w:style w:type="paragraph" w:styleId="18" w:customStyle="1">
    <w:name w:val="Указатель1"/>
    <w:basedOn w:val="Normal"/>
    <w:qFormat/>
    <w:pPr/>
    <w:rPr>
      <w:rFonts w:cs="Mangal"/>
    </w:rPr>
  </w:style>
  <w:style w:type="paragraph" w:styleId="BalloonText">
    <w:name w:val="Balloon Text"/>
    <w:basedOn w:val="Normal"/>
    <w:qFormat/>
    <w:pPr/>
    <w:rPr>
      <w:rFonts w:ascii="Segoe UI" w:hAnsi="Segoe UI" w:cs="Mangal"/>
      <w:sz w:val="18"/>
      <w:szCs w:val="16"/>
    </w:rPr>
  </w:style>
  <w:style w:type="paragraph" w:styleId="notetext1" w:customStyle="1">
    <w:name w:val="note text_1"/>
    <w:qFormat/>
    <w:pPr>
      <w:widowControl w:val="false"/>
      <w:suppressAutoHyphens w:val="true"/>
      <w:bidi w:val="0"/>
      <w:spacing w:before="0" w:after="0"/>
      <w:jc w:val="left"/>
    </w:pPr>
    <w:rPr>
      <w:rFonts w:ascii="Liberation Serif;Times New Roma" w:hAnsi="Liberation Serif;Times New Roma" w:eastAsia="Droid Sans Fallback" w:cs="FreeSans"/>
      <w:color w:val="00000A"/>
      <w:kern w:val="0"/>
      <w:sz w:val="28"/>
      <w:szCs w:val="24"/>
      <w:lang w:val="uk-UA" w:eastAsia="zh-CN" w:bidi="hi-IN"/>
    </w:rPr>
  </w:style>
  <w:style w:type="paragraph" w:styleId="notetext" w:customStyle="1">
    <w:name w:val="note text"/>
    <w:qFormat/>
    <w:pPr>
      <w:widowControl w:val="false"/>
      <w:suppressAutoHyphens w:val="true"/>
      <w:bidi w:val="0"/>
      <w:spacing w:before="0" w:after="0"/>
      <w:jc w:val="left"/>
    </w:pPr>
    <w:rPr>
      <w:rFonts w:ascii="Liberation Serif;Times New Roma" w:hAnsi="Liberation Serif;Times New Roma" w:eastAsia="Droid Sans Fallback" w:cs="FreeSans"/>
      <w:color w:val="00000A"/>
      <w:kern w:val="0"/>
      <w:sz w:val="28"/>
      <w:szCs w:val="24"/>
      <w:lang w:val="uk-UA" w:eastAsia="zh-CN" w:bidi="hi-IN"/>
    </w:rPr>
  </w:style>
  <w:style w:type="paragraph" w:styleId="OLE" w:customStyle="1">
    <w:name w:val="OLE"/>
    <w:qFormat/>
    <w:pPr>
      <w:widowControl w:val="false"/>
      <w:suppressAutoHyphens w:val="true"/>
      <w:bidi w:val="0"/>
      <w:spacing w:before="0" w:after="0"/>
      <w:jc w:val="left"/>
    </w:pPr>
    <w:rPr>
      <w:rFonts w:ascii="Liberation Serif;Times New Roma" w:hAnsi="Liberation Serif;Times New Roma" w:eastAsia="Droid Sans Fallback" w:cs="FreeSans"/>
      <w:color w:val="00000A"/>
      <w:kern w:val="0"/>
      <w:sz w:val="28"/>
      <w:szCs w:val="24"/>
      <w:lang w:val="uk-UA" w:eastAsia="zh-CN" w:bidi="hi-IN"/>
    </w:rPr>
  </w:style>
  <w:style w:type="paragraph" w:styleId="Graphics" w:customStyle="1">
    <w:name w:val="Graphics"/>
    <w:qFormat/>
    <w:pPr>
      <w:widowControl w:val="false"/>
      <w:suppressAutoHyphens w:val="true"/>
      <w:bidi w:val="0"/>
      <w:spacing w:before="0" w:after="0"/>
      <w:jc w:val="left"/>
    </w:pPr>
    <w:rPr>
      <w:rFonts w:ascii="Liberation Serif;Times New Roma" w:hAnsi="Liberation Serif;Times New Roma" w:eastAsia="Droid Sans Fallback" w:cs="FreeSans"/>
      <w:color w:val="00000A"/>
      <w:kern w:val="0"/>
      <w:sz w:val="28"/>
      <w:szCs w:val="24"/>
      <w:lang w:val="uk-UA" w:eastAsia="zh-CN" w:bidi="hi-IN"/>
    </w:rPr>
  </w:style>
  <w:style w:type="paragraph" w:styleId="Frame" w:customStyle="1">
    <w:name w:val="Frame"/>
    <w:qFormat/>
    <w:pPr>
      <w:widowControl w:val="false"/>
      <w:suppressAutoHyphens w:val="true"/>
      <w:bidi w:val="0"/>
      <w:spacing w:before="0" w:after="0"/>
      <w:jc w:val="left"/>
    </w:pPr>
    <w:rPr>
      <w:rFonts w:ascii="Liberation Serif;Times New Roma" w:hAnsi="Liberation Serif;Times New Roma" w:eastAsia="Droid Sans Fallback" w:cs="FreeSans"/>
      <w:color w:val="00000A"/>
      <w:kern w:val="0"/>
      <w:sz w:val="28"/>
      <w:szCs w:val="24"/>
      <w:lang w:val="uk-UA" w:eastAsia="zh-CN" w:bidi="hi-IN"/>
    </w:rPr>
  </w:style>
  <w:style w:type="paragraph" w:styleId="BodyTextIndent2">
    <w:name w:val="Body Text Indent 2"/>
    <w:qFormat/>
    <w:pPr>
      <w:widowControl w:val="false"/>
      <w:suppressAutoHyphens w:val="true"/>
      <w:bidi w:val="0"/>
      <w:spacing w:before="0" w:after="0"/>
      <w:ind w:firstLine="1080"/>
      <w:jc w:val="both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bidi="ar-SA" w:val="uk-UA" w:eastAsia="zh-CN"/>
    </w:rPr>
  </w:style>
  <w:style w:type="paragraph" w:styleId="Heading21" w:customStyle="1">
    <w:name w:val="Heading 21"/>
    <w:qFormat/>
    <w:pPr>
      <w:keepNext w:val="true"/>
      <w:widowControl w:val="false"/>
      <w:suppressAutoHyphens w:val="true"/>
      <w:bidi w:val="0"/>
      <w:spacing w:before="240" w:after="60"/>
      <w:jc w:val="left"/>
    </w:pPr>
    <w:rPr>
      <w:rFonts w:ascii="Arial" w:hAnsi="Arial" w:eastAsia="Times New Roman" w:cs="Arial"/>
      <w:b/>
      <w:bCs/>
      <w:i/>
      <w:iCs/>
      <w:color w:val="00000A"/>
      <w:kern w:val="0"/>
      <w:sz w:val="28"/>
      <w:szCs w:val="28"/>
      <w:lang w:bidi="ar-SA" w:val="uk-UA" w:eastAsia="zh-CN"/>
    </w:rPr>
  </w:style>
  <w:style w:type="paragraph" w:styleId="Heading11" w:customStyle="1">
    <w:name w:val="Heading 11"/>
    <w:qFormat/>
    <w:pPr>
      <w:keepNext w:val="true"/>
      <w:widowControl w:val="false"/>
      <w:suppressAutoHyphens w:val="true"/>
      <w:bidi w:val="0"/>
      <w:spacing w:before="0" w:after="0"/>
      <w:jc w:val="center"/>
    </w:pPr>
    <w:rPr>
      <w:rFonts w:ascii="Times New Roman" w:hAnsi="Times New Roman" w:eastAsia="Times New Roman" w:cs="Times New Roman"/>
      <w:b/>
      <w:bCs/>
      <w:color w:val="00000A"/>
      <w:kern w:val="0"/>
      <w:sz w:val="32"/>
      <w:szCs w:val="24"/>
      <w:lang w:bidi="ar-SA" w:val="uk-UA" w:eastAsia="zh-CN"/>
    </w:rPr>
  </w:style>
  <w:style w:type="paragraph" w:styleId="Textbody" w:customStyle="1">
    <w:name w:val="Text body"/>
    <w:qFormat/>
    <w:pPr>
      <w:widowControl w:val="false"/>
      <w:suppressAutoHyphens w:val="true"/>
      <w:bidi w:val="0"/>
      <w:spacing w:lineRule="auto" w:line="288" w:before="0" w:after="14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bidi="ar-SA" w:val="uk-UA" w:eastAsia="zh-CN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bidi="ar-SA" w:val="uk-UA" w:eastAsia="zh-CN"/>
    </w:rPr>
  </w:style>
  <w:style w:type="numbering" w:styleId="Style25" w:customStyle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Application>LibreOffice/24.8.4.2$Windows_X86_64 LibreOffice_project/bb3cfa12c7b1bf994ecc5649a80400d06cd71002</Application>
  <AppVersion>15.0000</AppVersion>
  <Pages>2</Pages>
  <Words>196</Words>
  <Characters>1512</Characters>
  <CharactersWithSpaces>1671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2022-08-04T11:27:00Z</dcterms:created>
  <dc:creator>Поліщук Оксана Анатоліївна</dc:creator>
  <dc:description/>
  <dc:language>uk-UA</dc:language>
  <cp:lastModifiedBy/>
  <cp:lastPrinted>2023-08-10T09:17:00Z</cp:lastPrinted>
  <dcterms:modified xsi:type="dcterms:W3CDTF">2025-01-13T11:06:48Z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