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476635093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Про  надання  ТОВ «АБРАЗИВ-СЕРВІС»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дозволу  на  розроблення  проєкту  земле-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устрою  щодо   відведення   земельної  ді-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лянки для будівництва та обслуговування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виробничо-складських приміщень (11.02)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на вул. Виробничій, 34 у м. 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АБРАЗИВ-СЕРВІС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»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про надання дозволу на розроблення проєкту землеустрою щодо відведення земельної ділянки в оренду на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вул. Виробничій, 34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виробничо-складських приміщень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,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 документи, що посвідчують право власності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АБРАЗИВ-СЕРВІС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на об’єкти нерухомого майна на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вул. Виробничій, 34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Луцьку: договір купівлі-продажу від 18.05.2021 за № 480, відповідно до якого право власності на 7/100 частки будівлі складу мастил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/частина будівлі М-1/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зареєстровано в Державному реєстрі речових прав на нерухоме майно від 18.05.2021, номер запису про право власності: 42002325, договір № 304-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en-US" w:eastAsia="zh-CN" w:bidi="ar-SA"/>
        </w:rPr>
        <w:t xml:space="preserve">L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купівлі-продажу будівель від 12.11.2003, акт прийняття-передачі від 14.11.2003, договір купівлі-продажу від 09.12.2011 за № 2772, відповідно до яких право власності на 93/100 частки будівлі складу мастил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/частина будівлі М-1/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зареєстровано від 11.06.2012, реєстраційний номер: 9997587, технічний паспорт на об'єкт нерухомого майна від 06.12.2023; договір купівлі-продажу від 18.05.2021 за № 480, відповідно до якого право власності на 7/100 частки будівлі абразивно-алмазної дільниці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/частина будівлі М-2/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зареєстровано в Державному реєстрі речових прав на нерухоме майно від 18.05.2021, номер запису про право власності: 42001124, договір № 304-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en-US" w:eastAsia="zh-CN" w:bidi="ar-SA"/>
        </w:rPr>
        <w:t xml:space="preserve">L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купівлі-продажу будівель від 12.11.2003, акт прийняття-передачі від 14.11.2003, договір купівлі-продажу від 09.12.2011 за № 2772, відповідно до яких право власності на 93/100 частки будівлі складу мастил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 /частина будівлі М-2/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зареєстровано від 11.06.2012, реєстраційний номер: 9997587, технічний паспорт на об'єкт нерухомого майна від 06.12.2023; договір № 304-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en-US" w:eastAsia="zh-CN" w:bidi="ar-SA"/>
        </w:rPr>
        <w:t xml:space="preserve">L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купівлі-продажу будівель від 12.11.2003, акт прийняття-передачі від 14.11.2003, відповідно до яких право власності на склад абразивно-алмазної дільниці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зареєстровано від 03.03.2006, реєстраційний номер: 9991394, технічний паспорт на об'єкт нерухомого майна від 11.01.2006; договір купівлі-продажу від 16.02.2012 за № 181, відповідно до якого право власності на склад масел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зареєстровано від 12.07.2012, реєстраційний номер: 31443714, технічний паспорт на об'єкт нерухомого майна від 07.07.2012, враховуючи р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ішення Луцької міської ради від 27.04.2004 за № 16/15.2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Про затвердження додаткового переліку земельних ділянок несільськогосподарського призначення, що заплановано продати протягом 2004 року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»,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пунктом 3 Прикінцевих положень Закону України «Про внесення змін до деяких законодавчих актів України щодо сприяння будівництву»,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пунктом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Генеральним планом міста Луцька, затвердженого рішенням Луцької міської ради від 23.02.2022 № 26/49 “Про затвердження містобудівної документації проєкт «м. Луцьк. Внесення змін до генерального плану»”,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ТОВАРИСТВУ З ОБМЕЖЕНОЮ ВІДПОВІДАЛЬНІСТЮ «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АБРАЗИВ-СЕРВІС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проєкту землеустрою щодо відведення земельної ділянки на умовах оренди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виробничо-складських приміщень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(11.02 </w:t>
      </w:r>
      <w:r>
        <w:rPr>
          <w:rFonts w:eastAsia="Times New Roman" w:cs="Times New Roman"/>
          <w:b w:val="false"/>
          <w:bCs w:val="false"/>
          <w:i w:val="false"/>
          <w:iCs w:val="false"/>
          <w:spacing w:val="-4"/>
          <w:sz w:val="28"/>
          <w:szCs w:val="28"/>
          <w:lang w:val="uk-UA"/>
        </w:rPr>
        <w:t>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відходів, зокрема із енергогенеруючим блоком)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вул. Виробничій, 34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у м. Луцьку, орієнтовною площею 0,80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Проєкт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2. Рішення Луцької міської ради від 27.04.2004 за № 16/15.2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Про затвердження додаткового переліку земельних ділянок несільськогосподарського призначення, що заплановано продати протягом 2004 року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вважати не чинним в частині надання ТзОВ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«Абразив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-Сервіс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дозволу на складання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проєкту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відведення земельної ділянки на вул. Боженка, 34 для обслуговування адміністративних та господарських споруд площею 0,852 га.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rFonts w:eastAsia="Times New Roman" w:cs="Times New Roman"/>
          <w:bCs w:val="false"/>
          <w:color w:val="000000"/>
          <w:spacing w:val="-6"/>
          <w:kern w:val="0"/>
          <w:sz w:val="24"/>
          <w:szCs w:val="24"/>
          <w:highlight w:val="white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ymbol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BodyTextIndentChar">
    <w:name w:val="Body Text Indent Char"/>
    <w:qFormat/>
    <w:rPr>
      <w:rFonts w:ascii="Times New Roman" w:hAnsi="Times New Roman" w:eastAsia="Times New Roman" w:cs="Times New Roman"/>
      <w:color w:val="000000"/>
    </w:rPr>
  </w:style>
  <w:style w:type="character" w:styleId="BodyTextChar">
    <w:name w:val="Body Text Char"/>
    <w:qFormat/>
    <w:rPr>
      <w:rFonts w:ascii="Times New Roman" w:hAnsi="Times New Roman" w:eastAsia="Times New Roman" w:cs="Times New Roman"/>
      <w:color w:val="000000"/>
    </w:rPr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3z0">
    <w:name w:val="WW8Num3z0"/>
    <w:qFormat/>
    <w:rPr/>
  </w:style>
  <w:style w:type="character" w:styleId="WW8Num2z3">
    <w:name w:val="WW8Num2z3"/>
    <w:qFormat/>
    <w:rPr>
      <w:rFonts w:ascii="Symbol" w:hAnsi="Symbol"/>
    </w:rPr>
  </w:style>
  <w:style w:type="character" w:styleId="WW8Num2z2">
    <w:name w:val="WW8Num2z2"/>
    <w:qFormat/>
    <w:rPr>
      <w:rFonts w:ascii="Wingdings" w:hAnsi="Wingdings"/>
    </w:rPr>
  </w:style>
  <w:style w:type="character" w:styleId="WW8Num2z1">
    <w:name w:val="WW8Num2z1"/>
    <w:qFormat/>
    <w:rPr>
      <w:rFonts w:ascii="Courier New" w:hAnsi="Courier New"/>
    </w:rPr>
  </w:style>
  <w:style w:type="character" w:styleId="WW8Num2z0">
    <w:name w:val="WW8Num2z0"/>
    <w:qFormat/>
    <w:rPr>
      <w:rFonts w:ascii="Symbol" w:hAnsi="Symbol"/>
    </w:rPr>
  </w:style>
  <w:style w:type="character" w:styleId="WWWW8Num1ztrue61">
    <w:name w:val="WW-WW8Num1ztrue61"/>
    <w:qFormat/>
    <w:rPr/>
  </w:style>
  <w:style w:type="character" w:styleId="WWWW8Num1ztrue51">
    <w:name w:val="WW-WW8Num1ztrue51"/>
    <w:qFormat/>
    <w:rPr/>
  </w:style>
  <w:style w:type="character" w:styleId="WWWW8Num1ztrue41">
    <w:name w:val="WW-WW8Num1ztrue41"/>
    <w:qFormat/>
    <w:rPr/>
  </w:style>
  <w:style w:type="character" w:styleId="WWWW8Num1ztrue31">
    <w:name w:val="WW-WW8Num1ztrue31"/>
    <w:qFormat/>
    <w:rPr/>
  </w:style>
  <w:style w:type="character" w:styleId="WWWW8Num1ztrue21">
    <w:name w:val="WW-WW8Num1ztrue21"/>
    <w:qFormat/>
    <w:rPr/>
  </w:style>
  <w:style w:type="character" w:styleId="WWWW8Num1ztrue11">
    <w:name w:val="WW-WW8Num1ztrue11"/>
    <w:qFormat/>
    <w:rPr/>
  </w:style>
  <w:style w:type="character" w:styleId="WWWW8Num1ztrue7">
    <w:name w:val="WW-WW8Num1ztrue7"/>
    <w:qFormat/>
    <w:rPr/>
  </w:style>
  <w:style w:type="character" w:styleId="WWWW8Num1ztrue6">
    <w:name w:val="WW-WW8Num1ztrue6"/>
    <w:qFormat/>
    <w:rPr/>
  </w:style>
  <w:style w:type="character" w:styleId="WWWW8Num1ztrue5">
    <w:name w:val="WW-WW8Num1ztrue5"/>
    <w:qFormat/>
    <w:rPr/>
  </w:style>
  <w:style w:type="character" w:styleId="WWWW8Num1ztrue4">
    <w:name w:val="WW-WW8Num1ztrue4"/>
    <w:qFormat/>
    <w:rPr/>
  </w:style>
  <w:style w:type="character" w:styleId="WWWW8Num1ztrue3">
    <w:name w:val="WW-WW8Num1ztrue3"/>
    <w:qFormat/>
    <w:rPr/>
  </w:style>
  <w:style w:type="character" w:styleId="WWWW8Num1ztrue2">
    <w:name w:val="WW-WW8Num1ztrue2"/>
    <w:qFormat/>
    <w:rPr/>
  </w:style>
  <w:style w:type="character" w:styleId="WWWW8Num1ztrue1">
    <w:name w:val="WW-WW8Num1ztrue1"/>
    <w:qFormat/>
    <w:rPr/>
  </w:style>
  <w:style w:type="character" w:styleId="WWWW8Num1ztrue">
    <w:name w:val="WW-WW8Num1ztrue"/>
    <w:qFormat/>
    <w:rPr/>
  </w:style>
  <w:style w:type="character" w:styleId="WW8Num1ztrue">
    <w:name w:val="WW8Num1ztrue"/>
    <w:qFormat/>
    <w:rPr/>
  </w:style>
  <w:style w:type="character" w:styleId="WW8Num1zfalse">
    <w:name w:val="WW8Num1zfalse"/>
    <w:qFormat/>
    <w:rPr/>
  </w:style>
  <w:style w:type="character" w:styleId="21">
    <w:name w:val="Основной шрифт абзаца2"/>
    <w:qFormat/>
    <w:rPr/>
  </w:style>
  <w:style w:type="character" w:styleId="Heading2Char">
    <w:name w:val="Heading 2 Char"/>
    <w:qFormat/>
    <w:rPr>
      <w:rFonts w:ascii="Cambria" w:hAnsi="Cambria" w:eastAsia="Times New Roman" w:cs="Times New Roman"/>
      <w:b/>
      <w:bCs/>
      <w:i/>
      <w:iCs/>
      <w:color w:val="000000"/>
      <w:sz w:val="28"/>
      <w:szCs w:val="28"/>
    </w:rPr>
  </w:style>
  <w:style w:type="character" w:styleId="Heading1Char">
    <w:name w:val="Heading 1 Char"/>
    <w:qFormat/>
    <w:rPr>
      <w:rFonts w:ascii="Cambria" w:hAnsi="Cambria" w:eastAsia="Times New Roman" w:cs="Times New Roman"/>
      <w:b/>
      <w:bCs/>
      <w:color w:val="000000"/>
      <w:kern w:val="2"/>
      <w:sz w:val="32"/>
      <w:szCs w:val="32"/>
    </w:rPr>
  </w:style>
  <w:style w:type="character" w:styleId="DefaultParagraphFont">
    <w:name w:val="Default Paragraph Font"/>
    <w:qFormat/>
    <w:rPr/>
  </w:style>
  <w:style w:type="character" w:styleId="Style13">
    <w:name w:val="Emphasis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  <w:sz w:val="24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lang w:val="uk-UA"/>
    </w:rPr>
  </w:style>
  <w:style w:type="paragraph" w:styleId="12">
    <w:name w:val="Текст1"/>
    <w:basedOn w:val="Normal"/>
    <w:qFormat/>
    <w:pPr/>
    <w:rPr>
      <w:rFonts w:ascii="Courier New" w:hAnsi="Courier New" w:cs="Courier New"/>
      <w:sz w:val="20"/>
      <w:szCs w:val="20"/>
    </w:rPr>
  </w:style>
  <w:style w:type="paragraph" w:styleId="13">
    <w:name w:val="Указатель1"/>
    <w:basedOn w:val="Normal"/>
    <w:qFormat/>
    <w:pPr/>
    <w:rPr>
      <w:rFonts w:cs="Mangal"/>
    </w:rPr>
  </w:style>
  <w:style w:type="paragraph" w:styleId="14">
    <w:name w:val="Название объекта1"/>
    <w:basedOn w:val="Normal"/>
    <w:qFormat/>
    <w:pPr>
      <w:spacing w:before="120" w:after="120"/>
    </w:pPr>
    <w:rPr>
      <w:rFonts w:cs="Mangal"/>
      <w:i/>
      <w:iCs/>
    </w:rPr>
  </w:style>
  <w:style w:type="paragraph" w:styleId="Caption">
    <w:name w:val="caption"/>
    <w:basedOn w:val="Normal"/>
    <w:qFormat/>
    <w:pPr>
      <w:spacing w:before="120" w:after="120"/>
    </w:pPr>
    <w:rPr>
      <w:rFonts w:cs="FreeSans"/>
      <w:i/>
      <w:i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442</TotalTime>
  <Application>LibreOffice/7.4.0.3$Windows_X86_64 LibreOffice_project/f85e47c08ddd19c015c0114a68350214f7066f5a</Application>
  <AppVersion>15.0000</AppVersion>
  <Pages>3</Pages>
  <Words>700</Words>
  <Characters>4783</Characters>
  <CharactersWithSpaces>5674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nkhmel</dc:creator>
  <dc:description/>
  <dc:language>uk-UA</dc:language>
  <cp:lastModifiedBy/>
  <cp:lastPrinted>2024-12-09T17:16:37Z</cp:lastPrinted>
  <dcterms:modified xsi:type="dcterms:W3CDTF">2024-12-09T17:16:33Z</dcterms:modified>
  <cp:revision>220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