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application/x-msmetafil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 Id="customR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widowControl w:val="0"/>
        <w:jc w:val="center"/>
        <w:rPr>
          <w:lang w:val="uk-UA" w:bidi="ar-SA" w:eastAsia="zh-CN"/>
        </w:rPr>
      </w:pPr>
      <w:r>
        <w:drawing>
          <wp:inline xmlns:wp="http://schemas.openxmlformats.org/drawingml/2006/wordprocessingDrawing">
            <wp:extent cx="739140" cy="7518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739140" cy="751840"/>
                    </a:xfrm>
                    <a:prstGeom prst="rect"/>
                    <a:solidFill>
                      <a:srgbClr val="FFFFFF"/>
                    </a:solidFill>
                  </pic:spPr>
                </pic:pic>
              </a:graphicData>
            </a:graphic>
          </wp:inline>
        </w:drawing>
      </w:r>
    </w:p>
    <w:p>
      <w:pPr>
        <w:pStyle w:val="P1"/>
        <w:widowControl w:val="0"/>
        <w:numPr>
          <w:ilvl w:val="0"/>
          <w:numId w:val="1"/>
        </w:numPr>
        <w:rPr>
          <w:lang w:val="uk-UA" w:bidi="ar-SA" w:eastAsia="zh-CN"/>
        </w:rPr>
      </w:pPr>
      <w:r>
        <w:rPr>
          <w:sz w:val="28"/>
          <w:szCs w:val="28"/>
          <w:lang w:val="uk-UA" w:bidi="ar-SA" w:eastAsia="zh-CN"/>
        </w:rPr>
        <w:t xml:space="preserve">ЛУЦЬКА  МІСЬКА  РАДА</w:t>
      </w:r>
    </w:p>
    <w:p>
      <w:pPr>
        <w:widowControl w:val="0"/>
        <w:rPr>
          <w:sz w:val="10"/>
          <w:szCs w:val="10"/>
          <w:lang w:val="uk-UA" w:bidi="ar-SA" w:eastAsia="zh-CN"/>
        </w:rPr>
      </w:pPr>
    </w:p>
    <w:p>
      <w:pPr>
        <w:pStyle w:val="P2"/>
        <w:widowControl w:val="0"/>
        <w:numPr>
          <w:ilvl w:val="1"/>
          <w:numId w:val="1"/>
        </w:numPr>
        <w:jc w:val="center"/>
        <w:rPr>
          <w:lang w:val="uk-UA" w:bidi="ar-SA" w:eastAsia="zh-CN"/>
        </w:rPr>
      </w:pPr>
      <w:r>
        <w:rPr>
          <w:sz w:val="32"/>
          <w:szCs w:val="32"/>
          <w:lang w:val="uk-UA" w:bidi="ar-SA" w:eastAsia="zh-CN"/>
        </w:rPr>
        <w:t>Р І Ш Е Н Н Я</w:t>
      </w:r>
    </w:p>
    <w:p>
      <w:pPr>
        <w:widowControl w:val="0"/>
        <w:jc w:val="center"/>
        <w:rPr>
          <w:b w:val="1"/>
          <w:bCs w:val="1"/>
          <w:sz w:val="21"/>
          <w:szCs w:val="21"/>
          <w:lang w:val="uk-UA" w:bidi="ar-SA" w:eastAsia="zh-CN"/>
        </w:rPr>
      </w:pPr>
    </w:p>
    <w:p>
      <w:pPr>
        <w:widowControl w:val="0"/>
        <w:tabs>
          <w:tab w:val="clear" w:pos="708" w:leader="none"/>
          <w:tab w:val="left" w:pos="4364" w:leader="none"/>
          <w:tab w:val="left" w:pos="7364" w:leader="none"/>
        </w:tabs>
        <w:jc w:val="both"/>
        <w:rPr>
          <w:lang w:val="uk-UA" w:bidi="ar-SA" w:eastAsia="zh-CN"/>
        </w:rPr>
      </w:pPr>
      <w:r>
        <w:rPr>
          <w:sz w:val="24"/>
          <w:lang w:val="uk-UA" w:bidi="ar-SA" w:eastAsia="zh-CN"/>
        </w:rPr>
        <w:t>________________</w:t>
        <w:tab/>
        <w:t>Луцьк</w:t>
        <w:tab/>
        <w:t>№______________</w:t>
      </w:r>
    </w:p>
    <w:p>
      <w:pPr>
        <w:widowControl w:val="0"/>
        <w:jc w:val="both"/>
        <w:rPr>
          <w:sz w:val="28"/>
          <w:szCs w:val="28"/>
          <w:lang w:val="uk-UA" w:bidi="ar-SA" w:eastAsia="zh-CN"/>
        </w:rPr>
      </w:pPr>
    </w:p>
    <w:p>
      <w:pPr>
        <w:widowControl w:val="1"/>
        <w:suppressAutoHyphens w:val="1"/>
        <w:spacing w:before="0" w:after="0" w:beforeAutospacing="0" w:afterAutospacing="0"/>
        <w:ind w:firstLine="0" w:left="0" w:right="4649"/>
        <w:bidi w:val="0"/>
        <w:jc w:val="both"/>
      </w:pPr>
      <w:r>
        <w:rPr>
          <w:sz w:val="28"/>
          <w:szCs w:val="28"/>
          <w:lang w:val="uk-UA" w:bidi="ar-SA" w:eastAsia="zh-CN"/>
        </w:rPr>
        <w:t xml:space="preserve">Про надання </w:t>
      </w:r>
      <w:r>
        <w:rPr>
          <w:color w:val="00000A"/>
          <w:sz w:val="28"/>
          <w:szCs w:val="28"/>
          <w:lang w:val="uk-UA" w:bidi="ar-SA" w:eastAsia="zh-CN"/>
        </w:rPr>
        <w:t>виконавчому</w:t>
      </w:r>
      <w:r>
        <w:rPr>
          <w:sz w:val="28"/>
          <w:szCs w:val="28"/>
          <w:lang w:val="uk-UA" w:bidi="ar-SA" w:eastAsia="zh-CN"/>
        </w:rPr>
        <w:t xml:space="preserve"> комітету Луцької міської ради дозволу на розроблення технічн</w:t>
      </w:r>
      <w:r>
        <w:rPr>
          <w:smallCaps w:val="0"/>
          <w:sz w:val="28"/>
          <w:szCs w:val="22"/>
          <w:cs w:val="0"/>
          <w:spacing w:val="0"/>
          <w:w w:val="100"/>
          <w:position w:val="0"/>
          <w:snapToGrid w:val="1"/>
          <w:lang w:val="uk-UA" w:bidi="ar-SA" w:eastAsia="zh-CN"/>
        </w:rPr>
        <w:t>ої</w:t>
      </w:r>
      <w:r>
        <w:rPr>
          <w:sz w:val="28"/>
          <w:szCs w:val="28"/>
          <w:lang w:val="uk-UA" w:bidi="ar-SA" w:eastAsia="zh-CN"/>
        </w:rPr>
        <w:t xml:space="preserve"> документаці</w:t>
      </w:r>
      <w:r>
        <w:rPr>
          <w:smallCaps w:val="0"/>
          <w:sz w:val="28"/>
          <w:szCs w:val="22"/>
          <w:cs w:val="0"/>
          <w:spacing w:val="0"/>
          <w:w w:val="100"/>
          <w:position w:val="0"/>
          <w:snapToGrid w:val="1"/>
          <w:lang w:val="uk-UA" w:bidi="ar-SA" w:eastAsia="zh-CN"/>
        </w:rPr>
        <w:t>ї</w:t>
      </w:r>
      <w:r>
        <w:rPr>
          <w:sz w:val="28"/>
          <w:szCs w:val="28"/>
          <w:lang w:val="uk-UA" w:bidi="ar-SA" w:eastAsia="zh-CN"/>
        </w:rPr>
        <w:t xml:space="preserve"> із землеустрою щодо встановлення (відновлення) меж земельних ділянок в натурі (на місцевості), що виставля-тимуться на земельні торги (аукціон), та проведення їх експертних грошових оцінок</w:t>
      </w:r>
    </w:p>
    <w:p>
      <w:pPr>
        <w:rPr>
          <w:lang w:val="uk-UA" w:bidi="ar-SA" w:eastAsia="zh-CN"/>
        </w:rPr>
      </w:pPr>
    </w:p>
    <w:p>
      <w:pPr>
        <w:widowControl w:val="1"/>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 xml:space="preserve">З метою підготовки проведення земельних торгів з продажу у власність фізичних або юридичних осіб земельних ділянок несільськогосподарського призначення комунальної власності Луцької міської територіальної громади Волинської області, необхідності внесення змін до раніше розробленої  землевпорядної документації на земельні ділянки, що виставлятимуться на земельні торги, в частині</w:t>
      </w:r>
      <w:r>
        <w:rPr>
          <w:color w:val="CE181E"/>
          <w:sz w:val="28"/>
          <w:szCs w:val="28"/>
          <w:lang w:val="uk-UA" w:bidi="ar-SA" w:eastAsia="zh-CN"/>
        </w:rPr>
        <w:t xml:space="preserve"> </w:t>
      </w:r>
      <w:r>
        <w:rPr>
          <w:color w:val="000000"/>
          <w:sz w:val="28"/>
          <w:szCs w:val="28"/>
          <w:lang w:val="uk-UA" w:bidi="ar-SA" w:eastAsia="zh-CN"/>
        </w:rPr>
        <w:t>уточнення</w:t>
      </w:r>
      <w:r>
        <w:rPr>
          <w:color w:val="CE181E"/>
          <w:sz w:val="28"/>
          <w:szCs w:val="28"/>
          <w:lang w:val="uk-UA" w:bidi="ar-SA" w:eastAsia="zh-CN"/>
        </w:rPr>
        <w:t xml:space="preserve"> </w:t>
      </w:r>
      <w:r>
        <w:rPr>
          <w:sz w:val="28"/>
          <w:szCs w:val="28"/>
          <w:lang w:val="uk-UA" w:bidi="ar-SA" w:eastAsia="zh-CN"/>
        </w:rPr>
        <w:t>встановлених обмежень (обтяжень) щодо використання земельних ділянок (охоронних зон) відповідно до містобудівної документації на місцевому рівні, керуючись статтями 1</w:t>
      </w:r>
      <w:r>
        <w:rPr>
          <w:color w:val="00000A"/>
          <w:sz w:val="28"/>
          <w:szCs w:val="28"/>
          <w:lang w:val="uk-UA" w:bidi="ar-SA" w:eastAsia="zh-CN"/>
        </w:rPr>
        <w:t>4</w:t>
      </w:r>
      <w:r>
        <w:rPr>
          <w:sz w:val="28"/>
          <w:szCs w:val="28"/>
          <w:lang w:val="uk-UA" w:bidi="ar-SA" w:eastAsia="zh-CN"/>
        </w:rPr>
        <w:t xml:space="preserve">, 142-144 Конституції України, статтями 12, 111, 122, 134, 136, 186 Земельного кодексу України, статтями 25, 55 Закону України “Про землеустрій”, статтею 26 Закону України “Про місцеве самоврядування в Україні”, пунктами 101-106ˡ постанови Кабінету Міністрів України від 17.10.2012 № 1051 “Про затвердження Порядку ведення Державного земельного кадастру”, міська рада </w:t>
      </w:r>
    </w:p>
    <w:p>
      <w:pPr>
        <w:jc w:val="both"/>
        <w:rPr>
          <w:rFonts w:ascii="Times New Roman" w:hAnsi="Times New Roman"/>
          <w:sz w:val="28"/>
          <w:szCs w:val="28"/>
          <w:lang w:val="uk-UA" w:bidi="ar-SA" w:eastAsia="zh-CN"/>
        </w:rPr>
      </w:pPr>
    </w:p>
    <w:p>
      <w:pPr>
        <w:jc w:val="both"/>
        <w:rPr>
          <w:lang w:val="uk-UA" w:bidi="ar-SA" w:eastAsia="zh-CN"/>
        </w:rPr>
      </w:pPr>
      <w:r>
        <w:rPr>
          <w:sz w:val="28"/>
          <w:szCs w:val="28"/>
          <w:lang w:val="uk-UA" w:bidi="ar-SA" w:eastAsia="zh-CN"/>
        </w:rPr>
        <w:t xml:space="preserve">ВИРІШИЛА: </w:t>
      </w:r>
    </w:p>
    <w:p>
      <w:pPr>
        <w:jc w:val="both"/>
        <w:rPr>
          <w:rFonts w:ascii="Times New Roman" w:hAnsi="Times New Roman"/>
          <w:sz w:val="28"/>
          <w:szCs w:val="28"/>
          <w:lang w:val="uk-UA" w:bidi="ar-SA" w:eastAsia="zh-CN"/>
        </w:rPr>
      </w:pPr>
    </w:p>
    <w:p>
      <w:pPr>
        <w:widowControl w:val="1"/>
        <w:numPr>
          <w:ilvl w:val="0"/>
          <w:numId w:val="2"/>
        </w:numPr>
        <w:tabs>
          <w:tab w:val="clear" w:pos="708" w:leader="none"/>
          <w:tab w:val="left" w:pos="1077" w:leader="none"/>
        </w:tabs>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Надати виконавчому комітету Луцької міської ради дозвіл на розроблення технічн</w:t>
      </w:r>
      <w:r>
        <w:rPr>
          <w:smallCaps w:val="0"/>
          <w:sz w:val="28"/>
          <w:szCs w:val="22"/>
          <w:cs w:val="0"/>
          <w:spacing w:val="0"/>
          <w:w w:val="100"/>
          <w:position w:val="0"/>
          <w:snapToGrid w:val="1"/>
          <w:lang w:val="uk-UA" w:bidi="ar-SA" w:eastAsia="zh-CN"/>
        </w:rPr>
        <w:t>ої</w:t>
      </w:r>
      <w:r>
        <w:rPr>
          <w:sz w:val="28"/>
          <w:szCs w:val="28"/>
          <w:lang w:val="uk-UA" w:bidi="ar-SA" w:eastAsia="zh-CN"/>
        </w:rPr>
        <w:t xml:space="preserve"> документаці</w:t>
      </w:r>
      <w:r>
        <w:rPr>
          <w:smallCaps w:val="0"/>
          <w:sz w:val="28"/>
          <w:szCs w:val="22"/>
          <w:cs w:val="0"/>
          <w:spacing w:val="0"/>
          <w:w w:val="100"/>
          <w:position w:val="0"/>
          <w:snapToGrid w:val="1"/>
          <w:lang w:val="uk-UA" w:bidi="ar-SA" w:eastAsia="zh-CN"/>
        </w:rPr>
        <w:t>ї</w:t>
      </w:r>
      <w:r>
        <w:rPr>
          <w:sz w:val="28"/>
          <w:szCs w:val="28"/>
          <w:lang w:val="uk-UA" w:bidi="ar-SA" w:eastAsia="zh-CN"/>
        </w:rPr>
        <w:t xml:space="preserve"> із землеустрою щодо встановлення (відновлення) меж земельних ділянок в натурі (на місцевості)</w:t>
      </w:r>
      <w:r>
        <w:rPr>
          <w:b w:val="0"/>
          <w:bCs w:val="0"/>
          <w:sz w:val="28"/>
          <w:szCs w:val="28"/>
          <w:spacing w:val="-4"/>
          <w:lang w:val="uk-UA" w:bidi="ar-SA" w:eastAsia="zh-CN"/>
        </w:rPr>
        <w:t>, що виставлятимуться на земельні торги, та проведення їх експертних грошових оцінок, згідно з додатк</w:t>
      </w:r>
      <w:r>
        <w:rPr>
          <w:b w:val="0"/>
          <w:bCs w:val="0"/>
          <w:color w:val="00000A"/>
          <w:sz w:val="28"/>
          <w:szCs w:val="28"/>
          <w:spacing w:val="-4"/>
          <w:lang w:val="uk-UA" w:bidi="ar-SA" w:eastAsia="zh-CN"/>
        </w:rPr>
        <w:t>о</w:t>
      </w:r>
      <w:r>
        <w:rPr>
          <w:b w:val="0"/>
          <w:bCs w:val="0"/>
          <w:sz w:val="28"/>
          <w:szCs w:val="28"/>
          <w:spacing w:val="-4"/>
          <w:lang w:val="uk-UA" w:bidi="ar-SA" w:eastAsia="zh-CN"/>
        </w:rPr>
        <w:t>м</w:t>
      </w:r>
      <w:r>
        <w:rPr>
          <w:sz w:val="28"/>
          <w:szCs w:val="28"/>
          <w:lang w:val="uk-UA" w:bidi="ar-SA" w:eastAsia="zh-CN"/>
        </w:rPr>
        <w:t>.</w:t>
      </w:r>
    </w:p>
    <w:p>
      <w:pPr>
        <w:widowControl w:val="1"/>
        <w:numPr>
          <w:ilvl w:val="0"/>
          <w:numId w:val="2"/>
        </w:numPr>
        <w:tabs>
          <w:tab w:val="clear" w:pos="708" w:leader="none"/>
          <w:tab w:val="left" w:pos="1077" w:leader="none"/>
        </w:tabs>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Департаменту містобудування, земельних ресурсів та реклами Луцької міської ради:</w:t>
      </w:r>
    </w:p>
    <w:p>
      <w:pPr>
        <w:widowControl w:val="1"/>
        <w:numPr>
          <w:ilvl w:val="1"/>
          <w:numId w:val="2"/>
        </w:numPr>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 xml:space="preserve"> Забезпечити укладення між виконавчим комітетом Луцької міської ради та суб’єктами господарювання, які є виконавцями робіт із землеустрою згідно Закону “Про землеустрій”, що мають відповідні сертифікати інженерів-землевпорядників, договорів на надання послуг із землеустрою для розроблення технічн</w:t>
      </w:r>
      <w:r>
        <w:rPr>
          <w:smallCaps w:val="0"/>
          <w:sz w:val="28"/>
          <w:szCs w:val="22"/>
          <w:cs w:val="0"/>
          <w:spacing w:val="0"/>
          <w:w w:val="100"/>
          <w:position w:val="0"/>
          <w:snapToGrid w:val="1"/>
          <w:lang w:val="uk-UA" w:bidi="ar-SA" w:eastAsia="zh-CN"/>
        </w:rPr>
        <w:t>ої</w:t>
      </w:r>
      <w:r>
        <w:rPr>
          <w:sz w:val="28"/>
          <w:szCs w:val="28"/>
          <w:lang w:val="uk-UA" w:bidi="ar-SA" w:eastAsia="zh-CN"/>
        </w:rPr>
        <w:t xml:space="preserve"> документаці</w:t>
      </w:r>
      <w:r>
        <w:rPr>
          <w:smallCaps w:val="0"/>
          <w:sz w:val="28"/>
          <w:szCs w:val="22"/>
          <w:cs w:val="0"/>
          <w:spacing w:val="0"/>
          <w:w w:val="100"/>
          <w:position w:val="0"/>
          <w:snapToGrid w:val="1"/>
          <w:lang w:val="uk-UA" w:bidi="ar-SA" w:eastAsia="zh-CN"/>
        </w:rPr>
        <w:t>ї</w:t>
      </w:r>
      <w:r>
        <w:rPr>
          <w:sz w:val="28"/>
          <w:szCs w:val="28"/>
          <w:lang w:val="uk-UA" w:bidi="ar-SA" w:eastAsia="zh-CN"/>
        </w:rPr>
        <w:t xml:space="preserve"> із землеустрою щодо встановлення (відновлення) меж земельних ділянок в натурі (на місцевості) комунальної власності Луцької міської територіальної громади Волинської області, зазначених в додатк</w:t>
      </w:r>
      <w:r>
        <w:rPr>
          <w:color w:val="00000A"/>
          <w:sz w:val="28"/>
          <w:szCs w:val="28"/>
          <w:lang w:val="uk-UA" w:bidi="ar-SA" w:eastAsia="zh-CN"/>
        </w:rPr>
        <w:t xml:space="preserve">у до </w:t>
      </w:r>
      <w:r>
        <w:rPr>
          <w:sz w:val="28"/>
          <w:szCs w:val="28"/>
          <w:lang w:val="uk-UA" w:bidi="ar-SA" w:eastAsia="zh-CN"/>
        </w:rPr>
        <w:t>цього рішення.</w:t>
      </w:r>
    </w:p>
    <w:p>
      <w:pPr>
        <w:widowControl w:val="1"/>
        <w:numPr>
          <w:ilvl w:val="1"/>
          <w:numId w:val="2"/>
        </w:numPr>
        <w:tabs>
          <w:tab w:val="clear" w:pos="708" w:leader="none"/>
          <w:tab w:val="left" w:pos="1077" w:leader="none"/>
        </w:tabs>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 xml:space="preserve"> Забезпечити укладення між виконавчим комітетом Луцької міської ради та суб’єктами оціночної діяльності у сфері оцінки земель, які відповідно до Закону України “Про оцінку майна”, майнових прав і професійну оціночну діяльність в Україні” отримали сертифікати суб’єктів оціночної діяльності, договорів на проведення експертних грошових оцінок земельних ділянок, зазначених в додатк</w:t>
      </w:r>
      <w:r>
        <w:rPr>
          <w:color w:val="00000A"/>
          <w:sz w:val="28"/>
          <w:szCs w:val="28"/>
          <w:lang w:val="uk-UA" w:bidi="ar-SA" w:eastAsia="zh-CN"/>
        </w:rPr>
        <w:t xml:space="preserve">у до </w:t>
      </w:r>
      <w:r>
        <w:rPr>
          <w:sz w:val="28"/>
          <w:szCs w:val="28"/>
          <w:lang w:val="uk-UA" w:bidi="ar-SA" w:eastAsia="zh-CN"/>
        </w:rPr>
        <w:t>цього рішення.</w:t>
      </w:r>
    </w:p>
    <w:p>
      <w:pPr>
        <w:widowControl w:val="1"/>
        <w:numPr>
          <w:ilvl w:val="1"/>
          <w:numId w:val="2"/>
        </w:numPr>
        <w:tabs>
          <w:tab w:val="clear" w:pos="708" w:leader="none"/>
          <w:tab w:val="left" w:pos="1077" w:leader="none"/>
        </w:tabs>
        <w:suppressAutoHyphens w:val="1"/>
        <w:spacing w:before="0" w:after="0" w:beforeAutospacing="0" w:afterAutospacing="0"/>
        <w:ind w:firstLine="567" w:left="0" w:right="0"/>
        <w:bidi w:val="0"/>
        <w:jc w:val="both"/>
        <w:rPr>
          <w:lang w:val="uk-UA" w:bidi="ar-SA" w:eastAsia="zh-CN"/>
        </w:rPr>
      </w:pPr>
      <w:r>
        <w:rPr>
          <w:b w:val="0"/>
          <w:bCs w:val="0"/>
          <w:sz w:val="28"/>
          <w:szCs w:val="28"/>
          <w:spacing w:val="-4"/>
          <w:lang w:val="uk-UA" w:bidi="ar-SA" w:eastAsia="zh-CN"/>
        </w:rPr>
        <w:t xml:space="preserve"> Після розроблення технічн</w:t>
      </w:r>
      <w:r>
        <w:rPr>
          <w:b w:val="0"/>
          <w:bCs w:val="0"/>
          <w:smallCaps w:val="0"/>
          <w:sz w:val="28"/>
          <w:szCs w:val="22"/>
          <w:cs w:val="0"/>
          <w:spacing w:val="0"/>
          <w:w w:val="100"/>
          <w:position w:val="0"/>
          <w:snapToGrid w:val="1"/>
          <w:lang w:val="uk-UA" w:bidi="ar-SA" w:eastAsia="zh-CN"/>
        </w:rPr>
        <w:t>ої</w:t>
      </w:r>
      <w:r>
        <w:rPr>
          <w:b w:val="0"/>
          <w:bCs w:val="0"/>
          <w:sz w:val="28"/>
          <w:szCs w:val="28"/>
          <w:spacing w:val="-4"/>
          <w:lang w:val="uk-UA" w:bidi="ar-SA" w:eastAsia="zh-CN"/>
        </w:rPr>
        <w:t xml:space="preserve"> документаці</w:t>
      </w:r>
      <w:r>
        <w:rPr>
          <w:b w:val="0"/>
          <w:bCs w:val="0"/>
          <w:smallCaps w:val="0"/>
          <w:sz w:val="28"/>
          <w:szCs w:val="22"/>
          <w:cs w:val="0"/>
          <w:spacing w:val="0"/>
          <w:w w:val="100"/>
          <w:position w:val="0"/>
          <w:snapToGrid w:val="1"/>
          <w:lang w:val="uk-UA" w:bidi="ar-SA" w:eastAsia="zh-CN"/>
        </w:rPr>
        <w:t>ї</w:t>
      </w:r>
      <w:r>
        <w:rPr>
          <w:b w:val="0"/>
          <w:bCs w:val="0"/>
          <w:sz w:val="28"/>
          <w:szCs w:val="28"/>
          <w:spacing w:val="-4"/>
          <w:lang w:val="uk-UA" w:bidi="ar-SA" w:eastAsia="zh-CN"/>
        </w:rPr>
        <w:t xml:space="preserve"> із землеустрою щодо встановлення (відновлення) меж земельних ділянок в натурі (на місцевості), зазначених в додатк</w:t>
      </w:r>
      <w:r>
        <w:rPr>
          <w:b w:val="0"/>
          <w:bCs w:val="0"/>
          <w:color w:val="00000A"/>
          <w:sz w:val="28"/>
          <w:szCs w:val="28"/>
          <w:spacing w:val="-4"/>
          <w:lang w:val="uk-UA" w:bidi="ar-SA" w:eastAsia="zh-CN"/>
        </w:rPr>
        <w:t xml:space="preserve">у до </w:t>
      </w:r>
      <w:r>
        <w:rPr>
          <w:b w:val="0"/>
          <w:bCs w:val="0"/>
          <w:sz w:val="28"/>
          <w:szCs w:val="28"/>
          <w:spacing w:val="-4"/>
          <w:lang w:val="uk-UA" w:bidi="ar-SA" w:eastAsia="zh-CN"/>
        </w:rPr>
        <w:t>цього рішення, — подати розроблен</w:t>
      </w:r>
      <w:r>
        <w:rPr>
          <w:b w:val="0"/>
          <w:bCs w:val="0"/>
          <w:smallCaps w:val="0"/>
          <w:sz w:val="28"/>
          <w:szCs w:val="22"/>
          <w:cs w:val="0"/>
          <w:spacing w:val="0"/>
          <w:w w:val="100"/>
          <w:position w:val="0"/>
          <w:snapToGrid w:val="1"/>
          <w:lang w:val="uk-UA" w:bidi="ar-SA" w:eastAsia="zh-CN"/>
        </w:rPr>
        <w:t>у</w:t>
      </w:r>
      <w:r>
        <w:rPr>
          <w:b w:val="0"/>
          <w:bCs w:val="0"/>
          <w:sz w:val="28"/>
          <w:szCs w:val="28"/>
          <w:spacing w:val="-4"/>
          <w:lang w:val="uk-UA" w:bidi="ar-SA" w:eastAsia="zh-CN"/>
        </w:rPr>
        <w:t xml:space="preserve"> технічн</w:t>
      </w:r>
      <w:r>
        <w:rPr>
          <w:b w:val="0"/>
          <w:bCs w:val="0"/>
          <w:smallCaps w:val="0"/>
          <w:sz w:val="28"/>
          <w:szCs w:val="22"/>
          <w:cs w:val="0"/>
          <w:spacing w:val="0"/>
          <w:w w:val="100"/>
          <w:position w:val="0"/>
          <w:snapToGrid w:val="1"/>
          <w:lang w:val="uk-UA" w:bidi="ar-SA" w:eastAsia="zh-CN"/>
        </w:rPr>
        <w:t>у</w:t>
      </w:r>
      <w:r>
        <w:rPr>
          <w:b w:val="0"/>
          <w:bCs w:val="0"/>
          <w:sz w:val="28"/>
          <w:szCs w:val="28"/>
          <w:spacing w:val="-4"/>
          <w:lang w:val="uk-UA" w:bidi="ar-SA" w:eastAsia="zh-CN"/>
        </w:rPr>
        <w:t xml:space="preserve"> документаці</w:t>
      </w:r>
      <w:r>
        <w:rPr>
          <w:b w:val="0"/>
          <w:bCs w:val="0"/>
          <w:smallCaps w:val="0"/>
          <w:sz w:val="28"/>
          <w:szCs w:val="22"/>
          <w:cs w:val="0"/>
          <w:spacing w:val="0"/>
          <w:w w:val="100"/>
          <w:position w:val="0"/>
          <w:snapToGrid w:val="1"/>
          <w:lang w:val="uk-UA" w:bidi="ar-SA" w:eastAsia="zh-CN"/>
        </w:rPr>
        <w:t>ю</w:t>
      </w:r>
      <w:r>
        <w:rPr>
          <w:b w:val="0"/>
          <w:bCs w:val="0"/>
          <w:sz w:val="28"/>
          <w:szCs w:val="28"/>
          <w:spacing w:val="-4"/>
          <w:lang w:val="uk-UA" w:bidi="ar-SA" w:eastAsia="zh-CN"/>
        </w:rPr>
        <w:t xml:space="preserve"> на затвердження Луцької міської ради та забезпечити внесення уточнених відомостей щодо обмежень (обтяжень) земельних ділянок в Державний земельний кадастр України.</w:t>
      </w:r>
    </w:p>
    <w:p>
      <w:pPr>
        <w:widowControl w:val="1"/>
        <w:numPr>
          <w:ilvl w:val="0"/>
          <w:numId w:val="2"/>
        </w:numPr>
        <w:tabs>
          <w:tab w:val="clear" w:pos="708" w:leader="none"/>
          <w:tab w:val="left" w:pos="1077" w:leader="none"/>
        </w:tabs>
        <w:suppressAutoHyphens w:val="1"/>
        <w:spacing w:before="0" w:after="0" w:beforeAutospacing="0" w:afterAutospacing="0"/>
        <w:ind w:firstLine="567" w:left="0" w:right="0"/>
        <w:bidi w:val="0"/>
        <w:jc w:val="both"/>
        <w:rPr>
          <w:lang w:val="uk-UA" w:bidi="ar-SA" w:eastAsia="zh-CN"/>
        </w:rPr>
      </w:pPr>
      <w:r>
        <w:rPr>
          <w:sz w:val="28"/>
          <w:szCs w:val="28"/>
          <w:lang w:val="uk-UA" w:bidi="ar-SA"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jc w:val="both"/>
        <w:rPr>
          <w:rFonts w:ascii="Times New Roman" w:hAnsi="Times New Roman"/>
          <w:sz w:val="28"/>
          <w:szCs w:val="28"/>
          <w:lang w:val="uk-UA" w:bidi="ar-SA" w:eastAsia="zh-CN"/>
        </w:rPr>
      </w:pPr>
    </w:p>
    <w:p>
      <w:pPr>
        <w:jc w:val="both"/>
        <w:rPr>
          <w:lang w:val="uk-UA" w:bidi="ar-SA" w:eastAsia="zh-CN"/>
        </w:rPr>
      </w:pPr>
    </w:p>
    <w:p>
      <w:pPr>
        <w:tabs>
          <w:tab w:val="clear" w:pos="708" w:leader="none"/>
          <w:tab w:val="left" w:pos="7364" w:leader="none"/>
        </w:tabs>
        <w:jc w:val="both"/>
        <w:rPr>
          <w:lang w:val="uk-UA" w:bidi="ar-SA" w:eastAsia="zh-CN"/>
        </w:rPr>
      </w:pPr>
      <w:r>
        <w:rPr>
          <w:lang w:val="uk-UA" w:bidi="ar-SA" w:eastAsia="zh-CN"/>
        </w:rPr>
        <w:t>Міський голова</w:t>
        <w:tab/>
        <w:t>Ігор ПОЛІЩУК</w:t>
      </w:r>
    </w:p>
    <w:p>
      <w:pPr>
        <w:jc w:val="both"/>
        <w:rPr>
          <w:sz w:val="24"/>
          <w:szCs w:val="24"/>
          <w:lang w:val="uk-UA" w:bidi="ar-SA" w:eastAsia="zh-CN"/>
        </w:rPr>
      </w:pPr>
    </w:p>
    <w:p>
      <w:pPr>
        <w:jc w:val="both"/>
        <w:rPr>
          <w:sz w:val="24"/>
          <w:szCs w:val="24"/>
          <w:lang w:val="uk-UA" w:bidi="ar-SA" w:eastAsia="zh-CN"/>
        </w:rPr>
      </w:pPr>
    </w:p>
    <w:p>
      <w:pPr>
        <w:jc w:val="both"/>
        <w:rPr>
          <w:lang w:val="uk-UA" w:bidi="ar-SA" w:eastAsia="zh-CN"/>
        </w:rPr>
      </w:pPr>
      <w:r>
        <w:rPr>
          <w:sz w:val="24"/>
          <w:szCs w:val="24"/>
          <w:lang w:val="uk-UA" w:bidi="ar-SA" w:eastAsia="zh-CN"/>
        </w:rPr>
        <w:t xml:space="preserve">Туз 777 863 </w:t>
      </w:r>
    </w:p>
    <w:sectPr>
      <w:type w:val="nextPage"/>
      <w:pgSz w:w="11906" w:h="16838" w:code="0"/>
      <w:pgMar w:left="1984" w:right="567" w:top="1134" w:bottom="1701" w:header="0" w:footer="0" w:gutter="0"/>
      <w:pgNumType w:chapSep="period"/>
    </w:sectPr>
  </w:body>
</w:document>
</file>

<file path=word/numbering.xml><?xml version="1.0" encoding="utf-8"?>
<w:numbering xmlns:w="http://schemas.openxmlformats.org/wordprocessingml/2006/main">
  <w:abstractNum w:abstractNumId="0">
    <w:nsid w:val="6686C2AF"/>
    <w:multiLevelType w:val="multilevel"/>
    <w:lvl w:ilvl="0">
      <w:start w:val="1"/>
      <w:numFmt w:val="none"/>
      <w:suff w:val="nothing"/>
      <w:lvlText w:val=""/>
      <w:lvlJc w:val="left"/>
      <w:pPr>
        <w:ind w:hanging="432" w:left="432"/>
        <w:tabs>
          <w:tab w:val="num" w:pos="0" w:leader="none"/>
        </w:tabs>
      </w:pPr>
      <w:rPr/>
    </w:lvl>
    <w:lvl w:ilvl="1">
      <w:start w:val="1"/>
      <w:numFmt w:val="none"/>
      <w:suff w:val="nothing"/>
      <w:lvlText w:val=""/>
      <w:lvlJc w:val="left"/>
      <w:pPr>
        <w:ind w:hanging="576" w:left="576"/>
        <w:tabs>
          <w:tab w:val="num" w:pos="0" w:leader="none"/>
        </w:tabs>
      </w:pPr>
      <w:rPr/>
    </w:lvl>
    <w:lvl w:ilvl="2">
      <w:start w:val="1"/>
      <w:numFmt w:val="none"/>
      <w:suff w:val="nothing"/>
      <w:lvlText w:val=""/>
      <w:lvlJc w:val="left"/>
      <w:pPr>
        <w:ind w:firstLine="0" w:left="0"/>
        <w:tabs>
          <w:tab w:val="num" w:pos="0" w:leader="none"/>
        </w:tabs>
      </w:pPr>
      <w:rPr/>
    </w:lvl>
    <w:lvl w:ilvl="3">
      <w:start w:val="1"/>
      <w:numFmt w:val="none"/>
      <w:suff w:val="nothing"/>
      <w:lvlText w:val=""/>
      <w:lvlJc w:val="left"/>
      <w:pPr>
        <w:ind w:firstLine="0" w:left="0"/>
        <w:tabs>
          <w:tab w:val="num" w:pos="0" w:leader="none"/>
        </w:tabs>
      </w:pPr>
      <w:rPr/>
    </w:lvl>
    <w:lvl w:ilvl="4">
      <w:start w:val="1"/>
      <w:numFmt w:val="none"/>
      <w:suff w:val="nothing"/>
      <w:lvlText w:val=""/>
      <w:lvlJc w:val="left"/>
      <w:pPr>
        <w:ind w:firstLine="0" w:left="0"/>
        <w:tabs>
          <w:tab w:val="num" w:pos="0" w:leader="none"/>
        </w:tabs>
      </w:pPr>
      <w:rPr/>
    </w:lvl>
    <w:lvl w:ilvl="5">
      <w:start w:val="1"/>
      <w:numFmt w:val="none"/>
      <w:suff w:val="nothing"/>
      <w:lvlText w:val=""/>
      <w:lvlJc w:val="left"/>
      <w:pPr>
        <w:ind w:firstLine="0" w:left="0"/>
        <w:tabs>
          <w:tab w:val="num" w:pos="0" w:leader="none"/>
        </w:tabs>
      </w:pPr>
      <w:rPr/>
    </w:lvl>
    <w:lvl w:ilvl="6">
      <w:start w:val="1"/>
      <w:numFmt w:val="none"/>
      <w:suff w:val="nothing"/>
      <w:lvlText w:val=""/>
      <w:lvlJc w:val="left"/>
      <w:pPr>
        <w:ind w:firstLine="0" w:left="0"/>
        <w:tabs>
          <w:tab w:val="num" w:pos="0" w:leader="none"/>
        </w:tabs>
      </w:pPr>
      <w:rPr/>
    </w:lvl>
    <w:lvl w:ilvl="7">
      <w:start w:val="1"/>
      <w:numFmt w:val="none"/>
      <w:suff w:val="nothing"/>
      <w:lvlText w:val=""/>
      <w:lvlJc w:val="left"/>
      <w:pPr>
        <w:ind w:firstLine="0" w:left="0"/>
        <w:tabs>
          <w:tab w:val="num" w:pos="0" w:leader="none"/>
        </w:tabs>
      </w:pPr>
      <w:rPr/>
    </w:lvl>
    <w:lvl w:ilvl="8">
      <w:start w:val="1"/>
      <w:numFmt w:val="none"/>
      <w:suff w:val="nothing"/>
      <w:lvlText w:val=""/>
      <w:lvlJc w:val="left"/>
      <w:pPr>
        <w:ind w:firstLine="0" w:left="0"/>
        <w:tabs>
          <w:tab w:val="num" w:pos="0" w:leader="none"/>
        </w:tabs>
      </w:pPr>
      <w:rPr/>
    </w:lvl>
  </w:abstractNum>
  <w:abstractNum w:abstractNumId="1">
    <w:nsid w:val="15E8EC10"/>
    <w:multiLevelType w:val="multilevel"/>
    <w:lvl w:ilvl="0">
      <w:start w:val="1"/>
      <w:numFmt w:val="decimal"/>
      <w:suff w:val="tab"/>
      <w:lvlText w:val=" %1."/>
      <w:lvlJc w:val="left"/>
      <w:pPr>
        <w:ind w:hanging="360" w:left="720"/>
        <w:tabs>
          <w:tab w:val="num" w:pos="720" w:leader="none"/>
        </w:tabs>
      </w:pPr>
      <w:rPr/>
    </w:lvl>
    <w:lvl w:ilvl="1">
      <w:start w:val="1"/>
      <w:numFmt w:val="decimal"/>
      <w:suff w:val="tab"/>
      <w:lvlText w:val=" %1.%2."/>
      <w:lvlJc w:val="left"/>
      <w:pPr>
        <w:ind w:hanging="360" w:left="1080"/>
        <w:tabs>
          <w:tab w:val="num" w:pos="1080" w:leader="none"/>
        </w:tabs>
      </w:pPr>
      <w:rPr/>
    </w:lvl>
    <w:lvl w:ilvl="2">
      <w:start w:val="1"/>
      <w:numFmt w:val="lowerLetter"/>
      <w:suff w:val="tab"/>
      <w:lvlText w:val=" %3)"/>
      <w:lvlJc w:val="left"/>
      <w:pPr>
        <w:ind w:hanging="360" w:left="1440"/>
        <w:tabs>
          <w:tab w:val="num" w:pos="1440" w:leader="none"/>
        </w:tabs>
      </w:pPr>
      <w:rPr/>
    </w:lvl>
    <w:lvl w:ilvl="3">
      <w:start w:val="1"/>
      <w:numFmt w:val="bullet"/>
      <w:suff w:val="tab"/>
      <w:lvlText w:val=""/>
      <w:lvlJc w:val="left"/>
      <w:pPr>
        <w:ind w:hanging="360" w:left="1800"/>
        <w:tabs>
          <w:tab w:val="num" w:pos="1800" w:leader="none"/>
        </w:tabs>
      </w:pPr>
      <w:rPr>
        <w:rFonts w:ascii="Symbol" w:hAnsi="Symbol"/>
      </w:rPr>
    </w:lvl>
    <w:lvl w:ilvl="4">
      <w:start w:val="1"/>
      <w:numFmt w:val="bullet"/>
      <w:suff w:val="tab"/>
      <w:lvlText w:val=""/>
      <w:lvlJc w:val="left"/>
      <w:pPr>
        <w:ind w:hanging="360" w:left="2160"/>
        <w:tabs>
          <w:tab w:val="num" w:pos="2160" w:leader="none"/>
        </w:tabs>
      </w:pPr>
      <w:rPr>
        <w:rFonts w:ascii="Symbol" w:hAnsi="Symbol"/>
      </w:rPr>
    </w:lvl>
    <w:lvl w:ilvl="5">
      <w:start w:val="1"/>
      <w:numFmt w:val="bullet"/>
      <w:suff w:val="tab"/>
      <w:lvlText w:val=""/>
      <w:lvlJc w:val="left"/>
      <w:pPr>
        <w:ind w:hanging="360" w:left="2520"/>
        <w:tabs>
          <w:tab w:val="num" w:pos="2520" w:leader="none"/>
        </w:tabs>
      </w:pPr>
      <w:rPr>
        <w:rFonts w:ascii="Symbol" w:hAnsi="Symbol"/>
      </w:rPr>
    </w:lvl>
    <w:lvl w:ilvl="6">
      <w:start w:val="1"/>
      <w:numFmt w:val="bullet"/>
      <w:suff w:val="tab"/>
      <w:lvlText w:val=""/>
      <w:lvlJc w:val="left"/>
      <w:pPr>
        <w:ind w:hanging="360" w:left="2880"/>
        <w:tabs>
          <w:tab w:val="num" w:pos="2880" w:leader="none"/>
        </w:tabs>
      </w:pPr>
      <w:rPr>
        <w:rFonts w:ascii="Symbol" w:hAnsi="Symbol"/>
      </w:rPr>
    </w:lvl>
    <w:lvl w:ilvl="7">
      <w:start w:val="1"/>
      <w:numFmt w:val="bullet"/>
      <w:suff w:val="tab"/>
      <w:lvlText w:val=""/>
      <w:lvlJc w:val="left"/>
      <w:pPr>
        <w:ind w:hanging="360" w:left="3240"/>
        <w:tabs>
          <w:tab w:val="num" w:pos="3240" w:leader="none"/>
        </w:tabs>
      </w:pPr>
      <w:rPr>
        <w:rFonts w:ascii="Symbol" w:hAnsi="Symbol"/>
      </w:rPr>
    </w:lvl>
    <w:lvl w:ilvl="8">
      <w:start w:val="1"/>
      <w:numFmt w:val="bullet"/>
      <w:suff w:val="tab"/>
      <w:lvlText w:val=""/>
      <w:lvlJc w:val="left"/>
      <w:pPr>
        <w:ind w:hanging="360" w:left="3600"/>
        <w:tabs>
          <w:tab w:val="num" w:pos="3600" w:leader="none"/>
        </w:tabs>
      </w:pPr>
      <w:rPr>
        <w:rFonts w:ascii="Symbol" w:hAnsi="Symbol"/>
      </w:rPr>
    </w:lvl>
  </w:abstractNum>
  <w:abstractNum w:abstractNumId="2">
    <w:nsid w:val="00212D0E"/>
    <w:multiLevelType w:val="multilevel"/>
    <w:lvl w:ilvl="0">
      <w:start w:val="1"/>
      <w:numFmt w:val="none"/>
      <w:suff w:val="nothing"/>
      <w:lvlText w:val=""/>
      <w:lvlJc w:val="left"/>
      <w:pPr>
        <w:ind w:firstLine="0" w:left="0"/>
        <w:tabs>
          <w:tab w:val="num" w:pos="0" w:leader="none"/>
        </w:tabs>
      </w:pPr>
      <w:rPr/>
    </w:lvl>
    <w:lvl w:ilvl="1">
      <w:start w:val="1"/>
      <w:numFmt w:val="none"/>
      <w:suff w:val="nothing"/>
      <w:lvlText w:val=""/>
      <w:lvlJc w:val="left"/>
      <w:pPr>
        <w:ind w:firstLine="0" w:left="0"/>
        <w:tabs>
          <w:tab w:val="num" w:pos="0" w:leader="none"/>
        </w:tabs>
      </w:pPr>
      <w:rPr/>
    </w:lvl>
    <w:lvl w:ilvl="2">
      <w:start w:val="1"/>
      <w:numFmt w:val="none"/>
      <w:suff w:val="nothing"/>
      <w:lvlText w:val=""/>
      <w:lvlJc w:val="left"/>
      <w:pPr>
        <w:ind w:firstLine="0" w:left="0"/>
        <w:tabs>
          <w:tab w:val="num" w:pos="0" w:leader="none"/>
        </w:tabs>
      </w:pPr>
      <w:rPr/>
    </w:lvl>
    <w:lvl w:ilvl="3">
      <w:start w:val="1"/>
      <w:numFmt w:val="none"/>
      <w:suff w:val="nothing"/>
      <w:lvlText w:val=""/>
      <w:lvlJc w:val="left"/>
      <w:pPr>
        <w:ind w:firstLine="0" w:left="0"/>
        <w:tabs>
          <w:tab w:val="num" w:pos="0" w:leader="none"/>
        </w:tabs>
      </w:pPr>
      <w:rPr/>
    </w:lvl>
    <w:lvl w:ilvl="4">
      <w:start w:val="1"/>
      <w:numFmt w:val="none"/>
      <w:suff w:val="nothing"/>
      <w:lvlText w:val=""/>
      <w:lvlJc w:val="left"/>
      <w:pPr>
        <w:ind w:firstLine="0" w:left="0"/>
        <w:tabs>
          <w:tab w:val="num" w:pos="0" w:leader="none"/>
        </w:tabs>
      </w:pPr>
      <w:rPr/>
    </w:lvl>
    <w:lvl w:ilvl="5">
      <w:start w:val="1"/>
      <w:numFmt w:val="none"/>
      <w:suff w:val="nothing"/>
      <w:lvlText w:val=""/>
      <w:lvlJc w:val="left"/>
      <w:pPr>
        <w:ind w:firstLine="0" w:left="0"/>
        <w:tabs>
          <w:tab w:val="num" w:pos="0" w:leader="none"/>
        </w:tabs>
      </w:pPr>
      <w:rPr/>
    </w:lvl>
    <w:lvl w:ilvl="6">
      <w:start w:val="1"/>
      <w:numFmt w:val="none"/>
      <w:suff w:val="nothing"/>
      <w:lvlText w:val=""/>
      <w:lvlJc w:val="left"/>
      <w:pPr>
        <w:ind w:firstLine="0" w:left="0"/>
        <w:tabs>
          <w:tab w:val="num" w:pos="0" w:leader="none"/>
        </w:tabs>
      </w:pPr>
      <w:rPr/>
    </w:lvl>
    <w:lvl w:ilvl="7">
      <w:start w:val="1"/>
      <w:numFmt w:val="none"/>
      <w:suff w:val="nothing"/>
      <w:lvlText w:val=""/>
      <w:lvlJc w:val="left"/>
      <w:pPr>
        <w:ind w:firstLine="0" w:left="0"/>
        <w:tabs>
          <w:tab w:val="num" w:pos="0" w:leader="none"/>
        </w:tabs>
      </w:pPr>
      <w:rPr/>
    </w:lvl>
    <w:lvl w:ilvl="8">
      <w:start w:val="1"/>
      <w:numFmt w:val="none"/>
      <w:suff w:val="nothing"/>
      <w:lvlText w:val=""/>
      <w:lvlJc w:val="left"/>
      <w:pPr>
        <w:ind w:firstLine="0" w:left="0"/>
        <w:tabs>
          <w:tab w:val="num" w:pos="0" w:leader="none"/>
        </w:tabs>
      </w:pPr>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0"/>
  <w:defaultTabStop w:val="708"/>
  <w:autoHyphenation w:val="1"/>
  <w:evenAndOddHeaders w:val="0"/>
  <w:compat>
    <w:compatSetting w:name="compatibilityMode" w:uri="http://schemas.microsoft.com/office/word" w:val="12"/>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Liberation Serif" w:hAnsi="Liberation Serif"/>
        <w:sz w:val="24"/>
        <w:szCs w:val="24"/>
        <w:lang w:val="uk-UA" w:bidi="hi-IN" w:eastAsia="zh-CN"/>
      </w:rPr>
    </w:rPrDefault>
    <w:pPrDefault>
      <w:pPr>
        <w:keepNext w:val="0"/>
        <w:keepLines w:val="0"/>
        <w:pageBreakBefore w:val="0"/>
        <w:widowControl w:val="1"/>
        <w:suppressLineNumbers w:val="0"/>
        <w:shd w:val="clear" w:fill="auto"/>
        <w:suppressAutoHyphens w:val="1"/>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qFormat/>
    <w:pPr>
      <w:widowControl w:val="1"/>
      <w:suppressAutoHyphens w:val="1"/>
      <w:spacing w:before="0" w:after="0" w:beforeAutospacing="0" w:afterAutospacing="0"/>
      <w:bidi w:val="0"/>
      <w:jc w:val="left"/>
    </w:pPr>
    <w:rPr>
      <w:rFonts w:ascii="Times New Roman" w:hAnsi="Times New Roman"/>
      <w:color w:val="00000A"/>
      <w:sz w:val="28"/>
      <w:szCs w:val="24"/>
      <w:lang w:val="ru-RU" w:bidi="ar-SA" w:eastAsia="zh-CN"/>
    </w:rPr>
  </w:style>
  <w:style w:type="paragraph" w:styleId="P1">
    <w:name w:val="Heading 1"/>
    <w:basedOn w:val="P0"/>
    <w:next w:val="P0"/>
    <w:qFormat/>
    <w:pPr>
      <w:keepNext w:val="1"/>
      <w:jc w:val="center"/>
      <w:outlineLvl w:val="0"/>
    </w:pPr>
    <w:rPr>
      <w:b w:val="1"/>
      <w:bCs w:val="1"/>
      <w:sz w:val="32"/>
      <w:lang w:val="uk-UA"/>
    </w:rPr>
  </w:style>
  <w:style w:type="paragraph" w:styleId="P2">
    <w:name w:val="Heading 2"/>
    <w:basedOn w:val="P0"/>
    <w:next w:val="P0"/>
    <w:qFormat/>
    <w:pPr>
      <w:keepNext w:val="1"/>
      <w:jc w:val="center"/>
      <w:outlineLvl w:val="1"/>
    </w:pPr>
    <w:rPr>
      <w:b w:val="1"/>
      <w:bCs w:val="1"/>
      <w:sz w:val="36"/>
      <w:lang w:val="uk-UA"/>
    </w:rPr>
  </w:style>
  <w:style w:type="paragraph" w:styleId="P3">
    <w:name w:val="Заголовок"/>
    <w:basedOn w:val="P0"/>
    <w:next w:val="P4"/>
    <w:qFormat/>
    <w:pPr>
      <w:keepNext w:val="1"/>
      <w:spacing w:before="240" w:after="120" w:beforeAutospacing="0" w:afterAutospacing="0"/>
    </w:pPr>
    <w:rPr>
      <w:rFonts w:ascii="Liberation Sans;Arial" w:hAnsi="Liberation Sans;Arial"/>
      <w:sz w:val="28"/>
      <w:szCs w:val="28"/>
    </w:rPr>
  </w:style>
  <w:style w:type="paragraph" w:styleId="P4">
    <w:name w:val="Body Text"/>
    <w:basedOn w:val="P0"/>
    <w:pPr>
      <w:spacing w:lineRule="auto" w:line="288" w:before="0" w:after="140" w:beforeAutospacing="0" w:afterAutospacing="0"/>
    </w:pPr>
    <w:rPr/>
  </w:style>
  <w:style w:type="paragraph" w:styleId="P5">
    <w:name w:val="List"/>
    <w:basedOn w:val="P4"/>
    <w:pPr/>
    <w:rPr/>
  </w:style>
  <w:style w:type="paragraph" w:styleId="P6">
    <w:name w:val="Caption"/>
    <w:basedOn w:val="P0"/>
    <w:qFormat/>
    <w:pPr>
      <w:suppressLineNumbers w:val="1"/>
      <w:spacing w:before="120" w:after="120" w:beforeAutospacing="0" w:afterAutospacing="0"/>
    </w:pPr>
    <w:rPr>
      <w:i w:val="1"/>
      <w:iCs w:val="1"/>
      <w:sz w:val="24"/>
      <w:szCs w:val="24"/>
    </w:rPr>
  </w:style>
  <w:style w:type="paragraph" w:styleId="P7">
    <w:name w:val="Покажчик"/>
    <w:basedOn w:val="P0"/>
    <w:qFormat/>
    <w:pPr>
      <w:suppressLineNumbers w:val="1"/>
    </w:pPr>
    <w:rPr/>
  </w:style>
  <w:style w:type="paragraph" w:styleId="P8">
    <w:name w:val="Название объекта"/>
    <w:basedOn w:val="P0"/>
    <w:qFormat/>
    <w:pPr>
      <w:suppressLineNumbers w:val="1"/>
      <w:spacing w:before="120" w:after="120" w:beforeAutospacing="0" w:afterAutospacing="0"/>
    </w:pPr>
    <w:rPr>
      <w:rFonts w:ascii="Times New Roman" w:hAnsi="Times New Roman"/>
      <w:i w:val="1"/>
      <w:iCs w:val="1"/>
      <w:sz w:val="28"/>
      <w:szCs w:val="24"/>
    </w:rPr>
  </w:style>
  <w:style w:type="paragraph" w:styleId="P9">
    <w:name w:val="Название объекта1"/>
    <w:basedOn w:val="P0"/>
    <w:qFormat/>
    <w:pPr>
      <w:suppressLineNumbers w:val="1"/>
      <w:spacing w:before="120" w:after="120" w:beforeAutospacing="0" w:afterAutospacing="0"/>
    </w:pPr>
    <w:rPr>
      <w:i w:val="1"/>
      <w:iCs w:val="1"/>
      <w:sz w:val="24"/>
      <w:szCs w:val="24"/>
    </w:rPr>
  </w:style>
  <w:style w:type="paragraph" w:styleId="P10">
    <w:name w:val="Body Text Indent"/>
    <w:basedOn w:val="P0"/>
    <w:pPr>
      <w:ind w:firstLine="545" w:left="0" w:right="0"/>
      <w:jc w:val="both"/>
    </w:pPr>
    <w:rPr>
      <w:lang w:val="uk-UA"/>
    </w:rPr>
  </w:style>
  <w:style w:type="paragraph" w:styleId="P11">
    <w:name w:val="Текст1"/>
    <w:basedOn w:val="P0"/>
    <w:qFormat/>
    <w:pPr>
      <w:suppressAutoHyphens w:val="1"/>
    </w:pPr>
    <w:rPr>
      <w:rFonts w:ascii="Courier New" w:hAnsi="Courier New"/>
      <w:sz w:val="20"/>
      <w:szCs w:val="20"/>
    </w:rPr>
  </w:style>
  <w:style w:type="paragraph" w:styleId="P12">
    <w:name w:val="Текст выноски"/>
    <w:basedOn w:val="P0"/>
    <w:qFormat/>
    <w:pPr/>
    <w:rPr>
      <w:rFonts w:ascii="Tahoma" w:hAnsi="Tahoma"/>
      <w:sz w:val="16"/>
      <w:szCs w:val="16"/>
    </w:rPr>
  </w:style>
  <w:style w:type="paragraph" w:styleId="P13">
    <w:name w:val="Знак Знак Знак Знак Знак Знак"/>
    <w:basedOn w:val="P0"/>
    <w:qFormat/>
    <w:pPr>
      <w:suppressAutoHyphens w:val="0"/>
    </w:pPr>
    <w:rPr>
      <w:rFonts w:ascii="Verdana" w:hAnsi="Verdana"/>
      <w:sz w:val="20"/>
      <w:szCs w:val="20"/>
      <w:lang w:val="en-US"/>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WW8Num1z0"/>
    <w:qFormat/>
    <w:rPr/>
  </w:style>
  <w:style w:type="character" w:styleId="C4">
    <w:name w:val="WW8Num1z1"/>
    <w:qFormat/>
    <w:rPr/>
  </w:style>
  <w:style w:type="character" w:styleId="C5">
    <w:name w:val="WW8Num1z2"/>
    <w:qFormat/>
    <w:rPr/>
  </w:style>
  <w:style w:type="character" w:styleId="C6">
    <w:name w:val="WW8Num1z3"/>
    <w:qFormat/>
    <w:rPr/>
  </w:style>
  <w:style w:type="character" w:styleId="C7">
    <w:name w:val="WW8Num1z4"/>
    <w:qFormat/>
    <w:rPr/>
  </w:style>
  <w:style w:type="character" w:styleId="C8">
    <w:name w:val="WW8Num1z5"/>
    <w:qFormat/>
    <w:rPr/>
  </w:style>
  <w:style w:type="character" w:styleId="C9">
    <w:name w:val="WW8Num1z6"/>
    <w:qFormat/>
    <w:rPr/>
  </w:style>
  <w:style w:type="character" w:styleId="C10">
    <w:name w:val="WW8Num1z7"/>
    <w:qFormat/>
    <w:rPr/>
  </w:style>
  <w:style w:type="character" w:styleId="C11">
    <w:name w:val="WW8Num1z8"/>
    <w:qFormat/>
    <w:rPr/>
  </w:style>
  <w:style w:type="character" w:styleId="C12">
    <w:name w:val="Основной шрифт абзаца"/>
    <w:qFormat/>
    <w:rPr/>
  </w:style>
  <w:style w:type="character" w:styleId="C13">
    <w:name w:val="WW8Num2z0"/>
    <w:qFormat/>
    <w:rPr/>
  </w:style>
  <w:style w:type="character" w:styleId="C14">
    <w:name w:val="WW8Num2z1"/>
    <w:qFormat/>
    <w:rPr/>
  </w:style>
  <w:style w:type="character" w:styleId="C15">
    <w:name w:val="WW8Num2z2"/>
    <w:qFormat/>
    <w:rPr/>
  </w:style>
  <w:style w:type="character" w:styleId="C16">
    <w:name w:val="WW8Num2z3"/>
    <w:qFormat/>
    <w:rPr/>
  </w:style>
  <w:style w:type="character" w:styleId="C17">
    <w:name w:val="WW8Num2z4"/>
    <w:qFormat/>
    <w:rPr/>
  </w:style>
  <w:style w:type="character" w:styleId="C18">
    <w:name w:val="WW8Num2z5"/>
    <w:qFormat/>
    <w:rPr/>
  </w:style>
  <w:style w:type="character" w:styleId="C19">
    <w:name w:val="WW8Num2z6"/>
    <w:qFormat/>
    <w:rPr/>
  </w:style>
  <w:style w:type="character" w:styleId="C20">
    <w:name w:val="WW8Num2z7"/>
    <w:qFormat/>
    <w:rPr/>
  </w:style>
  <w:style w:type="character" w:styleId="C21">
    <w:name w:val="WW8Num2z8"/>
    <w:qFormat/>
    <w:rPr/>
  </w:style>
  <w:style w:type="character" w:styleId="C22">
    <w:name w:val="Основной шрифт абзаца2"/>
    <w:qFormat/>
    <w:rPr/>
  </w:style>
  <w:style w:type="character" w:styleId="C23">
    <w:name w:val="WW8Num3z0"/>
    <w:qFormat/>
    <w:rPr/>
  </w:style>
  <w:style w:type="character" w:styleId="C24">
    <w:name w:val="WW8Num3z1"/>
    <w:qFormat/>
    <w:rPr/>
  </w:style>
  <w:style w:type="character" w:styleId="C25">
    <w:name w:val="WW8Num3z2"/>
    <w:qFormat/>
    <w:rPr/>
  </w:style>
  <w:style w:type="character" w:styleId="C26">
    <w:name w:val="WW8Num3z3"/>
    <w:qFormat/>
    <w:rPr/>
  </w:style>
  <w:style w:type="character" w:styleId="C27">
    <w:name w:val="WW8Num3z4"/>
    <w:qFormat/>
    <w:rPr/>
  </w:style>
  <w:style w:type="character" w:styleId="C28">
    <w:name w:val="WW8Num3z5"/>
    <w:qFormat/>
    <w:rPr/>
  </w:style>
  <w:style w:type="character" w:styleId="C29">
    <w:name w:val="WW8Num3z6"/>
    <w:qFormat/>
    <w:rPr/>
  </w:style>
  <w:style w:type="character" w:styleId="C30">
    <w:name w:val="WW8Num3z7"/>
    <w:qFormat/>
    <w:rPr/>
  </w:style>
  <w:style w:type="character" w:styleId="C31">
    <w:name w:val="WW8Num3z8"/>
    <w:qFormat/>
    <w:rPr/>
  </w:style>
  <w:style w:type="character" w:styleId="C32">
    <w:name w:val="Основной шрифт абзаца1"/>
    <w:qFormat/>
    <w:rPr/>
  </w:style>
  <w:style w:type="character" w:styleId="C33">
    <w:name w:val="Символ нумерації"/>
    <w:qFormat/>
    <w:rPr>
      <w:rFonts w:ascii="Times New Roman" w:hAnsi="Times New Roman"/>
      <w:sz w:val="28"/>
      <w:szCs w:val="28"/>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WW8Num1"/>
  </w:style>
</w:styles>
</file>

<file path=word/_rels/document.xml.rels>&#65279;<?xml version="1.0" encoding="utf-8"?><Relationships xmlns="http://schemas.openxmlformats.org/package/2006/relationships"><Relationship Id="Relimage1" Type="http://schemas.openxmlformats.org/officeDocument/2006/relationships/image" Target="/media/image1.emf"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DevExpress Office File API/21.1.3.0</Application>
  <AppVersion>21.1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dc:creator>
  <dcterms:created xsi:type="dcterms:W3CDTF">2017-10-26T14:34:00Z</dcterms:created>
  <dc:language>uk-UA</dc:language>
  <cp:lastPrinted>2024-11-29T12:18:42Z</cp:lastPrinted>
  <dcterms:modified xsi:type="dcterms:W3CDTF">2025-01-29T10:30:02Z</dcterms:modified>
  <cp:revision>235</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AppVersion">
    <vt:lpwstr>15.0000</vt:lpwstr>
  </property>
</Properties>
</file>