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245" w:leader="none"/>
        </w:tabs>
        <w:jc w:val="center"/>
        <w:rPr>
          <w:sz w:val="16"/>
          <w:szCs w:val="16"/>
        </w:rPr>
      </w:pPr>
      <w:r>
        <w:rPr/>
        <mc:AlternateContent>
          <mc:Choice Requires="wps">
            <w:drawing>
              <wp:anchor behindDoc="0" distT="0" distB="0" distL="635" distR="0" simplePos="0" locked="0" layoutInCell="1" allowOverlap="1" relativeHeight="2">
                <wp:simplePos x="0" y="0"/>
                <wp:positionH relativeFrom="column">
                  <wp:posOffset>635</wp:posOffset>
                </wp:positionH>
                <wp:positionV relativeFrom="paragraph">
                  <wp:posOffset>635</wp:posOffset>
                </wp:positionV>
                <wp:extent cx="636905" cy="636905"/>
                <wp:effectExtent l="635" t="0" r="0" b="0"/>
                <wp:wrapNone/>
                <wp:docPr id="1" name="shapetype_ole_rId2"/>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o:allowincell="f" style="position:absolute;margin-left:0.05pt;margin-top:0.05pt;width:50.1pt;height:50.1pt;mso-wrap-style:none;v-text-anchor:middle">
                <v:fill o:detectmouseclick="t" on="false"/>
                <v:stroke color="#3465a4" joinstyle="round" endcap="flat"/>
                <w10:wrap type="none"/>
              </v:rect>
            </w:pict>
          </mc:Fallback>
        </mc:AlternateContent>
        <mc:AlternateContent>
          <mc:Choice Requires="wps">
            <w:drawing>
              <wp:anchor behindDoc="0" distT="0" distB="0" distL="0" distR="0" simplePos="0" locked="0" layoutInCell="1" allowOverlap="1" relativeHeight="3">
                <wp:simplePos x="0" y="0"/>
                <wp:positionH relativeFrom="column">
                  <wp:posOffset>635</wp:posOffset>
                </wp:positionH>
                <wp:positionV relativeFrom="paragraph">
                  <wp:posOffset>635</wp:posOffset>
                </wp:positionV>
                <wp:extent cx="636905" cy="636905"/>
                <wp:effectExtent l="0" t="0" r="0" b="0"/>
                <wp:wrapNone/>
                <wp:docPr id="2" name="Зображення1"/>
                <a:graphic xmlns:a="http://schemas.openxmlformats.org/drawingml/2006/main">
                  <a:graphicData uri="http://schemas.microsoft.com/office/word/2010/wordprocessingShape">
                    <wps:wsp>
                      <wps:cNvSpPr/>
                      <wps:spPr>
                        <a:xfrm>
                          <a:off x="0" y="0"/>
                          <a:ext cx="636840" cy="636840"/>
                        </a:xfrm>
                        <a:prstGeom prst="rect">
                          <a:avLst/>
                        </a:prstGeom>
                        <a:noFill/>
                        <a:ln w="0">
                          <a:noFill/>
                        </a:ln>
                      </wps:spPr>
                      <wps:style>
                        <a:lnRef idx="0"/>
                        <a:fillRef idx="0"/>
                        <a:effectRef idx="0"/>
                        <a:fontRef idx="minor"/>
                      </wps:style>
                      <wps:bodyPr/>
                    </wps:wsp>
                  </a:graphicData>
                </a:graphic>
              </wp:anchor>
            </w:drawing>
          </mc:Choice>
          <mc:Fallback>
            <w:pict>
              <v:rect id="shape_0" ID="Зображення1" path="m0,0l-2147483645,0l-2147483645,-2147483646l0,-2147483646xe" stroked="f" o:allowincell="f" style="position:absolute;margin-left:0.05pt;margin-top:0.05pt;width:50.1pt;height:50.1pt;mso-wrap-style:none;v-text-anchor:middle">
                <v:fill o:detectmouseclick="t" on="false"/>
                <v:stroke color="#3465a4" joinstyle="round" endcap="flat"/>
                <w10:wrap type="none"/>
              </v:rect>
            </w:pict>
          </mc:Fallback>
        </mc:AlternateContent>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5pt;height:59.5pt;mso-wrap-distance-right:0pt" filled="t" fillcolor="#FFFFFF" o:ole="">
            <v:imagedata r:id="rId3" o:title=""/>
          </v:shape>
          <o:OLEObject Type="Embed" ProgID="PBrush" ShapeID="ole_rId2" DrawAspect="Content" ObjectID="_944145941" r:id="rId2"/>
        </w:object>
      </w:r>
    </w:p>
    <w:p>
      <w:pPr>
        <w:pStyle w:val="Heading1"/>
        <w:numPr>
          <w:ilvl w:val="0"/>
          <w:numId w:val="1"/>
        </w:numPr>
        <w:rPr>
          <w:sz w:val="20"/>
          <w:szCs w:val="20"/>
        </w:rPr>
      </w:pPr>
      <w:r>
        <w:rPr>
          <w:sz w:val="28"/>
          <w:szCs w:val="28"/>
        </w:rPr>
        <w:t>ЛУЦЬКА  МІСЬКА  РАДА</w:t>
      </w:r>
    </w:p>
    <w:p>
      <w:pPr>
        <w:pStyle w:val="Normal"/>
        <w:tabs>
          <w:tab w:val="clear" w:pos="708"/>
          <w:tab w:val="left" w:pos="7260" w:leader="none"/>
        </w:tabs>
        <w:rPr>
          <w:sz w:val="20"/>
          <w:szCs w:val="20"/>
        </w:rPr>
      </w:pPr>
      <w:r>
        <w:rPr>
          <w:sz w:val="20"/>
          <w:szCs w:val="20"/>
        </w:rPr>
        <w:tab/>
      </w:r>
    </w:p>
    <w:p>
      <w:pPr>
        <w:pStyle w:val="Heading2"/>
        <w:numPr>
          <w:ilvl w:val="1"/>
          <w:numId w:val="2"/>
        </w:numPr>
        <w:tabs>
          <w:tab w:val="clear" w:pos="0"/>
          <w:tab w:val="left" w:pos="4218" w:leader="none"/>
          <w:tab w:val="left" w:pos="4674" w:leader="none"/>
        </w:tabs>
        <w:spacing w:before="0" w:after="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 w:val="left" w:pos="5245" w:leader="none"/>
          <w:tab w:val="left" w:pos="5387" w:leader="none"/>
        </w:tabs>
        <w:jc w:val="both"/>
        <w:rPr>
          <w:sz w:val="24"/>
        </w:rPr>
      </w:pPr>
      <w:r>
        <w:rPr>
          <w:sz w:val="24"/>
        </w:rPr>
        <w:t>________________                                        Луцьк                                         №______________</w:t>
      </w:r>
    </w:p>
    <w:p>
      <w:pPr>
        <w:pStyle w:val="Normal"/>
        <w:widowControl w:val="false"/>
        <w:jc w:val="both"/>
        <w:rPr>
          <w:sz w:val="16"/>
          <w:szCs w:val="16"/>
        </w:rPr>
      </w:pPr>
      <w:r>
        <w:rPr>
          <w:sz w:val="16"/>
          <w:szCs w:val="16"/>
        </w:rPr>
        <w:t xml:space="preserve">                                                </w:t>
      </w:r>
    </w:p>
    <w:p>
      <w:pPr>
        <w:pStyle w:val="Normal"/>
        <w:tabs>
          <w:tab w:val="clear" w:pos="708"/>
          <w:tab w:val="left" w:pos="4820" w:leader="none"/>
          <w:tab w:val="left" w:pos="5103" w:leader="none"/>
          <w:tab w:val="left" w:pos="5245" w:leader="none"/>
        </w:tabs>
        <w:ind w:hanging="0" w:right="-868"/>
        <w:jc w:val="both"/>
        <w:rPr>
          <w:sz w:val="28"/>
          <w:szCs w:val="28"/>
        </w:rPr>
      </w:pPr>
      <w:r>
        <w:rPr>
          <w:spacing w:val="-4"/>
          <w:sz w:val="28"/>
          <w:szCs w:val="28"/>
        </w:rPr>
        <w:t>Про   передачу   громадянам</w:t>
      </w:r>
      <w:r>
        <w:rPr>
          <w:spacing w:val="-4"/>
          <w:sz w:val="32"/>
          <w:szCs w:val="32"/>
        </w:rPr>
        <w:t xml:space="preserve">  </w:t>
      </w:r>
      <w:r>
        <w:rPr>
          <w:spacing w:val="-4"/>
          <w:sz w:val="28"/>
          <w:szCs w:val="28"/>
        </w:rPr>
        <w:t>Тюковій  Н.В.,</w:t>
      </w:r>
    </w:p>
    <w:p>
      <w:pPr>
        <w:pStyle w:val="Normal"/>
        <w:tabs>
          <w:tab w:val="clear" w:pos="708"/>
          <w:tab w:val="left" w:pos="4820" w:leader="none"/>
          <w:tab w:val="left" w:pos="5103" w:leader="none"/>
          <w:tab w:val="left" w:pos="5245" w:leader="none"/>
        </w:tabs>
        <w:ind w:hanging="0" w:right="-868"/>
        <w:jc w:val="both"/>
        <w:rPr>
          <w:sz w:val="28"/>
          <w:szCs w:val="28"/>
        </w:rPr>
      </w:pPr>
      <w:r>
        <w:rPr>
          <w:spacing w:val="-4"/>
          <w:sz w:val="28"/>
          <w:szCs w:val="28"/>
        </w:rPr>
        <w:t>Салюку П.В.</w:t>
      </w:r>
      <w:r>
        <w:rPr>
          <w:spacing w:val="-4"/>
          <w:sz w:val="24"/>
          <w:szCs w:val="24"/>
        </w:rPr>
        <w:t xml:space="preserve">  </w:t>
      </w:r>
      <w:r>
        <w:rPr>
          <w:spacing w:val="-4"/>
          <w:sz w:val="28"/>
          <w:szCs w:val="28"/>
        </w:rPr>
        <w:t>безоплатно у спільну частко</w:t>
      </w:r>
      <w:r>
        <w:rPr>
          <w:spacing w:val="-6"/>
          <w:sz w:val="28"/>
          <w:szCs w:val="28"/>
        </w:rPr>
        <w:t>ву</w:t>
      </w:r>
    </w:p>
    <w:p>
      <w:pPr>
        <w:pStyle w:val="Normal"/>
        <w:tabs>
          <w:tab w:val="clear" w:pos="708"/>
          <w:tab w:val="left" w:pos="4820" w:leader="none"/>
          <w:tab w:val="left" w:pos="5103" w:leader="none"/>
          <w:tab w:val="left" w:pos="5245" w:leader="none"/>
        </w:tabs>
        <w:ind w:hanging="0" w:right="-868"/>
        <w:jc w:val="both"/>
        <w:rPr>
          <w:sz w:val="28"/>
          <w:szCs w:val="28"/>
        </w:rPr>
      </w:pPr>
      <w:r>
        <w:rPr>
          <w:spacing w:val="-6"/>
          <w:sz w:val="28"/>
          <w:szCs w:val="28"/>
        </w:rPr>
        <w:t>власність земельної</w:t>
      </w:r>
      <w:r>
        <w:rPr>
          <w:spacing w:val="-6"/>
          <w:sz w:val="20"/>
          <w:szCs w:val="20"/>
        </w:rPr>
        <w:t xml:space="preserve">  </w:t>
      </w:r>
      <w:r>
        <w:rPr>
          <w:spacing w:val="-6"/>
          <w:sz w:val="28"/>
          <w:szCs w:val="28"/>
        </w:rPr>
        <w:t>ділянки для</w:t>
      </w:r>
      <w:r>
        <w:rPr>
          <w:sz w:val="28"/>
          <w:szCs w:val="28"/>
        </w:rPr>
        <w:t xml:space="preserve"> </w:t>
      </w:r>
      <w:r>
        <w:rPr>
          <w:spacing w:val="-6"/>
          <w:sz w:val="28"/>
          <w:szCs w:val="28"/>
        </w:rPr>
        <w:t>будівництва</w:t>
      </w:r>
    </w:p>
    <w:p>
      <w:pPr>
        <w:pStyle w:val="Normal"/>
        <w:tabs>
          <w:tab w:val="clear" w:pos="708"/>
          <w:tab w:val="left" w:pos="4820" w:leader="none"/>
          <w:tab w:val="left" w:pos="5103" w:leader="none"/>
          <w:tab w:val="left" w:pos="5245" w:leader="none"/>
        </w:tabs>
        <w:ind w:hanging="0" w:right="-868"/>
        <w:jc w:val="both"/>
        <w:rPr>
          <w:sz w:val="28"/>
          <w:szCs w:val="28"/>
        </w:rPr>
      </w:pPr>
      <w:r>
        <w:rPr>
          <w:spacing w:val="-6"/>
          <w:sz w:val="28"/>
          <w:szCs w:val="28"/>
        </w:rPr>
        <w:t>і</w:t>
      </w:r>
      <w:r>
        <w:rPr>
          <w:spacing w:val="-6"/>
          <w:sz w:val="22"/>
          <w:szCs w:val="22"/>
        </w:rPr>
        <w:t xml:space="preserve">  </w:t>
      </w:r>
      <w:r>
        <w:rPr>
          <w:spacing w:val="-6"/>
          <w:sz w:val="28"/>
          <w:szCs w:val="28"/>
        </w:rPr>
        <w:t>обслуговування житлового будинку, гос</w:t>
      </w:r>
      <w:r>
        <w:rPr>
          <w:sz w:val="28"/>
          <w:szCs w:val="28"/>
        </w:rPr>
        <w:t>по-</w:t>
      </w:r>
    </w:p>
    <w:p>
      <w:pPr>
        <w:pStyle w:val="Normal"/>
        <w:tabs>
          <w:tab w:val="clear" w:pos="708"/>
          <w:tab w:val="left" w:pos="4820" w:leader="none"/>
          <w:tab w:val="left" w:pos="5103" w:leader="none"/>
          <w:tab w:val="left" w:pos="5245" w:leader="none"/>
        </w:tabs>
        <w:ind w:hanging="0" w:right="-868"/>
        <w:jc w:val="both"/>
        <w:rPr>
          <w:sz w:val="28"/>
          <w:szCs w:val="28"/>
        </w:rPr>
      </w:pPr>
      <w:r>
        <w:rPr>
          <w:sz w:val="28"/>
          <w:szCs w:val="28"/>
        </w:rPr>
        <w:t>дарських  будівель</w:t>
      </w:r>
      <w:r>
        <w:rPr>
          <w:sz w:val="24"/>
          <w:szCs w:val="24"/>
        </w:rPr>
        <w:t xml:space="preserve">   </w:t>
      </w:r>
      <w:r>
        <w:rPr>
          <w:sz w:val="28"/>
          <w:szCs w:val="28"/>
        </w:rPr>
        <w:t xml:space="preserve">і   споруд   </w:t>
      </w:r>
      <w:r>
        <w:rPr>
          <w:spacing w:val="-8"/>
          <w:sz w:val="28"/>
          <w:szCs w:val="28"/>
        </w:rPr>
        <w:t>(присадибна</w:t>
      </w:r>
    </w:p>
    <w:p>
      <w:pPr>
        <w:pStyle w:val="Normal"/>
        <w:tabs>
          <w:tab w:val="clear" w:pos="708"/>
          <w:tab w:val="left" w:pos="4820" w:leader="none"/>
          <w:tab w:val="left" w:pos="5103" w:leader="none"/>
          <w:tab w:val="left" w:pos="5245" w:leader="none"/>
        </w:tabs>
        <w:ind w:hanging="0" w:right="-868"/>
        <w:jc w:val="both"/>
        <w:rPr>
          <w:sz w:val="28"/>
          <w:szCs w:val="28"/>
        </w:rPr>
      </w:pPr>
      <w:r>
        <w:rPr>
          <w:spacing w:val="-8"/>
          <w:sz w:val="28"/>
          <w:szCs w:val="28"/>
        </w:rPr>
        <w:t xml:space="preserve">ділянка) (02.01) на вул. Дубовій, 23 </w:t>
      </w:r>
      <w:r>
        <w:rPr>
          <w:spacing w:val="-4"/>
          <w:sz w:val="28"/>
          <w:szCs w:val="28"/>
        </w:rPr>
        <w:t>у с. Вели-</w:t>
      </w:r>
    </w:p>
    <w:p>
      <w:pPr>
        <w:pStyle w:val="Normal"/>
        <w:tabs>
          <w:tab w:val="clear" w:pos="708"/>
          <w:tab w:val="left" w:pos="4820" w:leader="none"/>
          <w:tab w:val="left" w:pos="5103" w:leader="none"/>
          <w:tab w:val="left" w:pos="5245" w:leader="none"/>
        </w:tabs>
        <w:ind w:hanging="0" w:right="-868"/>
        <w:jc w:val="both"/>
        <w:rPr>
          <w:sz w:val="28"/>
          <w:szCs w:val="28"/>
        </w:rPr>
      </w:pPr>
      <w:r>
        <w:rPr>
          <w:spacing w:val="-4"/>
          <w:sz w:val="28"/>
          <w:szCs w:val="28"/>
        </w:rPr>
        <w:t xml:space="preserve">кий Омеляник Луцького </w:t>
      </w:r>
      <w:bookmarkStart w:id="0" w:name="_GoBack"/>
      <w:bookmarkEnd w:id="0"/>
      <w:r>
        <w:rPr>
          <w:spacing w:val="-4"/>
          <w:sz w:val="28"/>
          <w:szCs w:val="28"/>
        </w:rPr>
        <w:t>району Волинської</w:t>
      </w:r>
      <w:r>
        <w:rPr>
          <w:sz w:val="28"/>
          <w:szCs w:val="28"/>
        </w:rPr>
        <w:t xml:space="preserve"> </w:t>
      </w:r>
      <w:r>
        <w:rPr>
          <w:spacing w:val="6"/>
          <w:sz w:val="28"/>
          <w:szCs w:val="28"/>
        </w:rPr>
        <w:t>області</w:t>
      </w:r>
    </w:p>
    <w:p>
      <w:pPr>
        <w:pStyle w:val="Normal"/>
        <w:tabs>
          <w:tab w:val="clear" w:pos="708"/>
          <w:tab w:val="left" w:pos="2450" w:leader="none"/>
        </w:tabs>
        <w:ind w:hanging="0" w:right="-868"/>
        <w:jc w:val="both"/>
        <w:rPr>
          <w:sz w:val="28"/>
          <w:szCs w:val="28"/>
        </w:rPr>
      </w:pPr>
      <w:r>
        <w:rPr>
          <w:b/>
          <w:sz w:val="28"/>
          <w:szCs w:val="28"/>
        </w:rPr>
        <w:tab/>
      </w:r>
    </w:p>
    <w:p>
      <w:pPr>
        <w:pStyle w:val="Normal"/>
        <w:widowControl/>
        <w:tabs>
          <w:tab w:val="clear" w:pos="708"/>
          <w:tab w:val="left" w:pos="993" w:leader="none"/>
        </w:tabs>
        <w:suppressAutoHyphens w:val="true"/>
        <w:bidi w:val="0"/>
        <w:spacing w:before="0" w:after="0"/>
        <w:ind w:firstLine="567" w:left="0" w:right="0"/>
        <w:jc w:val="both"/>
        <w:rPr>
          <w:sz w:val="28"/>
          <w:szCs w:val="28"/>
        </w:rPr>
      </w:pPr>
      <w:r>
        <w:rPr>
          <w:spacing w:val="-4"/>
          <w:sz w:val="28"/>
          <w:szCs w:val="28"/>
        </w:rPr>
        <w:t xml:space="preserve">Розглянувши заяву громадян Тюкової Наталії Вікторівни, Салюка Павла Вікторовича щодо передачі безоплатно у спільну часткову власність земельної ділянки на вул. Дубовій, 23 у с. Великий Омеляник Луцького району Волинської області для будівництва і обслуговування житлового будинку, господарських  будівель  і  споруд  (присадибна  ділянка),  витяг  з    Державного земельного кадастру про земельну ділянку від 28.11.2024                                       № НВ-2100523862024, технічну документацію із землеустрою щодо встановлення (відновлення) меж земельної ділянки в натурі (на місцевості) для будівництва і обслуговування житлового будинку, господарських будівель і споруд (присадибна ділянка) (02.01) на вул. Дубовій, 23 у с. Великий Омеляник Луцького району Волинської області, керуючись статтями 12, 81, 87, 90, 91, 116, 118, 121, 125, 126, підпунктом 5 пункту 27 Перехідних положень Земельного кодексу України, Законом України «Про землеустрій», Законом України «Про Державний земельний кадастр», Законом України «Про державну реєстрацію речових прав на нерухоме майно та їх обтяжень», постановою Кабінету Міністрів України від 17.10.2012 № 1051 «Про затвердження Порядку ведення Державного земельного кадастру», </w:t>
      </w:r>
      <w:r>
        <w:rPr>
          <w:bCs/>
          <w:color w:val="000000"/>
          <w:spacing w:val="-4"/>
          <w:sz w:val="28"/>
          <w:szCs w:val="28"/>
        </w:rPr>
        <w:t xml:space="preserve">постановою Верховної Ради України від 17.07.2020 № 807- ІХ «Про утворення та ліквідацію районів», </w:t>
      </w:r>
      <w:r>
        <w:rPr>
          <w:bCs/>
          <w:color w:val="000000"/>
          <w:spacing w:val="-4"/>
          <w:sz w:val="28"/>
          <w:szCs w:val="28"/>
          <w:shd w:fill="FFFFFF" w:val="clear"/>
        </w:rPr>
        <w:t xml:space="preserve">розпорядженням Кабінету Міністрів України від 12.06.2020 № 708-р </w:t>
      </w:r>
      <w:r>
        <w:rPr>
          <w:bCs/>
          <w:color w:val="000000"/>
          <w:spacing w:val="-4"/>
          <w:sz w:val="28"/>
          <w:szCs w:val="28"/>
          <w:highlight w:val="white"/>
          <w:shd w:fill="FFFFFF" w:val="clear"/>
        </w:rPr>
        <w:t>«</w:t>
      </w:r>
      <w:r>
        <w:rPr>
          <w:bCs/>
          <w:color w:val="000000"/>
          <w:spacing w:val="-4"/>
          <w:sz w:val="28"/>
          <w:szCs w:val="28"/>
        </w:rPr>
        <w:t>Про визначення адміністративних центрів та затвердження територі</w:t>
      </w:r>
      <w:r>
        <w:rPr>
          <w:bCs/>
          <w:spacing w:val="-4"/>
          <w:sz w:val="28"/>
          <w:szCs w:val="28"/>
        </w:rPr>
        <w:t>й територіальних громад Волинської області</w:t>
      </w:r>
      <w:r>
        <w:rPr>
          <w:bCs/>
          <w:color w:val="000000"/>
          <w:spacing w:val="-4"/>
          <w:sz w:val="28"/>
          <w:szCs w:val="28"/>
          <w:highlight w:val="white"/>
          <w:shd w:fill="FFFFFF" w:val="clear"/>
        </w:rPr>
        <w:t>»</w:t>
      </w:r>
      <w:r>
        <w:rPr>
          <w:bCs/>
          <w:color w:val="000000"/>
          <w:spacing w:val="-4"/>
          <w:sz w:val="28"/>
          <w:szCs w:val="28"/>
          <w:shd w:fill="FFFFFF" w:val="clear"/>
        </w:rPr>
        <w:t>, рішенням Луцької міської ради  від 17.12.2020 № 1/20 «Про реорганізацію сільських рад шляхом приєднання до Луцької міської ради»</w:t>
      </w:r>
      <w:r>
        <w:rPr>
          <w:spacing w:val="-4"/>
          <w:sz w:val="28"/>
          <w:szCs w:val="28"/>
        </w:rPr>
        <w:t>, статтями 26, 59 та пунктом 6</w:t>
      </w:r>
      <w:r>
        <w:rPr>
          <w:spacing w:val="-4"/>
          <w:sz w:val="28"/>
          <w:szCs w:val="28"/>
          <w:vertAlign w:val="superscript"/>
        </w:rPr>
        <w:t>-1</w:t>
      </w:r>
      <w:r>
        <w:rPr>
          <w:spacing w:val="-4"/>
          <w:sz w:val="28"/>
          <w:szCs w:val="28"/>
        </w:rPr>
        <w:t xml:space="preserve"> розділу 5 Прикінцевих та перехідних положень Закону України «Про місцеве самоврядування в Україні», міська рада</w:t>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ind w:firstLine="709"/>
        <w:jc w:val="both"/>
        <w:rPr>
          <w:spacing w:val="-4"/>
          <w:sz w:val="28"/>
          <w:szCs w:val="28"/>
        </w:rPr>
      </w:pPr>
      <w:r>
        <w:rPr>
          <w:spacing w:val="-4"/>
          <w:sz w:val="28"/>
          <w:szCs w:val="28"/>
        </w:rPr>
      </w:r>
    </w:p>
    <w:p>
      <w:pPr>
        <w:pStyle w:val="Normal"/>
        <w:tabs>
          <w:tab w:val="clear" w:pos="708"/>
          <w:tab w:val="left" w:pos="993" w:leader="none"/>
        </w:tabs>
        <w:jc w:val="both"/>
        <w:rPr>
          <w:spacing w:val="-4"/>
          <w:sz w:val="28"/>
          <w:szCs w:val="28"/>
        </w:rPr>
      </w:pPr>
      <w:r>
        <w:rPr>
          <w:spacing w:val="-4"/>
          <w:sz w:val="28"/>
          <w:szCs w:val="28"/>
        </w:rPr>
      </w:r>
    </w:p>
    <w:p>
      <w:pPr>
        <w:pStyle w:val="Normal"/>
        <w:jc w:val="both"/>
        <w:rPr>
          <w:sz w:val="28"/>
          <w:szCs w:val="28"/>
        </w:rPr>
      </w:pPr>
      <w:r>
        <w:rPr>
          <w:sz w:val="28"/>
          <w:szCs w:val="28"/>
        </w:rPr>
        <w:t>ВИРІШИЛА:</w:t>
      </w:r>
    </w:p>
    <w:p>
      <w:pPr>
        <w:pStyle w:val="Normal"/>
        <w:jc w:val="both"/>
        <w:rPr>
          <w:sz w:val="28"/>
          <w:szCs w:val="28"/>
        </w:rPr>
      </w:pPr>
      <w:r>
        <w:rPr>
          <w:sz w:val="28"/>
          <w:szCs w:val="28"/>
        </w:rPr>
      </w:r>
    </w:p>
    <w:p>
      <w:pPr>
        <w:pStyle w:val="Normal"/>
        <w:ind w:firstLine="567" w:right="43"/>
        <w:jc w:val="both"/>
        <w:rPr>
          <w:sz w:val="28"/>
          <w:szCs w:val="28"/>
        </w:rPr>
      </w:pPr>
      <w:r>
        <w:rPr>
          <w:sz w:val="28"/>
          <w:szCs w:val="28"/>
        </w:rPr>
        <w:t xml:space="preserve">1. Затвердити громадянам </w:t>
      </w:r>
      <w:r>
        <w:rPr>
          <w:spacing w:val="-4"/>
          <w:sz w:val="28"/>
          <w:szCs w:val="28"/>
        </w:rPr>
        <w:t>Тюковій Наталії Вікторівні (частка 1/2), Салюку Павлу Вікторовичу (частка 1/2)</w:t>
      </w:r>
      <w:r>
        <w:rPr>
          <w:sz w:val="28"/>
          <w:szCs w:val="28"/>
        </w:rPr>
        <w:t xml:space="preserve"> технічну документацію із землеустрою щодо встановлення (відновлення) меж земельної ділянки в натурі (на місцевості) на </w:t>
      </w:r>
      <w:r>
        <w:rPr>
          <w:spacing w:val="-4"/>
          <w:sz w:val="28"/>
          <w:szCs w:val="28"/>
        </w:rPr>
        <w:t>вул. Дубовій, 23</w:t>
      </w:r>
      <w:r>
        <w:rPr>
          <w:sz w:val="28"/>
          <w:szCs w:val="28"/>
        </w:rPr>
        <w:t xml:space="preserve"> у с. Великий Омеляник Луцького району Волинської області, площею 0,2500 га, з кадастровим номером 0722881800:0</w:t>
      </w:r>
      <w:r>
        <w:rPr>
          <w:rFonts w:eastAsia="Times New Roman" w:cs="Times New Roman"/>
          <w:color w:val="auto"/>
          <w:kern w:val="0"/>
          <w:sz w:val="28"/>
          <w:szCs w:val="28"/>
          <w:lang w:val="uk-UA" w:eastAsia="zh-CN" w:bidi="ar-SA"/>
        </w:rPr>
        <w:t>3</w:t>
      </w:r>
      <w:r>
        <w:rPr>
          <w:sz w:val="28"/>
          <w:szCs w:val="28"/>
        </w:rPr>
        <w:t>:001:0399, для будівництва і обслуговування житлового будинку, господарських будівель і споруд (присадибна ділянка) (02.01).</w:t>
      </w:r>
    </w:p>
    <w:p>
      <w:pPr>
        <w:pStyle w:val="Normal"/>
        <w:tabs>
          <w:tab w:val="clear" w:pos="708"/>
          <w:tab w:val="left" w:pos="709" w:leader="none"/>
        </w:tabs>
        <w:ind w:firstLine="567" w:right="43"/>
        <w:jc w:val="both"/>
        <w:rPr>
          <w:sz w:val="28"/>
          <w:szCs w:val="28"/>
        </w:rPr>
      </w:pPr>
      <w:r>
        <w:rPr>
          <w:sz w:val="28"/>
          <w:szCs w:val="28"/>
        </w:rPr>
        <w:t xml:space="preserve">2. Передати громадянам </w:t>
      </w:r>
      <w:r>
        <w:rPr>
          <w:spacing w:val="-4"/>
          <w:sz w:val="28"/>
          <w:szCs w:val="28"/>
        </w:rPr>
        <w:t xml:space="preserve">Тюковій Наталії Вікторівні (частка 1/2), Салюку Павлу Вікторовичу (частка 1/2) </w:t>
      </w:r>
      <w:r>
        <w:rPr>
          <w:sz w:val="28"/>
          <w:szCs w:val="28"/>
        </w:rPr>
        <w:t xml:space="preserve">безоплатно у спільну часткову власність земельну ділянку на </w:t>
      </w:r>
      <w:r>
        <w:rPr>
          <w:spacing w:val="-4"/>
          <w:sz w:val="28"/>
          <w:szCs w:val="28"/>
        </w:rPr>
        <w:t>вул. Дубовій, 23</w:t>
      </w:r>
      <w:r>
        <w:rPr>
          <w:sz w:val="28"/>
          <w:szCs w:val="28"/>
        </w:rPr>
        <w:t xml:space="preserve"> у с. Великий Омеляник Луцького району Волинської області, площею 0,2500 га, з кадастровим номером 0722881800:0</w:t>
      </w:r>
      <w:r>
        <w:rPr>
          <w:rFonts w:eastAsia="Times New Roman" w:cs="Times New Roman"/>
          <w:color w:val="auto"/>
          <w:kern w:val="0"/>
          <w:sz w:val="28"/>
          <w:szCs w:val="28"/>
          <w:lang w:val="uk-UA" w:eastAsia="zh-CN" w:bidi="ar-SA"/>
        </w:rPr>
        <w:t>3</w:t>
      </w:r>
      <w:r>
        <w:rPr>
          <w:sz w:val="28"/>
          <w:szCs w:val="28"/>
        </w:rPr>
        <w:t>:001:0399, для будівництва і обслуговування житлового будинку, господарських будівель і споруд (присадибна ділянка) (02.01), згідно з додатком.</w:t>
      </w:r>
    </w:p>
    <w:p>
      <w:pPr>
        <w:pStyle w:val="Normal"/>
        <w:widowControl/>
        <w:suppressAutoHyphens w:val="true"/>
        <w:bidi w:val="0"/>
        <w:spacing w:before="0" w:after="0"/>
        <w:ind w:firstLine="567" w:left="0" w:right="0"/>
        <w:jc w:val="both"/>
        <w:rPr>
          <w:sz w:val="28"/>
          <w:szCs w:val="28"/>
        </w:rPr>
      </w:pPr>
      <w:r>
        <w:rPr>
          <w:sz w:val="28"/>
          <w:szCs w:val="28"/>
        </w:rPr>
        <w:t xml:space="preserve">3. Зобов’язати громадян </w:t>
      </w:r>
      <w:r>
        <w:rPr>
          <w:spacing w:val="-4"/>
          <w:sz w:val="28"/>
          <w:szCs w:val="28"/>
        </w:rPr>
        <w:t>Тюкову Наталію Вікторівну, Салюка Павла Вікторовича:</w:t>
      </w:r>
    </w:p>
    <w:p>
      <w:pPr>
        <w:pStyle w:val="Normal"/>
        <w:widowControl/>
        <w:suppressAutoHyphens w:val="true"/>
        <w:bidi w:val="0"/>
        <w:spacing w:before="0" w:after="0"/>
        <w:ind w:firstLine="567" w:left="0" w:right="0"/>
        <w:jc w:val="both"/>
        <w:rPr>
          <w:sz w:val="28"/>
          <w:szCs w:val="28"/>
        </w:rPr>
      </w:pPr>
      <w:r>
        <w:rPr>
          <w:sz w:val="28"/>
          <w:szCs w:val="28"/>
        </w:rPr>
        <w:t>3.1. Зареєструвати земельну ділянку та речові права на неї в порядку, визначеному чинним законодавством України.</w:t>
      </w:r>
    </w:p>
    <w:p>
      <w:pPr>
        <w:pStyle w:val="Normal"/>
        <w:widowControl/>
        <w:suppressAutoHyphens w:val="true"/>
        <w:bidi w:val="0"/>
        <w:spacing w:before="0" w:after="0"/>
        <w:ind w:firstLine="567" w:left="0" w:right="0"/>
        <w:jc w:val="both"/>
        <w:rPr>
          <w:sz w:val="28"/>
          <w:szCs w:val="28"/>
        </w:rPr>
      </w:pPr>
      <w:r>
        <w:rPr>
          <w:sz w:val="28"/>
          <w:szCs w:val="28"/>
        </w:rPr>
        <w:t>3.2. Виконувати обов’язки власника земельної ділянки, відповідно до вимог статті 91 Земельного кодексу України.</w:t>
      </w:r>
    </w:p>
    <w:p>
      <w:pPr>
        <w:pStyle w:val="Normal"/>
        <w:widowControl/>
        <w:suppressAutoHyphens w:val="true"/>
        <w:bidi w:val="0"/>
        <w:spacing w:before="0" w:after="0"/>
        <w:ind w:firstLine="567" w:left="0" w:right="0"/>
        <w:jc w:val="both"/>
        <w:rPr>
          <w:sz w:val="28"/>
          <w:szCs w:val="28"/>
        </w:rPr>
      </w:pPr>
      <w:r>
        <w:rPr>
          <w:sz w:val="28"/>
          <w:szCs w:val="28"/>
        </w:rPr>
        <w:t>3.3. Забезпечувати збереження та вільний доступ до мереж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709" w:leader="none"/>
          <w:tab w:val="left" w:pos="735" w:leader="none"/>
        </w:tabs>
        <w:suppressAutoHyphens w:val="true"/>
        <w:bidi w:val="0"/>
        <w:spacing w:before="0" w:after="0"/>
        <w:ind w:firstLine="567" w:left="0" w:right="0"/>
        <w:jc w:val="both"/>
        <w:rPr>
          <w:sz w:val="28"/>
          <w:szCs w:val="28"/>
        </w:rPr>
      </w:pPr>
      <w:r>
        <w:rPr>
          <w:sz w:val="28"/>
          <w:szCs w:val="28"/>
        </w:rPr>
        <w:t>4. </w:t>
      </w:r>
      <w:r>
        <w:rPr>
          <w:color w:val="000000"/>
          <w:spacing w:val="-4"/>
          <w:sz w:val="28"/>
          <w:szCs w:val="28"/>
          <w:highlight w:val="white"/>
        </w:rPr>
        <w:t>К</w:t>
      </w:r>
      <w:r>
        <w:rPr>
          <w:spacing w:val="-4"/>
          <w:sz w:val="28"/>
          <w:szCs w:val="28"/>
        </w:rPr>
        <w:t>онтроль за виконанням рішення покласти на заступника міського голови Ірину Чебелюк</w:t>
      </w:r>
      <w:r>
        <w:rPr>
          <w:spacing w:val="-4"/>
          <w:sz w:val="28"/>
          <w:szCs w:val="28"/>
          <w:lang w:val="en-US"/>
        </w:rPr>
        <w:t xml:space="preserve"> </w:t>
      </w:r>
      <w:r>
        <w:rPr>
          <w:spacing w:val="-4"/>
          <w:sz w:val="28"/>
          <w:szCs w:val="28"/>
          <w:lang w:val="en-US"/>
        </w:rPr>
        <w:t>т</w:t>
      </w:r>
      <w:r>
        <w:rPr>
          <w:spacing w:val="-4"/>
          <w:sz w:val="28"/>
          <w:szCs w:val="28"/>
          <w:lang w:val="uk-UA"/>
        </w:rPr>
        <w:t>а</w:t>
      </w:r>
      <w:r>
        <w:rPr>
          <w:spacing w:val="-4"/>
          <w:sz w:val="28"/>
          <w:szCs w:val="28"/>
          <w:lang w:val="uk-UA"/>
        </w:rPr>
        <w:t xml:space="preserve"> </w:t>
      </w:r>
      <w:r>
        <w:rPr>
          <w:spacing w:val="-4"/>
          <w:sz w:val="28"/>
          <w:szCs w:val="28"/>
        </w:rPr>
        <w:t>постійну комісію міської ради з питань земельних відносин та земельного кадастру.</w:t>
      </w:r>
      <w:r>
        <w:rPr>
          <w:sz w:val="28"/>
          <w:szCs w:val="28"/>
        </w:rPr>
        <w:t xml:space="preserve"> </w:t>
      </w:r>
    </w:p>
    <w:p>
      <w:pPr>
        <w:pStyle w:val="Normal"/>
        <w:ind w:firstLine="763"/>
        <w:jc w:val="both"/>
        <w:rPr>
          <w:sz w:val="28"/>
          <w:szCs w:val="28"/>
        </w:rPr>
      </w:pPr>
      <w:r>
        <w:rPr>
          <w:sz w:val="28"/>
          <w:szCs w:val="28"/>
        </w:rPr>
      </w:r>
    </w:p>
    <w:p>
      <w:pPr>
        <w:pStyle w:val="Normal"/>
        <w:ind w:firstLine="763"/>
        <w:jc w:val="both"/>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sz w:val="24"/>
        </w:rPr>
        <w:t>Туз 777 863</w:t>
      </w:r>
    </w:p>
    <w:p>
      <w:pPr>
        <w:pStyle w:val="Normal"/>
        <w:jc w:val="both"/>
        <w:rPr>
          <w:sz w:val="24"/>
          <w:szCs w:val="28"/>
        </w:rPr>
      </w:pPr>
      <w:r>
        <w:rPr>
          <w:sz w:val="24"/>
          <w:szCs w:val="28"/>
        </w:rPr>
      </w:r>
    </w:p>
    <w:sectPr>
      <w:type w:val="nextPage"/>
      <w:pgSz w:w="11906" w:h="16838"/>
      <w:pgMar w:left="1985" w:right="567" w:gutter="0" w:header="0" w:top="567" w:footer="0" w:bottom="1701"/>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swiss"/>
    <w:pitch w:val="variable"/>
  </w:font>
  <w:font w:name="Cambria">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sz w:val="20"/>
        <w:rFonts w:cs="Times New Roman"/>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864" w:hanging="864"/>
      </w:pPr>
      <w:rPr/>
    </w:lvl>
    <w:lvl w:ilvl="4">
      <w:start w:val="1"/>
      <w:numFmt w:val="none"/>
      <w:suff w:val="nothing"/>
      <w:lvlText w:val=""/>
      <w:lvlJc w:val="left"/>
      <w:pPr>
        <w:tabs>
          <w:tab w:val="num" w:pos="0"/>
        </w:tabs>
        <w:ind w:left="1008" w:hanging="1008"/>
      </w:pPr>
      <w:rPr/>
    </w:lvl>
    <w:lvl w:ilvl="5">
      <w:start w:val="1"/>
      <w:numFmt w:val="none"/>
      <w:suff w:val="nothing"/>
      <w:lvlText w:val=""/>
      <w:lvlJc w:val="left"/>
      <w:pPr>
        <w:tabs>
          <w:tab w:val="num" w:pos="0"/>
        </w:tabs>
        <w:ind w:left="1152" w:hanging="1152"/>
      </w:pPr>
      <w:rPr/>
    </w:lvl>
    <w:lvl w:ilvl="6">
      <w:start w:val="1"/>
      <w:numFmt w:val="none"/>
      <w:suff w:val="nothing"/>
      <w:lvlText w:val=""/>
      <w:lvlJc w:val="left"/>
      <w:pPr>
        <w:tabs>
          <w:tab w:val="num" w:pos="0"/>
        </w:tabs>
        <w:ind w:left="1296" w:hanging="1296"/>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sz w:val="40"/>
        <w:b w:val="false"/>
        <w:rFonts w:cs="Times New Roman"/>
      </w:rPr>
    </w:lvl>
    <w:lvl w:ilvl="1">
      <w:start w:val="1"/>
      <w:numFmt w:val="none"/>
      <w:suff w:val="nothing"/>
      <w:lvlText w:val=""/>
      <w:lvlJc w:val="left"/>
      <w:pPr>
        <w:tabs>
          <w:tab w:val="num" w:pos="0"/>
        </w:tabs>
        <w:ind w:left="576" w:hanging="576"/>
      </w:pPr>
      <w:rPr>
        <w:sz w:val="40"/>
        <w:b w:val="false"/>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20"/>
  <w:displayBackgroundShape/>
  <w:defaultTabStop w:val="708"/>
  <w:autoHyphenation w:val="true"/>
  <w:hyphenationZone w:val="425"/>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Heading1">
    <w:name w:val="heading 1"/>
    <w:basedOn w:val="Normal"/>
    <w:next w:val="Normal"/>
    <w:qFormat/>
    <w:pPr>
      <w:keepNext w:val="true"/>
      <w:tabs>
        <w:tab w:val="clear" w:pos="708"/>
        <w:tab w:val="left" w:pos="0" w:leader="none"/>
      </w:tabs>
      <w:ind w:hanging="432" w:left="432"/>
      <w:jc w:val="center"/>
      <w:outlineLvl w:val="0"/>
    </w:pPr>
    <w:rPr>
      <w:b/>
      <w:bCs/>
      <w:sz w:val="32"/>
    </w:rPr>
  </w:style>
  <w:style w:type="paragraph" w:styleId="Heading2">
    <w:name w:val="heading 2"/>
    <w:basedOn w:val="Normal"/>
    <w:next w:val="Normal"/>
    <w:qFormat/>
    <w:pPr>
      <w:keepNext w:val="true"/>
      <w:tabs>
        <w:tab w:val="clear" w:pos="708"/>
        <w:tab w:val="left" w:pos="0" w:leader="none"/>
      </w:tabs>
      <w:spacing w:before="240" w:after="60"/>
      <w:ind w:hanging="576" w:left="576"/>
      <w:outlineLvl w:val="1"/>
    </w:pPr>
    <w:rPr>
      <w:rFonts w:ascii="Arial" w:hAnsi="Arial" w:cs="Arial"/>
      <w:b/>
      <w:bCs/>
      <w:i/>
      <w:iCs/>
      <w:szCs w:val="28"/>
    </w:rPr>
  </w:style>
  <w:style w:type="paragraph" w:styleId="Heading3">
    <w:name w:val="heading 3"/>
    <w:basedOn w:val="Style11"/>
    <w:next w:val="BodyText"/>
    <w:qFormat/>
    <w:pPr>
      <w:outlineLvl w:val="2"/>
    </w:pPr>
    <w:rPr>
      <w:b/>
      <w:bCs/>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rFonts w:cs="Times New Roman"/>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3z0" w:customStyle="1">
    <w:name w:val="WW8Num3z0"/>
    <w:qFormat/>
    <w:rPr>
      <w:rFonts w:cs="Times New Roman"/>
    </w:rPr>
  </w:style>
  <w:style w:type="character" w:styleId="2" w:customStyle="1">
    <w:name w:val="Основной шрифт абзаца2"/>
    <w:qFormat/>
    <w:rPr/>
  </w:style>
  <w:style w:type="character" w:styleId="Heading1Char" w:customStyle="1">
    <w:name w:val="Heading 1 Char"/>
    <w:qFormat/>
    <w:rPr>
      <w:rFonts w:ascii="Cambria" w:hAnsi="Cambria" w:cs="Times New Roman"/>
      <w:b/>
      <w:bCs/>
      <w:kern w:val="2"/>
      <w:sz w:val="32"/>
      <w:szCs w:val="32"/>
      <w:lang w:val="uk-UA" w:eastAsia="zh-CN"/>
    </w:rPr>
  </w:style>
  <w:style w:type="character" w:styleId="Heading2Char" w:customStyle="1">
    <w:name w:val="Heading 2 Char"/>
    <w:qFormat/>
    <w:rPr>
      <w:rFonts w:ascii="Cambria" w:hAnsi="Cambria" w:cs="Times New Roman"/>
      <w:b/>
      <w:bCs/>
      <w:i/>
      <w:iCs/>
      <w:sz w:val="28"/>
      <w:szCs w:val="28"/>
      <w:lang w:val="uk-UA" w:eastAsia="zh-CN"/>
    </w:rPr>
  </w:style>
  <w:style w:type="character" w:styleId="WW8Num1zfalse" w:customStyle="1">
    <w:name w:val="WW8Num1zfalse"/>
    <w:qFormat/>
    <w:rPr/>
  </w:style>
  <w:style w:type="character" w:styleId="WW8Num1ztrue" w:customStyle="1">
    <w:name w:val="WW8Num1ztrue"/>
    <w:qFormat/>
    <w:rPr/>
  </w:style>
  <w:style w:type="character" w:styleId="WW8Num1ztrue7" w:customStyle="1">
    <w:name w:val="WW8Num1ztrue7"/>
    <w:qFormat/>
    <w:rPr/>
  </w:style>
  <w:style w:type="character" w:styleId="WW8Num1ztrue6" w:customStyle="1">
    <w:name w:val="WW8Num1ztrue6"/>
    <w:qFormat/>
    <w:rPr/>
  </w:style>
  <w:style w:type="character" w:styleId="WW8Num1ztrue5" w:customStyle="1">
    <w:name w:val="WW8Num1ztrue5"/>
    <w:qFormat/>
    <w:rPr/>
  </w:style>
  <w:style w:type="character" w:styleId="WW8Num1ztrue4" w:customStyle="1">
    <w:name w:val="WW8Num1ztrue4"/>
    <w:qFormat/>
    <w:rPr/>
  </w:style>
  <w:style w:type="character" w:styleId="WW8Num1ztrue3" w:customStyle="1">
    <w:name w:val="WW8Num1ztrue3"/>
    <w:qFormat/>
    <w:rPr/>
  </w:style>
  <w:style w:type="character" w:styleId="WW8Num1ztrue2" w:customStyle="1">
    <w:name w:val="WW8Num1ztrue2"/>
    <w:qFormat/>
    <w:rPr/>
  </w:style>
  <w:style w:type="character" w:styleId="WW8Num1ztrue1" w:customStyle="1">
    <w:name w:val="WW8Num1ztrue1"/>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1" w:customStyle="1">
    <w:name w:val="Основной шрифт абзаца1"/>
    <w:qFormat/>
    <w:rPr/>
  </w:style>
  <w:style w:type="character" w:styleId="BodyTextChar" w:customStyle="1">
    <w:name w:val="Body Text Char"/>
    <w:qFormat/>
    <w:rPr>
      <w:rFonts w:cs="Times New Roman"/>
      <w:sz w:val="24"/>
      <w:szCs w:val="24"/>
      <w:lang w:val="uk-UA" w:eastAsia="zh-CN"/>
    </w:rPr>
  </w:style>
  <w:style w:type="character" w:styleId="BalloonTextChar" w:customStyle="1">
    <w:name w:val="Balloon Text Char"/>
    <w:qFormat/>
    <w:rPr>
      <w:rFonts w:cs="Times New Roman"/>
      <w:sz w:val="2"/>
      <w:lang w:val="uk-UA" w:eastAsia="zh-CN"/>
    </w:rPr>
  </w:style>
  <w:style w:type="paragraph" w:styleId="Style11" w:customStyle="1">
    <w:name w:val="Заголовок"/>
    <w:basedOn w:val="Normal"/>
    <w:next w:val="BodyText"/>
    <w:qFormat/>
    <w:pPr>
      <w:keepNext w:val="true"/>
      <w:spacing w:before="240" w:after="120"/>
    </w:pPr>
    <w:rPr>
      <w:rFonts w:ascii="Arial" w:hAnsi="Arial" w:eastAsia="Arial Unicode MS" w:cs="Mangal"/>
      <w:szCs w:val="28"/>
    </w:rPr>
  </w:style>
  <w:style w:type="paragraph" w:styleId="BodyText">
    <w:name w:val="Body Text"/>
    <w:basedOn w:val="Normal"/>
    <w:pPr>
      <w:spacing w:before="0" w:after="120"/>
    </w:pPr>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Mangal"/>
      <w:i/>
      <w:iCs/>
    </w:rPr>
  </w:style>
  <w:style w:type="paragraph" w:styleId="Style12" w:customStyle="1">
    <w:name w:val="Покажчик"/>
    <w:basedOn w:val="Normal"/>
    <w:qFormat/>
    <w:pPr>
      <w:suppressLineNumbers/>
    </w:pPr>
    <w:rPr>
      <w:rFonts w:cs="Arial"/>
    </w:rPr>
  </w:style>
  <w:style w:type="paragraph" w:styleId="21" w:customStyle="1">
    <w:name w:val="Указатель2"/>
    <w:basedOn w:val="Normal"/>
    <w:qFormat/>
    <w:pPr>
      <w:suppressLineNumbers/>
    </w:pPr>
    <w:rPr>
      <w:rFonts w:cs="Mangal"/>
    </w:rPr>
  </w:style>
  <w:style w:type="paragraph" w:styleId="11" w:customStyle="1">
    <w:name w:val="Название объекта1"/>
    <w:basedOn w:val="Normal"/>
    <w:qFormat/>
    <w:pPr>
      <w:suppressLineNumbers/>
      <w:spacing w:before="120" w:after="120"/>
    </w:pPr>
    <w:rPr>
      <w:rFonts w:cs="Mangal"/>
      <w:i/>
      <w:iCs/>
      <w:sz w:val="24"/>
    </w:rPr>
  </w:style>
  <w:style w:type="paragraph" w:styleId="12"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3" w:customStyle="1">
    <w:name w:val="Цитата1"/>
    <w:basedOn w:val="Normal"/>
    <w:qFormat/>
    <w:pPr>
      <w:tabs>
        <w:tab w:val="clear" w:pos="708"/>
        <w:tab w:val="left" w:pos="616" w:leader="none"/>
        <w:tab w:val="left" w:pos="5954" w:leader="none"/>
        <w:tab w:val="left" w:pos="6096" w:leader="none"/>
      </w:tabs>
      <w:ind w:hanging="284" w:left="284" w:right="-426"/>
      <w:jc w:val="both"/>
    </w:pPr>
    <w:rPr>
      <w:sz w:val="22"/>
    </w:rPr>
  </w:style>
  <w:style w:type="paragraph" w:styleId="14" w:customStyle="1">
    <w:name w:val="Схема документа1"/>
    <w:basedOn w:val="Normal"/>
    <w:qFormat/>
    <w:pPr>
      <w:shd w:val="clear" w:color="auto" w:fill="000080"/>
    </w:pPr>
    <w:rPr>
      <w:rFonts w:ascii="Tahoma" w:hAnsi="Tahoma" w:cs="Tahoma"/>
      <w:sz w:val="20"/>
      <w:szCs w:val="20"/>
    </w:rPr>
  </w:style>
  <w:style w:type="paragraph" w:styleId="Style13" w:customStyle="1">
    <w:name w:val="Верхній і нижній колонтитули"/>
    <w:basedOn w:val="Normal"/>
    <w:qFormat/>
    <w:pPr/>
    <w:rPr/>
  </w:style>
  <w:style w:type="paragraph" w:styleId="HeaderandFooter">
    <w:name w:val="Header and Footer"/>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Style14" w:default="1">
    <w:name w:val="Без маркерів"/>
    <w:uiPriority w:val="99"/>
    <w:semiHidden/>
    <w:unhideWhenUsed/>
    <w:qFormat/>
  </w:style>
  <w:style w:type="numbering" w:styleId="WW8Num1" w:customStyle="1">
    <w:name w:val="WW8Num1"/>
    <w:qFormat/>
  </w:style>
  <w:style w:type="numbering" w:styleId="WW8Num2" w:customStyle="1">
    <w:name w:val="WW8Num2"/>
    <w:qFormat/>
  </w:style>
  <w:style w:type="numbering" w:styleId="WW8Num3" w:customStyle="1">
    <w:name w:val="WW8Num3"/>
    <w:qFormat/>
  </w:style>
  <w:style w:type="table" w:default="1" w:styleId="a3">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Тема Office">
  <a:themeElements>
    <a:clrScheme name="Стандартная">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pitchFamily="0" charset="1"/>
        <a:ea typeface=""/>
        <a:cs typeface=""/>
      </a:majorFont>
      <a:minorFont>
        <a:latin typeface="Calibri" pitchFamily="0" charset="1"/>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l="0" t="0" r="0" b="0"/>
        </a:gradFill>
        <a:gradFill>
          <a:gsLst>
            <a:gs pos="0">
              <a:schemeClr val="phClr">
                <a:shade val="51000"/>
              </a:schemeClr>
            </a:gs>
            <a:gs pos="80000">
              <a:schemeClr val="phClr">
                <a:shade val="93000"/>
              </a:schemeClr>
            </a:gs>
            <a:gs pos="100000">
              <a:schemeClr val="phClr">
                <a:shade val="94000"/>
              </a:schemeClr>
            </a:gs>
          </a:gsLst>
          <a:lin ang="16200000" scaled="0"/>
          <a:tileRect l="0" t="0" r="0" b="0"/>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l="0" t="0" r="0" b="0"/>
        </a:gradFill>
        <a:gradFill>
          <a:gsLst>
            <a:gs pos="0">
              <a:schemeClr val="phClr">
                <a:tint val="80000"/>
              </a:schemeClr>
            </a:gs>
            <a:gs pos="100000">
              <a:schemeClr val="phClr">
                <a:shade val="30000"/>
              </a:schemeClr>
            </a:gs>
          </a:gsLst>
          <a:path path="circle">
            <a:fillToRect l="50000" t="50000" r="50000" b="50000"/>
          </a:path>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93</TotalTime>
  <Application>LibreOffice/24.8.3.2$Windows_X86_64 LibreOffice_project/48a6bac9e7e268aeb4c3483fcf825c94556d9f92</Application>
  <AppVersion>15.0000</AppVersion>
  <Pages>2</Pages>
  <Words>483</Words>
  <Characters>3213</Characters>
  <CharactersWithSpaces>3949</CharactersWithSpaces>
  <Paragraphs>25</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2024-09-13T08:23:00Z</dcterms:created>
  <dc:creator>burko</dc:creator>
  <dc:description/>
  <dc:language>uk-UA</dc:language>
  <cp:lastModifiedBy/>
  <cp:lastPrinted>2024-09-20T12:50:00Z</cp:lastPrinted>
  <dcterms:modified xsi:type="dcterms:W3CDTF">2024-12-30T09:27:35Z</dcterms:modified>
  <cp:revision>49</cp:revision>
  <dc:subject/>
  <dc:title/>
</cp:coreProperties>
</file>

<file path=docProps/custom.xml><?xml version="1.0" encoding="utf-8"?>
<Properties xmlns="http://schemas.openxmlformats.org/officeDocument/2006/custom-properties" xmlns:vt="http://schemas.openxmlformats.org/officeDocument/2006/docPropsVTypes"/>
</file>