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jc w:val="center"/>
        <w:rPr>
          <w:sz w:val="16"/>
          <w:szCs w:val="16"/>
          <w:lang w:val="uk-UA"/>
        </w:rPr>
      </w:pPr>
      <w:r>
        <w:rPr/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6.65pt;height:58.55pt;mso-wrap-distance-right:0pt" filled="f" o:ole="">
            <v:imagedata r:id="rId3" o:title=""/>
          </v:shape>
          <o:OLEObject Type="Embed" ProgID="" ShapeID="ole_rId2" DrawAspect="Content" ObjectID="_1101483281" r:id="rId2"/>
        </w:object>
      </w:r>
    </w:p>
    <w:p>
      <w:pPr>
        <w:pStyle w:val="Normal"/>
        <w:widowControl w:val="false"/>
        <w:jc w:val="center"/>
        <w:rPr>
          <w:sz w:val="16"/>
          <w:szCs w:val="16"/>
          <w:lang w:val="uk-UA"/>
        </w:rPr>
      </w:pPr>
      <w:r>
        <w:rPr>
          <w:sz w:val="16"/>
          <w:szCs w:val="16"/>
          <w:lang w:val="uk-UA"/>
        </w:rPr>
      </w:r>
    </w:p>
    <w:p>
      <w:pPr>
        <w:pStyle w:val="1"/>
        <w:widowControl w:val="false"/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10"/>
          <w:szCs w:val="10"/>
          <w:lang w:val="uk-UA"/>
        </w:rPr>
      </w:pPr>
      <w:r>
        <w:rPr>
          <w:sz w:val="10"/>
          <w:szCs w:val="10"/>
          <w:lang w:val="uk-UA"/>
        </w:rPr>
      </w:r>
    </w:p>
    <w:p>
      <w:pPr>
        <w:pStyle w:val="Normal"/>
        <w:widowControl w:val="false"/>
        <w:jc w:val="center"/>
        <w:rPr>
          <w:b/>
          <w:b/>
          <w:bCs/>
          <w:sz w:val="20"/>
          <w:szCs w:val="20"/>
          <w:lang w:val="uk-UA"/>
        </w:rPr>
      </w:pPr>
      <w:r>
        <w:rPr>
          <w:b/>
          <w:bCs/>
          <w:sz w:val="20"/>
          <w:szCs w:val="20"/>
          <w:lang w:val="uk-UA"/>
        </w:rPr>
      </w:r>
    </w:p>
    <w:p>
      <w:pPr>
        <w:pStyle w:val="2"/>
        <w:widowControl w:val="false"/>
        <w:rPr>
          <w:sz w:val="32"/>
          <w:szCs w:val="32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 w:val="40"/>
          <w:szCs w:val="40"/>
          <w:lang w:val="uk-UA"/>
        </w:rPr>
      </w:pPr>
      <w:r>
        <w:rPr>
          <w:b/>
          <w:bCs/>
          <w:sz w:val="40"/>
          <w:szCs w:val="40"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</w:rPr>
      </w:pPr>
      <w:r>
        <w:rPr>
          <w:sz w:val="24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lang w:val="uk-UA"/>
        </w:rPr>
      </w:pPr>
      <w:r>
        <w:rPr>
          <w:sz w:val="24"/>
          <w:lang w:val="uk-UA"/>
        </w:rPr>
        <w:t xml:space="preserve">                                                     </w:t>
      </w:r>
    </w:p>
    <w:p>
      <w:pPr>
        <w:pStyle w:val="Normal"/>
        <w:rPr>
          <w:rFonts w:ascii="Times New Roman" w:hAnsi="Times New Roman"/>
          <w:sz w:val="28"/>
          <w:szCs w:val="28"/>
        </w:rPr>
      </w:pPr>
      <w:r>
        <w:rPr>
          <w:lang w:val="uk-UA"/>
        </w:rPr>
        <w:t>Про надання  громадян</w:t>
      </w:r>
      <w:r>
        <w:rPr>
          <w:lang w:val="uk-UA" w:eastAsia="zh-CN" w:bidi="ar-SA"/>
        </w:rPr>
        <w:t>ину  Кватируку Т.В.</w:t>
      </w:r>
    </w:p>
    <w:p>
      <w:pPr>
        <w:pStyle w:val="Normal"/>
        <w:rPr>
          <w:rFonts w:ascii="Times New Roman" w:hAnsi="Times New Roman"/>
          <w:sz w:val="28"/>
          <w:szCs w:val="28"/>
        </w:rPr>
      </w:pPr>
      <w:r>
        <w:rPr>
          <w:lang w:val="uk-UA"/>
        </w:rPr>
        <w:t>дозволу</w:t>
      </w:r>
      <w:r>
        <w:rPr>
          <w:lang w:val="uk-UA" w:eastAsia="zh-CN" w:bidi="ar-SA"/>
        </w:rPr>
        <w:t xml:space="preserve">  на   розроблення  </w:t>
      </w:r>
      <w:r>
        <w:rPr>
          <w:lang w:val="uk-UA"/>
        </w:rPr>
        <w:t xml:space="preserve"> </w:t>
      </w:r>
      <w:r>
        <w:rPr>
          <w:lang w:val="uk-UA" w:eastAsia="zh-CN" w:bidi="ar-SA"/>
        </w:rPr>
        <w:t>тех</w:t>
      </w:r>
      <w:r>
        <w:rPr>
          <w:lang w:val="uk-UA"/>
        </w:rPr>
        <w:t>нічн</w:t>
      </w:r>
      <w:r>
        <w:rPr>
          <w:lang w:val="uk-UA" w:eastAsia="zh-CN" w:bidi="ar-SA"/>
        </w:rPr>
        <w:t>ої</w:t>
      </w:r>
      <w:r>
        <w:rPr>
          <w:lang w:val="uk-UA"/>
        </w:rPr>
        <w:t xml:space="preserve">   доку-</w:t>
      </w:r>
    </w:p>
    <w:p>
      <w:pPr>
        <w:pStyle w:val="Normal"/>
        <w:rPr>
          <w:rFonts w:ascii="Times New Roman" w:hAnsi="Times New Roman"/>
          <w:sz w:val="28"/>
          <w:szCs w:val="28"/>
        </w:rPr>
      </w:pPr>
      <w:r>
        <w:rPr>
          <w:lang w:val="uk-UA"/>
        </w:rPr>
        <w:t>ментаці</w:t>
      </w:r>
      <w:r>
        <w:rPr>
          <w:lang w:val="uk-UA" w:eastAsia="zh-CN" w:bidi="ar-SA"/>
        </w:rPr>
        <w:t xml:space="preserve">ї   </w:t>
      </w:r>
      <w:r>
        <w:rPr>
          <w:lang w:val="uk-UA"/>
        </w:rPr>
        <w:t>із   землеустрою   щодо   встанов-</w:t>
      </w:r>
    </w:p>
    <w:p>
      <w:pPr>
        <w:pStyle w:val="Normal"/>
        <w:rPr>
          <w:rFonts w:ascii="Times New Roman" w:hAnsi="Times New Roman"/>
          <w:sz w:val="28"/>
          <w:szCs w:val="28"/>
        </w:rPr>
      </w:pPr>
      <w:r>
        <w:rPr>
          <w:lang w:val="uk-UA"/>
        </w:rPr>
        <w:t>лення  (відновлення)  меж   земельн</w:t>
      </w:r>
      <w:r>
        <w:rPr>
          <w:lang w:val="uk-UA" w:eastAsia="zh-CN" w:bidi="ar-SA"/>
        </w:rPr>
        <w:t xml:space="preserve">ої  </w:t>
      </w:r>
      <w:r>
        <w:rPr>
          <w:lang w:val="uk-UA"/>
        </w:rPr>
        <w:t>діля-</w:t>
      </w:r>
    </w:p>
    <w:p>
      <w:pPr>
        <w:pStyle w:val="Normal"/>
        <w:rPr>
          <w:rFonts w:ascii="Times New Roman" w:hAnsi="Times New Roman"/>
          <w:sz w:val="28"/>
          <w:szCs w:val="28"/>
        </w:rPr>
      </w:pPr>
      <w:r>
        <w:rPr>
          <w:lang w:val="uk-UA"/>
        </w:rPr>
        <w:t>н</w:t>
      </w:r>
      <w:r>
        <w:rPr>
          <w:lang w:val="uk-UA" w:eastAsia="zh-CN" w:bidi="ar-SA"/>
        </w:rPr>
        <w:t>ки</w:t>
      </w:r>
      <w:r>
        <w:rPr>
          <w:lang w:val="uk-UA"/>
        </w:rPr>
        <w:t xml:space="preserve"> в натурі</w:t>
      </w:r>
      <w:r>
        <w:rPr>
          <w:lang w:val="uk-UA" w:eastAsia="zh-CN" w:bidi="ar-SA"/>
        </w:rPr>
        <w:t xml:space="preserve"> (на місцевості) </w:t>
      </w:r>
      <w:r>
        <w:rPr>
          <w:lang w:val="uk-UA"/>
        </w:rPr>
        <w:t>н</w:t>
      </w:r>
      <w:r>
        <w:rPr>
          <w:lang w:val="uk-UA" w:eastAsia="zh-CN" w:bidi="ar-SA"/>
        </w:rPr>
        <w:t>а вул. Цегель-</w:t>
      </w:r>
    </w:p>
    <w:p>
      <w:pPr>
        <w:pStyle w:val="Normal"/>
        <w:rPr>
          <w:rFonts w:ascii="Times New Roman" w:hAnsi="Times New Roman"/>
          <w:sz w:val="28"/>
          <w:szCs w:val="28"/>
        </w:rPr>
      </w:pPr>
      <w:r>
        <w:rPr>
          <w:lang w:val="uk-UA" w:eastAsia="zh-CN" w:bidi="ar-SA"/>
        </w:rPr>
        <w:t>ній, 21-Б, гараж № 4 у м. Луцьку</w:t>
      </w:r>
    </w:p>
    <w:p>
      <w:pPr>
        <w:pStyle w:val="Normal"/>
        <w:rPr>
          <w:rFonts w:ascii="Times New Roman" w:hAnsi="Times New Roman"/>
          <w:sz w:val="28"/>
          <w:szCs w:val="28"/>
        </w:rPr>
      </w:pPr>
      <w:r>
        <w:rPr/>
      </w:r>
    </w:p>
    <w:p>
      <w:pPr>
        <w:pStyle w:val="Normal"/>
        <w:widowControl/>
        <w:tabs>
          <w:tab w:val="clear" w:pos="708"/>
          <w:tab w:val="left" w:pos="247" w:leader="none"/>
        </w:tabs>
        <w:suppressAutoHyphens w:val="true"/>
        <w:bidi w:val="0"/>
        <w:spacing w:before="0" w:after="0"/>
        <w:ind w:left="0" w:right="0" w:firstLine="624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  <w:lang w:val="uk-UA"/>
        </w:rPr>
        <w:t xml:space="preserve">Розглянувши заяву </w:t>
      </w:r>
      <w:r>
        <w:rPr>
          <w:rFonts w:eastAsia="Times New Roman" w:cs="Times New Roman"/>
          <w:b w:val="false"/>
          <w:bCs w:val="false"/>
          <w:color w:val="auto"/>
          <w:sz w:val="28"/>
          <w:szCs w:val="28"/>
          <w:lang w:val="uk-UA" w:bidi="ar-SA"/>
        </w:rPr>
        <w:t>громадян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 xml:space="preserve">ина 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0"/>
          <w:kern w:val="0"/>
          <w:sz w:val="28"/>
          <w:szCs w:val="28"/>
          <w:u w:val="none"/>
          <w:em w:val="none"/>
          <w:lang w:val="uk-UA" w:eastAsia="zh-CN" w:bidi="ar-SA"/>
        </w:rPr>
        <w:t>Кватирука Тараса Віталійовича</w:t>
      </w:r>
      <w:r>
        <w:rPr>
          <w:rFonts w:eastAsia="Times New Roman" w:cs="Times New Roman"/>
          <w:b w:val="false"/>
          <w:i w:val="false"/>
          <w:strike w:val="false"/>
          <w:dstrike w:val="false"/>
          <w:outline w:val="false"/>
          <w:shadow w:val="false"/>
          <w:color w:val="auto"/>
          <w:kern w:val="0"/>
          <w:sz w:val="28"/>
          <w:szCs w:val="28"/>
          <w:u w:val="none"/>
          <w:em w:val="none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про</w:t>
      </w:r>
      <w:r>
        <w:rPr>
          <w:sz w:val="28"/>
          <w:szCs w:val="28"/>
          <w:lang w:val="uk-UA"/>
        </w:rPr>
        <w:t xml:space="preserve"> надання дозволу на розроблення технічн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ої</w:t>
      </w:r>
      <w:r>
        <w:rPr>
          <w:sz w:val="28"/>
          <w:szCs w:val="28"/>
          <w:lang w:val="uk-UA"/>
        </w:rPr>
        <w:t xml:space="preserve"> документаці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ї</w:t>
      </w:r>
      <w:r>
        <w:rPr>
          <w:sz w:val="28"/>
          <w:szCs w:val="28"/>
          <w:lang w:val="uk-UA"/>
        </w:rPr>
        <w:t xml:space="preserve"> із землеустрою щодо встановлення (відно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kern w:val="0"/>
          <w:sz w:val="28"/>
          <w:szCs w:val="28"/>
          <w:lang w:val="uk-UA" w:eastAsia="zh-CN" w:bidi="ar-SA"/>
        </w:rPr>
        <w:t>влення) меж з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8"/>
          <w:lang w:val="uk-UA" w:eastAsia="zh-CN" w:bidi="ar-SA"/>
        </w:rPr>
        <w:t>емельної ділянки в натурі (на місцевості) на  вул. Цегель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4"/>
          <w:lang w:val="uk-UA" w:eastAsia="zh-CN" w:bidi="ar-SA"/>
        </w:rPr>
        <w:t>ній, 21-Б, гараж № 4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8"/>
          <w:lang w:val="uk-UA" w:eastAsia="zh-CN" w:bidi="ar-SA"/>
        </w:rPr>
        <w:t xml:space="preserve"> у м. Луцьку, технічний паспорт на об’єкт нерухомого майна від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8"/>
          <w:lang w:val="uk-UA" w:eastAsia="zh-CN" w:bidi="ar-SA"/>
        </w:rPr>
        <w:t>27.08.2024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8"/>
          <w:lang w:val="uk-UA" w:eastAsia="zh-CN" w:bidi="ar-SA"/>
        </w:rPr>
        <w:t xml:space="preserve">,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8"/>
          <w:lang w:val="uk-UA" w:eastAsia="zh-CN" w:bidi="ar-SA"/>
        </w:rPr>
        <w:t>враховуючи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8"/>
          <w:lang w:val="uk-UA" w:eastAsia="zh-CN" w:bidi="ar-SA"/>
        </w:rPr>
        <w:t xml:space="preserve"> договір оренди землі, укладений між Луцькою міською радою та громадянином Кватируком Віталієм Олексійовичем, зареєстрований у Державному реєстрі земель від 26.11.2009 за № 040907700596, строк дії якого закінчився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8"/>
          <w:lang w:val="uk-UA" w:eastAsia="zh-CN" w:bidi="ar-SA"/>
        </w:rPr>
        <w:t xml:space="preserve">у зв’язку зі смертю фізичної особи-орендаря, </w:t>
      </w:r>
      <w:r>
        <w:rPr>
          <w:rFonts w:eastAsia="Times New Roman" w:cs="Times New Roman"/>
          <w:b w:val="false"/>
          <w:bCs/>
          <w:i w:val="false"/>
          <w:iC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8"/>
          <w:szCs w:val="28"/>
          <w:u w:val="none"/>
          <w:em w:val="none"/>
          <w:lang w:val="uk-UA" w:eastAsia="zh-CN" w:bidi="ar-SA"/>
        </w:rPr>
        <w:t xml:space="preserve">рішення Луцької міської ради від 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0"/>
          <w:spacing w:val="-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28.01.2015 № 69/89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0"/>
          <w:spacing w:val="-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 «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0"/>
          <w:spacing w:val="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Про надання громадянці Кватирук Н.В. доз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0"/>
          <w:spacing w:val="-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волу на розроблення технічної документації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0"/>
          <w:spacing w:val="-2"/>
          <w:kern w:val="0"/>
          <w:sz w:val="24"/>
          <w:szCs w:val="28"/>
          <w:highlight w:val="white"/>
          <w:u w:val="none"/>
          <w:em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2"/>
          <w:kern w:val="0"/>
          <w:sz w:val="28"/>
          <w:szCs w:val="28"/>
          <w:lang w:val="uk-UA" w:eastAsia="zh-CN" w:bidi="ar-SA"/>
        </w:rPr>
        <w:t>із землеустрою щодо встановлення меж земе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8"/>
          <w:lang w:val="uk-UA" w:eastAsia="zh-CN" w:bidi="ar-SA"/>
        </w:rPr>
        <w:t>льної ділянки в натурі (на місцевості) на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0"/>
          <w:spacing w:val="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вул. Цегельній, 21б, гараж № 4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0"/>
          <w:spacing w:val="-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», відповідно до якого  громадянці Кватирук Наталії Володимирівні — спадкоємиці прав та обов’язків після громадянина 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0"/>
          <w:spacing w:val="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Кватирук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0"/>
          <w:spacing w:val="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а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0"/>
          <w:spacing w:val="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 Віталі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0"/>
          <w:spacing w:val="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я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0"/>
          <w:spacing w:val="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 Олексійовича (свідоцтво про право на спадщину за законом від 15.12.2014 за № 3-1054), був наданий дозвіл на розроблення технічної документації із землеустрою щодо встановлення (відновлення) меж земельної ділянки в натурі (на місцевості), але 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0"/>
          <w:spacing w:val="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у зв’язку зі смертю 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0"/>
          <w:spacing w:val="-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громадян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0"/>
          <w:spacing w:val="-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ки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0"/>
          <w:spacing w:val="-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 Кватирук Наталії Володимирівн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0"/>
          <w:spacing w:val="-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и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 технічн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а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 документац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ія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 із землеуст</w:t>
      </w:r>
      <w:r>
        <w:rPr>
          <w:rStyle w:val="Style14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рою щодо встановлення (відновлення) меж земельн</w:t>
      </w:r>
      <w:r>
        <w:rPr>
          <w:rStyle w:val="Style14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ої</w:t>
      </w:r>
      <w:r>
        <w:rPr>
          <w:rStyle w:val="Style14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 ділян</w:t>
      </w:r>
      <w:r>
        <w:rPr>
          <w:rStyle w:val="Style14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ки</w:t>
      </w:r>
      <w:r>
        <w:rPr>
          <w:rStyle w:val="Style14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 в натурі (на місцевості) площ</w:t>
      </w:r>
      <w:r>
        <w:rPr>
          <w:rStyle w:val="Style14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ею 0,0024 га</w:t>
      </w:r>
      <w:r>
        <w:rPr>
          <w:rStyle w:val="Style14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 на розгляд та затвердження в Луцьку міську раду подан</w:t>
      </w:r>
      <w:r>
        <w:rPr>
          <w:rStyle w:val="Style14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а</w:t>
      </w:r>
      <w:r>
        <w:rPr>
          <w:rStyle w:val="Style14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 не бул</w:t>
      </w:r>
      <w:r>
        <w:rPr>
          <w:rStyle w:val="Style14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а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8"/>
          <w:lang w:val="uk-UA" w:eastAsia="zh-CN" w:bidi="ar-SA"/>
        </w:rPr>
        <w:t xml:space="preserve">,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8"/>
          <w:lang w:val="uk-UA" w:eastAsia="zh-CN" w:bidi="ar-SA"/>
        </w:rPr>
        <w:t xml:space="preserve">враховуючи, що громадянин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0"/>
          <w:kern w:val="0"/>
          <w:sz w:val="28"/>
          <w:szCs w:val="28"/>
          <w:u w:val="none"/>
          <w:em w:val="none"/>
          <w:lang w:val="uk-UA" w:eastAsia="zh-CN" w:bidi="ar-SA"/>
        </w:rPr>
        <w:t xml:space="preserve">Кватирук Тарас Віталійович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0"/>
          <w:kern w:val="0"/>
          <w:sz w:val="28"/>
          <w:szCs w:val="28"/>
          <w:u w:val="none"/>
          <w:em w:val="none"/>
          <w:lang w:val="uk-UA" w:eastAsia="zh-CN" w:bidi="ar-SA"/>
        </w:rPr>
        <w:t>є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0"/>
          <w:kern w:val="0"/>
          <w:sz w:val="28"/>
          <w:szCs w:val="28"/>
          <w:u w:val="none"/>
          <w:em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0"/>
          <w:kern w:val="0"/>
          <w:sz w:val="28"/>
          <w:szCs w:val="28"/>
          <w:u w:val="none"/>
          <w:em w:val="none"/>
          <w:lang w:val="uk-UA" w:eastAsia="zh-CN" w:bidi="ar-SA"/>
        </w:rPr>
        <w:t xml:space="preserve">спадкоємцем прав та обов’язків після громадянки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Кватирук Наталії Володимирівн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и (свідоцтво про право на спадщину за з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а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коном від 15.10.2019 за № 4-981),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2"/>
          <w:kern w:val="0"/>
          <w:sz w:val="28"/>
          <w:szCs w:val="28"/>
          <w:u w:val="none"/>
          <w:lang w:val="uk-UA" w:eastAsia="zh-CN" w:bidi="ar-SA"/>
        </w:rPr>
        <w:t>к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2"/>
          <w:kern w:val="0"/>
          <w:sz w:val="28"/>
          <w:szCs w:val="28"/>
          <w:u w:val="none"/>
          <w:lang w:val="uk-UA" w:eastAsia="zh-CN" w:bidi="ar-SA"/>
        </w:rPr>
        <w:t xml:space="preserve">еруючись статтями 12, 79-1, 93, 120, 122-123, частиною </w:t>
      </w:r>
      <w:r>
        <w:rPr>
          <w:rFonts w:eastAsia="SimSun;宋体" w:cs="Times New Roman"/>
          <w:b w:val="false"/>
          <w:bCs w:val="false"/>
          <w:i w:val="false"/>
          <w:iCs w:val="false"/>
          <w:color w:val="000000"/>
          <w:spacing w:val="-2"/>
          <w:kern w:val="0"/>
          <w:sz w:val="28"/>
          <w:szCs w:val="28"/>
          <w:u w:val="none"/>
          <w:lang w:val="uk-UA" w:eastAsia="zh-CN" w:bidi="ar-SA"/>
        </w:rPr>
        <w:t xml:space="preserve">другою статті 134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2"/>
          <w:kern w:val="0"/>
          <w:sz w:val="28"/>
          <w:szCs w:val="28"/>
          <w:u w:val="none"/>
          <w:lang w:val="uk-UA" w:eastAsia="zh-CN" w:bidi="ar-SA"/>
        </w:rPr>
        <w:t xml:space="preserve">Земельного кодексу України,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>пунктом 3 розділу ІІ «Прикінцеві та перехідні положення» Закону України «Про внесення змін до деяких законодавчих актів України щодо розмежування земель державної та комунальної власності»</w:t>
      </w:r>
      <w:r>
        <w:rPr>
          <w:rFonts w:eastAsia="Times New Roman" w:cs="Times New Roman"/>
          <w:b w:val="false"/>
          <w:bCs/>
          <w:i w:val="false"/>
          <w:iCs w:val="false"/>
          <w:color w:val="00000A"/>
          <w:spacing w:val="4"/>
          <w:kern w:val="0"/>
          <w:sz w:val="28"/>
          <w:szCs w:val="28"/>
          <w:u w:val="none"/>
          <w:lang w:val="uk-UA" w:eastAsia="zh-CN" w:bidi="ar-SA"/>
        </w:rPr>
        <w:t>,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2"/>
          <w:kern w:val="0"/>
          <w:sz w:val="28"/>
          <w:szCs w:val="28"/>
          <w:u w:val="none"/>
          <w:lang w:val="uk-UA" w:eastAsia="zh-CN" w:bidi="ar-SA"/>
        </w:rPr>
        <w:t xml:space="preserve"> статтями 25, 55 Закону України «Про землеустрій», статтями 26, 33 Закону України «Про місцеве самоврядування в Україні», пунктами 66-67, 75, 101-102 постанови Кабінету Міністрів України від 17.10.2012 № 1051 «Про затвердження Порядку ведення Державного земельного кадастру»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2"/>
          <w:sz w:val="28"/>
          <w:szCs w:val="28"/>
          <w:u w:val="none"/>
          <w:lang w:val="uk-UA" w:eastAsia="zh-CN" w:bidi="ar-SA"/>
        </w:rPr>
        <w:t>, міська рада</w:t>
      </w:r>
    </w:p>
    <w:p>
      <w:pPr>
        <w:pStyle w:val="Normal"/>
        <w:widowControl/>
        <w:tabs>
          <w:tab w:val="clear" w:pos="708"/>
          <w:tab w:val="left" w:pos="247" w:leader="none"/>
        </w:tabs>
        <w:suppressAutoHyphens w:val="true"/>
        <w:bidi w:val="0"/>
        <w:spacing w:before="0" w:after="0"/>
        <w:ind w:left="0" w:right="0" w:firstLine="624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 w:val="false"/>
        <w:suppressAutoHyphens w:val="true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  <w:lang w:val="uk-UA" w:eastAsia="zh-CN"/>
        </w:rPr>
        <w:t>ВИРІШИЛА</w:t>
      </w:r>
      <w:r>
        <w:rPr>
          <w:sz w:val="28"/>
          <w:szCs w:val="28"/>
          <w:lang w:val="uk-UA"/>
        </w:rPr>
        <w:t>:</w:t>
      </w:r>
    </w:p>
    <w:p>
      <w:pPr>
        <w:pStyle w:val="Normal"/>
        <w:widowControl w:val="false"/>
        <w:suppressAutoHyphens w:val="true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rFonts w:ascii="Times New Roman" w:hAnsi="Times New Roman"/>
          <w:sz w:val="28"/>
          <w:szCs w:val="28"/>
        </w:rPr>
      </w:pPr>
      <w:r>
        <w:rPr>
          <w:spacing w:val="-6"/>
          <w:sz w:val="28"/>
          <w:szCs w:val="28"/>
          <w:lang w:val="uk-UA"/>
        </w:rPr>
        <w:t xml:space="preserve">1. </w:t>
      </w:r>
      <w:r>
        <w:rPr>
          <w:sz w:val="28"/>
          <w:szCs w:val="28"/>
          <w:lang w:val="uk-UA"/>
        </w:rPr>
        <w:t xml:space="preserve">Надати 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auto"/>
          <w:spacing w:val="0"/>
          <w:kern w:val="0"/>
          <w:sz w:val="28"/>
          <w:szCs w:val="28"/>
          <w:u w:val="none"/>
          <w:lang w:val="uk-UA" w:eastAsia="zh-CN" w:bidi="ar-SA"/>
        </w:rPr>
        <w:t>громадян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0"/>
          <w:kern w:val="0"/>
          <w:sz w:val="28"/>
          <w:szCs w:val="28"/>
          <w:u w:val="none"/>
          <w:lang w:val="uk-UA" w:eastAsia="zh-CN" w:bidi="ar-SA"/>
        </w:rPr>
        <w:t xml:space="preserve">ину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0"/>
          <w:kern w:val="0"/>
          <w:sz w:val="28"/>
          <w:szCs w:val="28"/>
          <w:u w:val="none"/>
          <w:em w:val="none"/>
          <w:lang w:val="uk-UA" w:eastAsia="zh-CN" w:bidi="ar-SA"/>
        </w:rPr>
        <w:t>Кватирук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0"/>
          <w:kern w:val="0"/>
          <w:sz w:val="28"/>
          <w:szCs w:val="28"/>
          <w:u w:val="none"/>
          <w:em w:val="none"/>
          <w:lang w:val="uk-UA" w:eastAsia="zh-CN" w:bidi="ar-SA"/>
        </w:rPr>
        <w:t>у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0"/>
          <w:kern w:val="0"/>
          <w:sz w:val="28"/>
          <w:szCs w:val="28"/>
          <w:u w:val="none"/>
          <w:em w:val="none"/>
          <w:lang w:val="uk-UA" w:eastAsia="zh-CN" w:bidi="ar-SA"/>
        </w:rPr>
        <w:t xml:space="preserve"> Тарас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0"/>
          <w:kern w:val="0"/>
          <w:sz w:val="28"/>
          <w:szCs w:val="28"/>
          <w:u w:val="none"/>
          <w:em w:val="none"/>
          <w:lang w:val="uk-UA" w:eastAsia="zh-CN" w:bidi="ar-SA"/>
        </w:rPr>
        <w:t>ові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0"/>
          <w:kern w:val="0"/>
          <w:sz w:val="28"/>
          <w:szCs w:val="28"/>
          <w:u w:val="none"/>
          <w:em w:val="none"/>
          <w:lang w:val="uk-UA" w:eastAsia="zh-CN" w:bidi="ar-SA"/>
        </w:rPr>
        <w:t xml:space="preserve"> Віталійович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0"/>
          <w:kern w:val="0"/>
          <w:sz w:val="28"/>
          <w:szCs w:val="28"/>
          <w:u w:val="none"/>
          <w:em w:val="none"/>
          <w:lang w:val="uk-UA" w:eastAsia="zh-CN" w:bidi="ar-SA"/>
        </w:rPr>
        <w:t>у</w:t>
      </w:r>
      <w:r>
        <w:rPr>
          <w:sz w:val="28"/>
          <w:szCs w:val="28"/>
          <w:lang w:val="uk-UA"/>
        </w:rPr>
        <w:t xml:space="preserve"> дозвіл на розроблення технічн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ої</w:t>
      </w:r>
      <w:r>
        <w:rPr>
          <w:sz w:val="28"/>
          <w:szCs w:val="28"/>
          <w:lang w:val="uk-UA"/>
        </w:rPr>
        <w:t xml:space="preserve"> документаці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ї</w:t>
      </w:r>
      <w:r>
        <w:rPr>
          <w:sz w:val="28"/>
          <w:szCs w:val="28"/>
          <w:lang w:val="uk-UA"/>
        </w:rPr>
        <w:t xml:space="preserve"> із землеустрою щодо встановлення (відновлення) меж земельн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ої</w:t>
      </w:r>
      <w:r>
        <w:rPr>
          <w:sz w:val="28"/>
          <w:szCs w:val="28"/>
          <w:lang w:val="uk-UA"/>
        </w:rPr>
        <w:t xml:space="preserve"> ділян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ки</w:t>
      </w:r>
      <w:r>
        <w:rPr>
          <w:sz w:val="28"/>
          <w:szCs w:val="28"/>
          <w:lang w:val="uk-UA"/>
        </w:rPr>
        <w:t xml:space="preserve"> в натурі (на місцевості) на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8"/>
          <w:lang w:val="uk-UA" w:eastAsia="zh-CN" w:bidi="ar-SA"/>
        </w:rPr>
        <w:t>вул. Цегель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4"/>
          <w:lang w:val="uk-UA" w:eastAsia="zh-CN" w:bidi="ar-SA"/>
        </w:rPr>
        <w:t>ній, 21-Б, гараж № 4</w:t>
      </w:r>
      <w:r>
        <w:rPr>
          <w:sz w:val="28"/>
          <w:szCs w:val="28"/>
          <w:lang w:val="uk-UA"/>
        </w:rPr>
        <w:t xml:space="preserve"> у м. Луцьку, площею 0,0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0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24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 </w:t>
      </w:r>
      <w:r>
        <w:rPr>
          <w:sz w:val="28"/>
          <w:szCs w:val="28"/>
          <w:lang w:val="uk-UA"/>
        </w:rPr>
        <w:t>га</w:t>
      </w:r>
      <w:r>
        <w:rPr>
          <w:spacing w:val="-6"/>
          <w:sz w:val="28"/>
          <w:szCs w:val="28"/>
          <w:lang w:val="uk-UA"/>
        </w:rPr>
        <w:t>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rFonts w:ascii="Times New Roman" w:hAnsi="Times New Roman"/>
          <w:sz w:val="28"/>
          <w:szCs w:val="28"/>
        </w:rPr>
      </w:pPr>
      <w:r>
        <w:rPr>
          <w:spacing w:val="-4"/>
          <w:sz w:val="28"/>
          <w:szCs w:val="28"/>
          <w:lang w:val="uk-UA"/>
        </w:rPr>
        <w:t>2. Зобов’язати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auto"/>
          <w:spacing w:val="0"/>
          <w:kern w:val="0"/>
          <w:sz w:val="28"/>
          <w:szCs w:val="28"/>
          <w:u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4"/>
          <w:kern w:val="0"/>
          <w:sz w:val="28"/>
          <w:szCs w:val="28"/>
          <w:u w:val="none"/>
          <w:lang w:val="uk-UA" w:eastAsia="zh-CN" w:bidi="ar-SA"/>
        </w:rPr>
        <w:t>громадянина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4"/>
          <w:kern w:val="0"/>
          <w:sz w:val="28"/>
          <w:szCs w:val="28"/>
          <w:u w:val="none"/>
          <w:em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0"/>
          <w:kern w:val="0"/>
          <w:sz w:val="28"/>
          <w:szCs w:val="28"/>
          <w:u w:val="none"/>
          <w:em w:val="none"/>
          <w:lang w:val="uk-UA" w:eastAsia="zh-CN" w:bidi="ar-SA"/>
        </w:rPr>
        <w:t>Кватирука Тараса Віталійовича</w:t>
      </w:r>
      <w:r>
        <w:rPr>
          <w:rFonts w:eastAsia="Times New Roman" w:cs="Times New Roman"/>
          <w:b w:val="false"/>
          <w:bCs w:val="false"/>
          <w:color w:val="auto"/>
          <w:spacing w:val="-4"/>
          <w:sz w:val="28"/>
          <w:szCs w:val="28"/>
          <w:u w:val="none"/>
          <w:lang w:val="uk-UA" w:eastAsia="zh-CN" w:bidi="ar-SA"/>
        </w:rPr>
        <w:t xml:space="preserve"> </w:t>
      </w:r>
      <w:r>
        <w:rPr>
          <w:sz w:val="28"/>
          <w:szCs w:val="28"/>
          <w:lang w:val="uk-UA"/>
        </w:rPr>
        <w:t>розробити технічн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у</w:t>
      </w:r>
      <w:r>
        <w:rPr>
          <w:sz w:val="28"/>
          <w:szCs w:val="28"/>
          <w:lang w:val="uk-UA"/>
        </w:rPr>
        <w:t xml:space="preserve"> документаці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ю</w:t>
      </w:r>
      <w:r>
        <w:rPr>
          <w:sz w:val="28"/>
          <w:szCs w:val="28"/>
          <w:lang w:val="uk-UA"/>
        </w:rPr>
        <w:t xml:space="preserve"> із землеустрою щодо встановлення (відновлення) меж земельн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ої</w:t>
      </w:r>
      <w:r>
        <w:rPr>
          <w:sz w:val="28"/>
          <w:szCs w:val="28"/>
          <w:lang w:val="uk-UA"/>
        </w:rPr>
        <w:t xml:space="preserve"> ділян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ки</w:t>
      </w:r>
      <w:r>
        <w:rPr>
          <w:sz w:val="28"/>
          <w:szCs w:val="28"/>
          <w:lang w:val="uk-UA"/>
        </w:rPr>
        <w:t xml:space="preserve"> в натурі (на місцевості) та подати ї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ї</w:t>
      </w:r>
      <w:r>
        <w:rPr>
          <w:sz w:val="28"/>
          <w:szCs w:val="28"/>
          <w:lang w:val="uk-UA"/>
        </w:rPr>
        <w:t xml:space="preserve"> на затвердження до міської ради.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  <w:lang w:val="uk-UA"/>
        </w:rPr>
        <w:t>3.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>Скасувати р</w:t>
      </w:r>
      <w:r>
        <w:rPr>
          <w:rFonts w:eastAsia="Times New Roman" w:cs="Times New Roman"/>
          <w:b w:val="false"/>
          <w:bCs/>
          <w:i w:val="false"/>
          <w:iC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ішення Луцької міської ради від 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0"/>
          <w:spacing w:val="-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28.01.2015 № 69/89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0"/>
          <w:spacing w:val="-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 «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0"/>
          <w:spacing w:val="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Про надання громадянці Кватирук Н.В. доз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0"/>
          <w:spacing w:val="-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волу на розроблення технічної документації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0"/>
          <w:spacing w:val="-2"/>
          <w:kern w:val="0"/>
          <w:sz w:val="24"/>
          <w:szCs w:val="28"/>
          <w:highlight w:val="white"/>
          <w:u w:val="none"/>
          <w:em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0"/>
          <w:spacing w:val="-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із землеустрою щодо встановлення меж земе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0"/>
          <w:spacing w:val="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льної ділянки в натурі (на місцевості) на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0"/>
          <w:spacing w:val="-6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0"/>
          <w:spacing w:val="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вул. Цегельній, 21б, гараж № 4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0"/>
          <w:spacing w:val="-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»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0"/>
          <w:spacing w:val="-4"/>
          <w:w w:val="101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0"/>
          <w:spacing w:val="-4"/>
          <w:w w:val="101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4.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>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ind w:left="0" w:right="0" w:firstLine="763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ind w:left="0" w:right="0" w:firstLine="763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jc w:val="both"/>
        <w:rPr>
          <w:rFonts w:ascii="Times New Roman" w:hAnsi="Times New Roman"/>
          <w:sz w:val="28"/>
          <w:szCs w:val="28"/>
        </w:rPr>
      </w:pPr>
      <w:r>
        <w:rPr>
          <w:color w:val="000000"/>
          <w:sz w:val="28"/>
          <w:szCs w:val="28"/>
          <w:lang w:val="uk-UA"/>
        </w:rPr>
        <w:t>Міський голова                                                                                  Ігор ПОЛІЩУК</w:t>
      </w:r>
    </w:p>
    <w:p>
      <w:pPr>
        <w:pStyle w:val="Normal"/>
        <w:widowControl w:val="false"/>
        <w:jc w:val="both"/>
        <w:rPr>
          <w:sz w:val="27"/>
          <w:szCs w:val="27"/>
          <w:lang w:val="uk-UA"/>
        </w:rPr>
      </w:pPr>
      <w:r>
        <w:rPr>
          <w:sz w:val="27"/>
          <w:szCs w:val="27"/>
          <w:lang w:val="uk-UA"/>
        </w:rPr>
      </w:r>
    </w:p>
    <w:p>
      <w:pPr>
        <w:pStyle w:val="Normal"/>
        <w:widowControl w:val="false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ind w:left="0" w:right="0" w:hanging="0"/>
        <w:jc w:val="both"/>
        <w:rPr>
          <w:i w:val="false"/>
          <w:i w:val="false"/>
          <w:iCs w:val="false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kern w:val="0"/>
          <w:sz w:val="24"/>
          <w:szCs w:val="28"/>
          <w:lang w:val="uk-UA" w:eastAsia="zh-CN" w:bidi="ar-SA"/>
        </w:rPr>
        <w:t>Туз 777 863</w:t>
      </w:r>
    </w:p>
    <w:sectPr>
      <w:type w:val="nextPage"/>
      <w:pgSz w:w="11906" w:h="16838"/>
      <w:pgMar w:left="1725" w:right="567" w:header="0" w:top="885" w:footer="0" w:bottom="1838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ymbol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Tahoma">
    <w:charset w:val="cc"/>
    <w:family w:val="roman"/>
    <w:pitch w:val="variable"/>
  </w:font>
  <w:font w:name="Verdan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NSimSun" w:cs="Arial"/>
        <w:sz w:val="28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jc w:val="center"/>
      <w:outlineLvl w:val="1"/>
    </w:pPr>
    <w:rPr>
      <w:b/>
      <w:bCs/>
      <w:sz w:val="36"/>
      <w:lang w:val="uk-U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WW8Num2z0">
    <w:name w:val="WW8Num2z0"/>
    <w:qFormat/>
    <w:rPr>
      <w:rFonts w:ascii="Symbol" w:hAnsi="Symbol" w:eastAsia="Times New Roman" w:cs="Times New Roman"/>
    </w:rPr>
  </w:style>
  <w:style w:type="character" w:styleId="WW8Num2z1">
    <w:name w:val="WW8Num2z1"/>
    <w:qFormat/>
    <w:rPr>
      <w:rFonts w:ascii="Courier New" w:hAnsi="Courier New" w:cs="Courier New"/>
    </w:rPr>
  </w:style>
  <w:style w:type="character" w:styleId="WW8Num2z2">
    <w:name w:val="WW8Num2z2"/>
    <w:qFormat/>
    <w:rPr>
      <w:rFonts w:ascii="Wingdings" w:hAnsi="Wingdings" w:cs="Wingdings"/>
    </w:rPr>
  </w:style>
  <w:style w:type="character" w:styleId="WW8Num2z3">
    <w:name w:val="WW8Num2z3"/>
    <w:qFormat/>
    <w:rPr>
      <w:rFonts w:ascii="Symbol" w:hAnsi="Symbol" w:cs="Symbol"/>
    </w:rPr>
  </w:style>
  <w:style w:type="character" w:styleId="WW8Num3z0">
    <w:name w:val="WW8Num3z0"/>
    <w:qFormat/>
    <w:rPr/>
  </w:style>
  <w:style w:type="character" w:styleId="WW8Num3z1">
    <w:name w:val="WW8Num3z1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Style12">
    <w:name w:val="Основной шрифт абзаца"/>
    <w:qFormat/>
    <w:rPr/>
  </w:style>
  <w:style w:type="character" w:styleId="Rvts23">
    <w:name w:val="rvts23"/>
    <w:basedOn w:val="Style12"/>
    <w:qFormat/>
    <w:rPr/>
  </w:style>
  <w:style w:type="character" w:styleId="Style13">
    <w:name w:val="Виділення"/>
    <w:qFormat/>
    <w:rPr>
      <w:i/>
      <w:iCs/>
    </w:rPr>
  </w:style>
  <w:style w:type="character" w:styleId="Style14">
    <w:name w:val="Виділення жирним"/>
    <w:qFormat/>
    <w:rPr>
      <w:b/>
      <w:bCs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Style16">
    <w:name w:val="Body Text"/>
    <w:basedOn w:val="Normal"/>
    <w:pPr>
      <w:spacing w:lineRule="auto" w:line="288" w:before="0" w:after="140"/>
    </w:pPr>
    <w:rPr/>
  </w:style>
  <w:style w:type="paragraph" w:styleId="Style17">
    <w:name w:val="List"/>
    <w:basedOn w:val="Style16"/>
    <w:pPr/>
    <w:rPr>
      <w:rFonts w:ascii="Times New Roman" w:hAnsi="Times New Roman" w:cs="Arial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8"/>
      <w:szCs w:val="24"/>
    </w:rPr>
  </w:style>
  <w:style w:type="paragraph" w:styleId="Style19">
    <w:name w:val="Покажчик"/>
    <w:basedOn w:val="Normal"/>
    <w:qFormat/>
    <w:pPr>
      <w:suppressLineNumbers/>
    </w:pPr>
    <w:rPr>
      <w:rFonts w:ascii="Times New Roman" w:hAnsi="Times New Roman" w:cs="Arial"/>
    </w:rPr>
  </w:style>
  <w:style w:type="paragraph" w:styleId="Style20">
    <w:name w:val="Body Text Indent"/>
    <w:basedOn w:val="Normal"/>
    <w:pPr>
      <w:ind w:left="0" w:right="0" w:firstLine="545"/>
      <w:jc w:val="both"/>
    </w:pPr>
    <w:rPr>
      <w:lang w:val="uk-UA"/>
    </w:rPr>
  </w:style>
  <w:style w:type="paragraph" w:styleId="11">
    <w:name w:val="Текст1"/>
    <w:basedOn w:val="Normal"/>
    <w:qFormat/>
    <w:pPr>
      <w:suppressAutoHyphens w:val="true"/>
    </w:pPr>
    <w:rPr>
      <w:rFonts w:ascii="Courier New" w:hAnsi="Courier New" w:cs="Courier New"/>
      <w:sz w:val="20"/>
      <w:szCs w:val="20"/>
    </w:rPr>
  </w:style>
  <w:style w:type="paragraph" w:styleId="Style21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Style22">
    <w:name w:val="Знак Знак Знак Знак Знак Знак"/>
    <w:basedOn w:val="Normal"/>
    <w:qFormat/>
    <w:pPr/>
    <w:rPr>
      <w:rFonts w:ascii="Verdana" w:hAnsi="Verdana" w:eastAsia="MS Mincho;ＭＳ 明朝" w:cs="Verdana"/>
      <w:sz w:val="20"/>
      <w:szCs w:val="20"/>
      <w:lang w:val="en-US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1618</TotalTime>
  <Application>LibreOffice/7.1.5.2$Windows_X86_64 LibreOffice_project/85f04e9f809797b8199d13c421bd8a2b025d52b5</Application>
  <AppVersion>15.0000</AppVersion>
  <Pages>2</Pages>
  <Words>486</Words>
  <Characters>3053</Characters>
  <CharactersWithSpaces>3764</CharactersWithSpaces>
  <Paragraphs>19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2017-07-28T08:59:00Z</dcterms:created>
  <dc:creator>*</dc:creator>
  <dc:description/>
  <dc:language>uk-UA</dc:language>
  <cp:lastModifiedBy/>
  <cp:lastPrinted>2024-01-11T15:19:04Z</cp:lastPrinted>
  <dcterms:modified xsi:type="dcterms:W3CDTF">2024-12-16T12:40:45Z</dcterms:modified>
  <cp:revision>160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