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8FD2" w14:textId="77777777" w:rsidR="00E16AB0" w:rsidRDefault="009F7D9A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14:paraId="30793D43" w14:textId="77777777" w:rsidR="00D15DD5" w:rsidRDefault="00FA7B1B" w:rsidP="00394607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55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E0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96E6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18492E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>Програми «</w:t>
      </w:r>
      <w:r w:rsidR="00FB6EA8">
        <w:rPr>
          <w:rFonts w:ascii="Times New Roman" w:hAnsi="Times New Roman" w:cs="Times New Roman"/>
          <w:sz w:val="28"/>
          <w:szCs w:val="28"/>
          <w:lang w:val="uk-UA"/>
        </w:rPr>
        <w:t>Фінансова підтримка комунальних підприємств охорони здоров’</w:t>
      </w:r>
      <w:r w:rsidR="00FB6EA8" w:rsidRPr="00FB6EA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 на 2021</w:t>
      </w:r>
      <w:r w:rsidR="0069517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>2025 роки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29072FB" w14:textId="77777777" w:rsidR="001E336D" w:rsidRDefault="001E336D" w:rsidP="00A44B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97BA36" w14:textId="1F075F07" w:rsidR="00E87256" w:rsidRDefault="00A44BA4" w:rsidP="00FC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996E64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0168E7">
        <w:rPr>
          <w:rFonts w:ascii="Times New Roman" w:hAnsi="Times New Roman" w:cs="Times New Roman"/>
          <w:sz w:val="28"/>
          <w:szCs w:val="28"/>
          <w:lang w:val="uk-UA"/>
        </w:rPr>
        <w:t xml:space="preserve"> році головною метою виконання заходів </w:t>
      </w:r>
      <w:r w:rsidR="00857B30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FC64AD">
        <w:rPr>
          <w:rFonts w:ascii="Times New Roman" w:hAnsi="Times New Roman" w:cs="Times New Roman"/>
          <w:sz w:val="28"/>
          <w:szCs w:val="28"/>
          <w:lang w:val="uk-UA"/>
        </w:rPr>
        <w:t>«Фінансова підтримка комунальних підприємств охорони здоров’</w:t>
      </w:r>
      <w:r w:rsidR="00FC64AD" w:rsidRPr="00FB6EA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C64AD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 на 2021</w:t>
      </w:r>
      <w:r w:rsidR="00FC64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C64AD" w:rsidRPr="0034009F">
        <w:rPr>
          <w:rFonts w:ascii="Times New Roman" w:hAnsi="Times New Roman" w:cs="Times New Roman"/>
          <w:sz w:val="28"/>
          <w:szCs w:val="28"/>
          <w:lang w:val="uk-UA"/>
        </w:rPr>
        <w:t>2025 роки</w:t>
      </w:r>
      <w:r w:rsidR="00FC64A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C64AD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="00FC64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C64AD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Програма</w:t>
      </w:r>
      <w:r w:rsidR="00FC64AD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FC64AD" w:rsidRPr="00FC64A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рішенням міської ради від 23.12.2020 № 2/27, зі змінами, </w:t>
      </w:r>
      <w:r w:rsidR="002E3690" w:rsidRPr="00FC64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</w:t>
      </w:r>
      <w:r w:rsidR="000168E7" w:rsidRPr="00FC64AD"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 w:rsidR="000168E7" w:rsidRPr="000168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безпечення </w:t>
      </w:r>
      <w:r w:rsidR="000168E7" w:rsidRPr="000168E7">
        <w:rPr>
          <w:rFonts w:ascii="Times New Roman" w:hAnsi="Times New Roman" w:cs="Times New Roman"/>
          <w:sz w:val="28"/>
          <w:szCs w:val="28"/>
          <w:lang w:val="uk-UA"/>
        </w:rPr>
        <w:t xml:space="preserve">в умовах воєнного стану у зв’язку з агресією російської федерації </w:t>
      </w:r>
      <w:r w:rsidR="000168E7" w:rsidRPr="000168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функціонування комунальної галузі охорони здоров’я Луцької міської територіальної громади </w:t>
      </w:r>
      <w:r w:rsidR="000168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можливості </w:t>
      </w:r>
      <w:r w:rsidR="000168E7" w:rsidRPr="000168E7">
        <w:rPr>
          <w:rFonts w:ascii="Times New Roman" w:hAnsi="Times New Roman" w:cs="Times New Roman"/>
          <w:sz w:val="28"/>
          <w:szCs w:val="28"/>
          <w:lang w:val="uk-UA"/>
        </w:rPr>
        <w:t>надання якісної, доступної і вчасної медичної допомоги мешканцям громади, внутрішньо переміщеним особам з урахуванням виконання вимог наказу МОЗ України від 24.02.2022 №</w:t>
      </w:r>
      <w:r w:rsidR="000168E7" w:rsidRPr="00796401">
        <w:rPr>
          <w:rFonts w:ascii="Times New Roman" w:hAnsi="Times New Roman" w:cs="Times New Roman"/>
          <w:sz w:val="28"/>
          <w:szCs w:val="28"/>
        </w:rPr>
        <w:t> </w:t>
      </w:r>
      <w:r w:rsidR="000168E7" w:rsidRPr="000168E7">
        <w:rPr>
          <w:rFonts w:ascii="Times New Roman" w:hAnsi="Times New Roman" w:cs="Times New Roman"/>
          <w:sz w:val="28"/>
          <w:szCs w:val="28"/>
          <w:lang w:val="uk-UA"/>
        </w:rPr>
        <w:t>374 «Про затвердження Тимчасових заходів у закладах охорони здоров'я з метою забезпечення їх готовності для надання медичної допомоги постраждалим внаслідок військової агресії російської федерації проти України»</w:t>
      </w:r>
      <w:r w:rsidR="009C45E2" w:rsidRPr="009C4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E2" w:rsidRPr="000168E7">
        <w:rPr>
          <w:rFonts w:ascii="Times New Roman" w:hAnsi="Times New Roman" w:cs="Times New Roman"/>
          <w:sz w:val="28"/>
          <w:szCs w:val="28"/>
          <w:lang w:val="uk-UA"/>
        </w:rPr>
        <w:t>(в редакції від 20.03.2022 № 507)</w:t>
      </w:r>
      <w:r w:rsidR="000168E7" w:rsidRPr="000168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9CF77D8" w14:textId="77777777" w:rsidR="00E87256" w:rsidRDefault="000168E7" w:rsidP="00A44B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8E7">
        <w:rPr>
          <w:rFonts w:ascii="Times New Roman" w:hAnsi="Times New Roman" w:cs="Times New Roman"/>
          <w:sz w:val="28"/>
          <w:szCs w:val="28"/>
          <w:lang w:val="uk-UA"/>
        </w:rPr>
        <w:t xml:space="preserve">В галузі охорони здоров’я Луцької міської територіальної громади функціонує 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Pr="000168E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</w:t>
      </w:r>
      <w:r w:rsidR="002E3690">
        <w:rPr>
          <w:rFonts w:ascii="Times New Roman" w:hAnsi="Times New Roman" w:cs="Times New Roman"/>
          <w:sz w:val="28"/>
          <w:szCs w:val="28"/>
          <w:lang w:val="uk-UA"/>
        </w:rPr>
        <w:t>х підприємств, які фінансуються в обсягах потреби, працюючи в штатному режимі, та діючи</w:t>
      </w:r>
      <w:r w:rsidRPr="000168E7">
        <w:rPr>
          <w:rFonts w:ascii="Times New Roman" w:hAnsi="Times New Roman" w:cs="Times New Roman"/>
          <w:sz w:val="28"/>
          <w:szCs w:val="28"/>
          <w:lang w:val="uk-UA"/>
        </w:rPr>
        <w:t xml:space="preserve"> в єдиному медичному просторі, реалізуючи державну політику</w:t>
      </w:r>
      <w:r w:rsidR="002A257D">
        <w:rPr>
          <w:rFonts w:ascii="Times New Roman" w:hAnsi="Times New Roman" w:cs="Times New Roman"/>
          <w:sz w:val="28"/>
          <w:szCs w:val="28"/>
          <w:lang w:val="uk-UA"/>
        </w:rPr>
        <w:t xml:space="preserve"> в секторі охорони здоров’</w:t>
      </w:r>
      <w:r w:rsidR="002A257D" w:rsidRPr="002A257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E3690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Pr="000168E7">
        <w:rPr>
          <w:rFonts w:ascii="Times New Roman" w:hAnsi="Times New Roman" w:cs="Times New Roman"/>
          <w:sz w:val="28"/>
          <w:szCs w:val="28"/>
          <w:lang w:val="uk-UA"/>
        </w:rPr>
        <w:t xml:space="preserve"> надаючи змогу </w:t>
      </w:r>
      <w:r w:rsidR="002A257D" w:rsidRPr="000168E7">
        <w:rPr>
          <w:rFonts w:ascii="Times New Roman" w:hAnsi="Times New Roman" w:cs="Times New Roman"/>
          <w:sz w:val="28"/>
          <w:szCs w:val="28"/>
          <w:lang w:val="uk-UA"/>
        </w:rPr>
        <w:t xml:space="preserve">пацієнтам </w:t>
      </w:r>
      <w:r w:rsidRPr="000168E7">
        <w:rPr>
          <w:rFonts w:ascii="Times New Roman" w:hAnsi="Times New Roman" w:cs="Times New Roman"/>
          <w:sz w:val="28"/>
          <w:szCs w:val="28"/>
          <w:lang w:val="uk-UA"/>
        </w:rPr>
        <w:t>отримати повноцінну медичну допомогу від первинної ланки до високоспеціалізованої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356538" w14:textId="77777777" w:rsidR="00E87256" w:rsidRDefault="00857B30" w:rsidP="00B923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Витрати комунальних підприємств охорони здоров’я Луцької міської територіальної громади, які забезпечують медичне обслуговування </w:t>
      </w:r>
      <w:r w:rsidR="002A257D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>мешканців</w:t>
      </w:r>
      <w:r w:rsidR="002204B7">
        <w:rPr>
          <w:rFonts w:ascii="Times New Roman" w:hAnsi="Times New Roman" w:cs="Times New Roman"/>
          <w:sz w:val="28"/>
          <w:szCs w:val="28"/>
          <w:lang w:val="uk-UA"/>
        </w:rPr>
        <w:t>, оплачуються Національною службою здоров’</w:t>
      </w:r>
      <w:r w:rsidR="002204B7" w:rsidRPr="002204B7">
        <w:rPr>
          <w:rFonts w:ascii="Times New Roman" w:hAnsi="Times New Roman" w:cs="Times New Roman"/>
          <w:sz w:val="28"/>
          <w:szCs w:val="28"/>
          <w:lang w:val="uk-UA"/>
        </w:rPr>
        <w:t>я України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 тільки в частині надання медичної послуги згідно специфікації. Об’єм та перелік таких медичних послуг </w:t>
      </w:r>
      <w:r w:rsidR="002A257D">
        <w:rPr>
          <w:rFonts w:ascii="Times New Roman" w:hAnsi="Times New Roman" w:cs="Times New Roman"/>
          <w:sz w:val="28"/>
          <w:szCs w:val="28"/>
          <w:lang w:val="uk-UA"/>
        </w:rPr>
        <w:t xml:space="preserve">в повній мірі 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>забезпечує потребу у доступності та якості надання медичної допомоги населенню та медичного обслуговування мешканців Луцької м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 xml:space="preserve">іської територіальної громади. 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>Всі інші витрати потр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>ебують додаткового фінансування</w:t>
      </w:r>
      <w:r w:rsidR="00D17228" w:rsidRPr="00D612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 xml:space="preserve"> зокрема на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 оновлення матеріально-технічної бази,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>капітального ре</w:t>
      </w:r>
      <w:r w:rsidR="00D17228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монту, реконструкції, </w:t>
      </w:r>
      <w:r w:rsidR="00EA3E3A" w:rsidRPr="00EA3E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EA3E3A" w:rsidRPr="00EA3E3A">
        <w:rPr>
          <w:rFonts w:ascii="Times New Roman" w:hAnsi="Times New Roman" w:cs="Times New Roman"/>
          <w:sz w:val="28"/>
          <w:szCs w:val="28"/>
          <w:lang w:val="uk-UA"/>
        </w:rPr>
        <w:t>оточні видатки на утримання приміщ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 xml:space="preserve">ення, обладнання та комунікацій, </w:t>
      </w:r>
      <w:r w:rsidR="00EA3E3A" w:rsidRPr="00EA3E3A">
        <w:rPr>
          <w:rFonts w:ascii="Times New Roman" w:hAnsi="Times New Roman" w:cs="Times New Roman"/>
          <w:sz w:val="28"/>
          <w:szCs w:val="28"/>
          <w:lang w:val="uk-UA"/>
        </w:rPr>
        <w:t>поточний ремонт приміщення, обладнання та комунікацій, оплат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A3E3A" w:rsidRPr="00EA3E3A">
        <w:rPr>
          <w:rFonts w:ascii="Times New Roman" w:hAnsi="Times New Roman" w:cs="Times New Roman"/>
          <w:sz w:val="28"/>
          <w:szCs w:val="28"/>
          <w:lang w:val="uk-UA"/>
        </w:rPr>
        <w:t xml:space="preserve"> послуг, пов’язаних із наданням технічних та комунікаційних робіт, закупівлю предметів, матеріалів та обладнання</w:t>
      </w:r>
      <w:r w:rsidR="00EA3E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>оплат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 праці медичних працівникі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61265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, задіяних у роботі </w:t>
      </w:r>
      <w:r w:rsidR="00D61265"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позаштатної військово-лікарської комісії та 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Крім того, </w:t>
      </w:r>
      <w:r w:rsidR="00BC1D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вимог Бюджетного к</w:t>
      </w:r>
      <w:r w:rsid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одексу України Програмою передбачено здійснення</w:t>
      </w:r>
      <w:r w:rsidR="00D17228" w:rsidRPr="000D7099">
        <w:rPr>
          <w:lang w:val="uk-UA"/>
        </w:rPr>
        <w:t xml:space="preserve"> </w:t>
      </w:r>
      <w:r w:rsidR="00D17228" w:rsidRPr="00D61265">
        <w:rPr>
          <w:rFonts w:ascii="Times New Roman" w:hAnsi="Times New Roman" w:cs="Times New Roman"/>
          <w:sz w:val="28"/>
          <w:szCs w:val="28"/>
          <w:lang w:val="uk-UA"/>
        </w:rPr>
        <w:t>покриття вартості комунальних послуг та енергоносіїв</w:t>
      </w:r>
      <w:r w:rsidR="002204B7">
        <w:rPr>
          <w:rFonts w:ascii="Times New Roman" w:hAnsi="Times New Roman" w:cs="Times New Roman"/>
          <w:sz w:val="28"/>
          <w:szCs w:val="28"/>
          <w:lang w:val="uk-UA"/>
        </w:rPr>
        <w:t>, які споживаються комунальними підприємствами охорони здоров’</w:t>
      </w:r>
      <w:r w:rsidR="002204B7" w:rsidRPr="002204B7">
        <w:rPr>
          <w:rFonts w:ascii="Times New Roman" w:hAnsi="Times New Roman" w:cs="Times New Roman"/>
          <w:sz w:val="28"/>
          <w:szCs w:val="28"/>
          <w:lang w:val="uk-UA"/>
        </w:rPr>
        <w:t>я.</w:t>
      </w:r>
      <w:r w:rsidR="00394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7907B0" w14:textId="77777777" w:rsidR="00E87256" w:rsidRDefault="00D17228" w:rsidP="00A44B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265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 бюджету Луцької міської територіальної громади визначається щороку, виходячи з конкретни</w:t>
      </w:r>
      <w:r w:rsidR="00D61265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х завдань </w:t>
      </w:r>
      <w:r w:rsidR="00D61265" w:rsidRPr="00D61265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наявності коштів.</w:t>
      </w:r>
      <w:r w:rsidR="00D61265">
        <w:rPr>
          <w:lang w:val="uk-UA"/>
        </w:rPr>
        <w:t xml:space="preserve"> </w:t>
      </w:r>
      <w:r w:rsidR="00BA155F" w:rsidRPr="00BA155F">
        <w:rPr>
          <w:rFonts w:ascii="Times New Roman" w:hAnsi="Times New Roman" w:cs="Times New Roman"/>
          <w:sz w:val="28"/>
          <w:szCs w:val="28"/>
          <w:lang w:val="uk-UA"/>
        </w:rPr>
        <w:t>Координація та контроль за ходом виконання Програми покладена на управління охорони здоров’я Луцької міської ради.</w:t>
      </w:r>
      <w:r w:rsidR="00394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28A574" w14:textId="77777777" w:rsidR="00C16F5D" w:rsidRDefault="006F2219" w:rsidP="00A44B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E3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14A9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514A93" w:rsidRPr="00D17E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="00D17E3B" w:rsidRPr="00D17E3B">
        <w:rPr>
          <w:rFonts w:ascii="Times New Roman" w:hAnsi="Times New Roman" w:cs="Times New Roman"/>
          <w:sz w:val="28"/>
          <w:szCs w:val="28"/>
          <w:lang w:val="uk-UA"/>
        </w:rPr>
        <w:t xml:space="preserve">20.12.2023 № 54/35 </w:t>
      </w:r>
      <w:r w:rsidR="00D17E3B" w:rsidRPr="00D17E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«Про бюджет Луцької міської територіальної громади на 2024 рік»</w:t>
      </w:r>
      <w:r w:rsidR="00D17E3B" w:rsidRPr="00D17E3B">
        <w:rPr>
          <w:rFonts w:ascii="Times New Roman" w:hAnsi="Times New Roman" w:cs="Times New Roman"/>
          <w:sz w:val="28"/>
          <w:szCs w:val="28"/>
          <w:lang w:val="uk-UA"/>
        </w:rPr>
        <w:t xml:space="preserve"> (з подальшими</w:t>
      </w:r>
      <w:r w:rsidR="00D17E3B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змінами) 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AC3351">
        <w:rPr>
          <w:rFonts w:ascii="Times New Roman" w:hAnsi="Times New Roman" w:cs="Times New Roman"/>
          <w:sz w:val="28"/>
          <w:szCs w:val="28"/>
          <w:lang w:val="uk-UA"/>
        </w:rPr>
        <w:t>конання заходів Програми на 202</w:t>
      </w:r>
      <w:r w:rsidR="00D17E3B">
        <w:rPr>
          <w:rFonts w:ascii="Times New Roman" w:hAnsi="Times New Roman" w:cs="Times New Roman"/>
          <w:sz w:val="28"/>
          <w:szCs w:val="28"/>
          <w:lang w:val="uk-UA"/>
        </w:rPr>
        <w:t xml:space="preserve">4 рік 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>передбачено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Луцької міської територіальної громади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818">
        <w:rPr>
          <w:rFonts w:ascii="Times New Roman" w:hAnsi="Times New Roman" w:cs="Times New Roman"/>
          <w:sz w:val="28"/>
          <w:szCs w:val="28"/>
          <w:lang w:val="uk-UA"/>
        </w:rPr>
        <w:t>71 704,9</w:t>
      </w:r>
      <w:r w:rsidR="00562C2E" w:rsidRPr="007056A8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62C2E">
        <w:rPr>
          <w:rFonts w:ascii="Times New Roman" w:hAnsi="Times New Roman" w:cs="Times New Roman"/>
          <w:sz w:val="28"/>
          <w:szCs w:val="28"/>
          <w:lang w:val="uk-UA"/>
        </w:rPr>
        <w:t xml:space="preserve"> (2021 рік 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62C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>
        <w:rPr>
          <w:rFonts w:ascii="Times New Roman" w:hAnsi="Times New Roman" w:cs="Times New Roman"/>
          <w:sz w:val="28"/>
          <w:szCs w:val="28"/>
          <w:lang w:val="uk-UA"/>
        </w:rPr>
        <w:t>38 292,9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95BD1">
        <w:rPr>
          <w:rFonts w:ascii="Times New Roman" w:hAnsi="Times New Roman" w:cs="Times New Roman"/>
          <w:sz w:val="28"/>
          <w:szCs w:val="28"/>
          <w:lang w:val="uk-UA"/>
        </w:rPr>
        <w:t>грн, 2022 рік – 50 666,1 тис.</w:t>
      </w:r>
      <w:r w:rsidR="009D0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BD1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D17E3B">
        <w:rPr>
          <w:rFonts w:ascii="Times New Roman" w:hAnsi="Times New Roman" w:cs="Times New Roman"/>
          <w:sz w:val="28"/>
          <w:szCs w:val="28"/>
          <w:lang w:val="uk-UA"/>
        </w:rPr>
        <w:t xml:space="preserve">, 2023 рік 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1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37A">
        <w:rPr>
          <w:rFonts w:ascii="Times New Roman" w:hAnsi="Times New Roman" w:cs="Times New Roman"/>
          <w:sz w:val="28"/>
          <w:szCs w:val="28"/>
          <w:lang w:val="uk-UA"/>
        </w:rPr>
        <w:t>52 516,4</w:t>
      </w:r>
      <w:r w:rsidR="00B9037A" w:rsidRPr="007056A8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62C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D2521" w:rsidRPr="009D2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з загального фонду 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EBE">
        <w:rPr>
          <w:rFonts w:ascii="Times New Roman" w:hAnsi="Times New Roman" w:cs="Times New Roman"/>
          <w:sz w:val="28"/>
          <w:szCs w:val="28"/>
          <w:lang w:val="uk-UA"/>
        </w:rPr>
        <w:t>58 748,9</w:t>
      </w:r>
      <w:r w:rsidR="00705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457C" w:rsidRPr="007056A8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A457C" w:rsidRPr="007056A8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8A4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 xml:space="preserve">(2021 рік 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31 026,9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>грн, 2022 рік – 45 466,1 тис. грн</w:t>
      </w:r>
      <w:r w:rsidR="00B9037A">
        <w:rPr>
          <w:rFonts w:ascii="Times New Roman" w:hAnsi="Times New Roman" w:cs="Times New Roman"/>
          <w:sz w:val="28"/>
          <w:szCs w:val="28"/>
          <w:lang w:val="uk-UA"/>
        </w:rPr>
        <w:t xml:space="preserve">, 2023 рік 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9037A">
        <w:rPr>
          <w:rFonts w:ascii="Times New Roman" w:hAnsi="Times New Roman" w:cs="Times New Roman"/>
          <w:sz w:val="28"/>
          <w:szCs w:val="28"/>
          <w:lang w:val="uk-UA"/>
        </w:rPr>
        <w:t xml:space="preserve"> 49 316,4 </w:t>
      </w:r>
      <w:r w:rsidR="00B9037A" w:rsidRPr="007056A8">
        <w:rPr>
          <w:rFonts w:ascii="Times New Roman" w:hAnsi="Times New Roman" w:cs="Times New Roman"/>
          <w:sz w:val="28"/>
          <w:szCs w:val="28"/>
          <w:lang w:val="uk-UA"/>
        </w:rPr>
        <w:t>тис. грн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, з бюджету розвитку міста 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37A">
        <w:rPr>
          <w:rFonts w:ascii="Times New Roman" w:hAnsi="Times New Roman" w:cs="Times New Roman"/>
          <w:sz w:val="28"/>
          <w:szCs w:val="28"/>
          <w:lang w:val="uk-UA"/>
        </w:rPr>
        <w:t>12 956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 xml:space="preserve">,0 тис. грн (2021 рік 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7 266,0 тис. 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>грн, 2022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>рік – 4 900,0 тис. грн</w:t>
      </w:r>
      <w:r w:rsidR="00B9037A">
        <w:rPr>
          <w:rFonts w:ascii="Times New Roman" w:hAnsi="Times New Roman" w:cs="Times New Roman"/>
          <w:sz w:val="28"/>
          <w:szCs w:val="28"/>
          <w:lang w:val="uk-UA"/>
        </w:rPr>
        <w:t>, 2023 рік – 3 200,0 тис. грн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16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604E05" w14:textId="77777777" w:rsidR="00E87256" w:rsidRDefault="00C16F5D" w:rsidP="00A44B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рофінансовано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бюджету Луцької 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BF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77E44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856BF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F1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F3638">
        <w:rPr>
          <w:rFonts w:ascii="Times New Roman" w:hAnsi="Times New Roman" w:cs="Times New Roman"/>
          <w:sz w:val="28"/>
          <w:szCs w:val="28"/>
          <w:lang w:val="uk-UA"/>
        </w:rPr>
        <w:t xml:space="preserve"> 66 237,6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6498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виконання 2021 рік –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0C7">
        <w:rPr>
          <w:rFonts w:ascii="Times New Roman" w:hAnsi="Times New Roman" w:cs="Times New Roman"/>
          <w:sz w:val="28"/>
          <w:szCs w:val="28"/>
          <w:lang w:val="uk-UA"/>
        </w:rPr>
        <w:t>99,2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 xml:space="preserve"> % 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>, 2022 рік – 91,9 %</w:t>
      </w:r>
      <w:r w:rsidR="00ED40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77E44">
        <w:rPr>
          <w:rFonts w:ascii="Times New Roman" w:hAnsi="Times New Roman" w:cs="Times New Roman"/>
          <w:sz w:val="28"/>
          <w:szCs w:val="28"/>
          <w:lang w:val="uk-UA"/>
        </w:rPr>
        <w:t xml:space="preserve">2023 рік </w:t>
      </w:r>
      <w:r w:rsidR="008B409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77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09D">
        <w:rPr>
          <w:rFonts w:ascii="Times New Roman" w:hAnsi="Times New Roman" w:cs="Times New Roman"/>
          <w:sz w:val="28"/>
          <w:szCs w:val="28"/>
          <w:lang w:val="uk-UA"/>
        </w:rPr>
        <w:t>88,4 %</w:t>
      </w:r>
      <w:r w:rsidR="001F36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7E44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1F3638">
        <w:rPr>
          <w:rFonts w:ascii="Times New Roman" w:hAnsi="Times New Roman" w:cs="Times New Roman"/>
          <w:sz w:val="28"/>
          <w:szCs w:val="28"/>
          <w:lang w:val="uk-UA"/>
        </w:rPr>
        <w:t xml:space="preserve"> рік – 92,4</w:t>
      </w:r>
      <w:r w:rsidR="00291010">
        <w:rPr>
          <w:rFonts w:ascii="Times New Roman" w:hAnsi="Times New Roman" w:cs="Times New Roman"/>
          <w:sz w:val="28"/>
          <w:szCs w:val="28"/>
          <w:lang w:val="uk-UA"/>
        </w:rPr>
        <w:t xml:space="preserve"> %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з загального фонду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F3638">
        <w:rPr>
          <w:rFonts w:ascii="Times New Roman" w:hAnsi="Times New Roman" w:cs="Times New Roman"/>
          <w:sz w:val="28"/>
          <w:szCs w:val="28"/>
          <w:lang w:val="uk-UA"/>
        </w:rPr>
        <w:t xml:space="preserve"> 56 381,4</w:t>
      </w:r>
      <w:r w:rsidR="00F53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="00A106B1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1F3638">
        <w:rPr>
          <w:rFonts w:ascii="Times New Roman" w:hAnsi="Times New Roman" w:cs="Times New Roman"/>
          <w:sz w:val="28"/>
          <w:szCs w:val="28"/>
          <w:lang w:val="uk-UA"/>
        </w:rPr>
        <w:t xml:space="preserve"> (96,0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 % виконання)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, з бюджету розвитку міста </w:t>
      </w:r>
      <w:r w:rsidR="001F3638">
        <w:rPr>
          <w:rFonts w:ascii="Times New Roman" w:hAnsi="Times New Roman" w:cs="Times New Roman"/>
          <w:sz w:val="28"/>
          <w:szCs w:val="28"/>
          <w:lang w:val="uk-UA"/>
        </w:rPr>
        <w:t>– 9 856,2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9C45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73A4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1F3638">
        <w:rPr>
          <w:rFonts w:ascii="Times New Roman" w:hAnsi="Times New Roman" w:cs="Times New Roman"/>
          <w:sz w:val="28"/>
          <w:szCs w:val="28"/>
          <w:lang w:val="uk-UA"/>
        </w:rPr>
        <w:t xml:space="preserve"> (76,1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 % виконання)</w:t>
      </w:r>
      <w:r w:rsidR="00CC734B">
        <w:rPr>
          <w:rFonts w:ascii="Times New Roman" w:hAnsi="Times New Roman" w:cs="Times New Roman"/>
          <w:sz w:val="28"/>
          <w:szCs w:val="28"/>
          <w:lang w:val="uk-UA"/>
        </w:rPr>
        <w:t>, в тому числі</w:t>
      </w:r>
      <w:r w:rsidR="000873A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F9E11D2" w14:textId="77777777" w:rsidR="00E87256" w:rsidRDefault="000873A4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утримання позаштатної військов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-лікарської комісії </w:t>
      </w:r>
      <w:r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1F76C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 9 286,0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тис. грн;</w:t>
      </w:r>
    </w:p>
    <w:p w14:paraId="6E1E96CE" w14:textId="77777777" w:rsidR="00E87256" w:rsidRDefault="00993F16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утримання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</w:t>
      </w:r>
      <w:r w:rsidR="00AC33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місії з питань приписки </w:t>
      </w:r>
      <w:r w:rsidR="00AC3351" w:rsidRPr="00AC3351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r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Луцького об’єднаного міського територіального центру комплектування та соціальної підтримки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1F76C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приписки – 1 650,8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тис. </w:t>
      </w:r>
      <w:r w:rsidR="00AA52F3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грн;</w:t>
      </w:r>
    </w:p>
    <w:p w14:paraId="268C3DDF" w14:textId="77777777" w:rsidR="00E87256" w:rsidRDefault="000873A4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оплату енергоносіїв (комунальних послу), спожитих комунальними підприємствами охорони здоров'я Луцької </w:t>
      </w:r>
      <w:r w:rsidR="009C45E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міської територіальної громади</w:t>
      </w:r>
      <w:r w:rsidR="001F76C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40</w:t>
      </w:r>
      <w:r w:rsidR="00A44B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1F76C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361</w:t>
      </w:r>
      <w:r w:rsidR="00A44B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,</w:t>
      </w:r>
      <w:r w:rsidR="001F76C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7</w:t>
      </w:r>
      <w:r w:rsidR="00A44B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AA52F3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тис. грн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14:paraId="6D2E502D" w14:textId="77777777" w:rsidR="00E87256" w:rsidRDefault="000873A4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проведення </w:t>
      </w:r>
      <w:r w:rsidR="00261EF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витрат </w:t>
      </w:r>
      <w:r w:rsidR="00261EF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61EF5" w:rsidRPr="00EA3E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261EF5" w:rsidRPr="00EA3E3A">
        <w:rPr>
          <w:rFonts w:ascii="Times New Roman" w:hAnsi="Times New Roman" w:cs="Times New Roman"/>
          <w:sz w:val="28"/>
          <w:szCs w:val="28"/>
          <w:lang w:val="uk-UA"/>
        </w:rPr>
        <w:t xml:space="preserve">оточні видатки на утримання приміщення, обладнання та комунікацій; </w:t>
      </w:r>
      <w:r w:rsidR="00261EF5">
        <w:rPr>
          <w:rFonts w:ascii="Times New Roman" w:hAnsi="Times New Roman" w:cs="Times New Roman"/>
          <w:sz w:val="28"/>
          <w:szCs w:val="28"/>
          <w:lang w:val="uk-UA"/>
        </w:rPr>
        <w:t>оплату</w:t>
      </w:r>
      <w:r w:rsidR="00261EF5" w:rsidRPr="00EA3E3A">
        <w:rPr>
          <w:rFonts w:ascii="Times New Roman" w:hAnsi="Times New Roman" w:cs="Times New Roman"/>
          <w:sz w:val="28"/>
          <w:szCs w:val="28"/>
          <w:lang w:val="uk-UA"/>
        </w:rPr>
        <w:t xml:space="preserve"> послуг, пов’язаних із наданням технічних та комунікаційних робіт, </w:t>
      </w:r>
      <w:r w:rsidR="00261EF5">
        <w:rPr>
          <w:rFonts w:ascii="Times New Roman" w:hAnsi="Times New Roman" w:cs="Times New Roman"/>
          <w:sz w:val="28"/>
          <w:szCs w:val="28"/>
          <w:lang w:val="uk-UA"/>
        </w:rPr>
        <w:t>закупівлю предметів</w:t>
      </w:r>
      <w:r w:rsidR="00261EF5" w:rsidRPr="00EA3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EF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КП «</w:t>
      </w:r>
      <w:r w:rsidR="00261EF5"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</w:t>
      </w:r>
      <w:r w:rsidR="00261EF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кий клінічний пологовий будинок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»</w:t>
      </w:r>
      <w:r w:rsidR="00261EF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)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</w:t>
      </w:r>
      <w:r w:rsidR="001F76C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1 082,9</w:t>
      </w:r>
      <w:r w:rsidR="000951E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тис.</w:t>
      </w:r>
      <w:r w:rsidR="002204B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грн;</w:t>
      </w:r>
    </w:p>
    <w:p w14:paraId="24C6C915" w14:textId="77777777" w:rsidR="00A44BA4" w:rsidRDefault="00A44BA4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надання поворотної фінансової допомоги 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кий клінічний пологовий будинок» </w:t>
      </w:r>
      <w:r w:rsidR="009C45E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4 000,0 тис. грн;</w:t>
      </w:r>
    </w:p>
    <w:p w14:paraId="791CF27B" w14:textId="77777777" w:rsidR="00E87256" w:rsidRDefault="000951E1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пр</w:t>
      </w:r>
      <w:r w:rsidR="00DF0BA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идбання медичного обладнання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кий клініч</w:t>
      </w:r>
      <w:r w:rsidR="0032000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ний пологовий будинок» – 1 267</w:t>
      </w:r>
      <w:r w:rsidR="00B923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,6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тис. </w:t>
      </w:r>
      <w:r w:rsidR="00B923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 (система офісної гістероскопії, ліжка для новонароджених</w:t>
      </w:r>
      <w:r w:rsidR="0088012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, датчики до УЗД апарату</w:t>
      </w:r>
      <w:r w:rsidR="00B923E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, кондиціонери, медичні меблі у стерилізаційне відділення, операційний стіл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668F604D" w14:textId="77777777" w:rsidR="0088012A" w:rsidRDefault="00B910D7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закупівлю</w:t>
      </w:r>
      <w:r w:rsidR="0088012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КП «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Медичне об’</w:t>
      </w:r>
      <w:r w:rsidRPr="00B910D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єднання Луцької міської територіальної громади</w:t>
      </w:r>
      <w:r w:rsidR="0088012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»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рентгенологічного апарату для консультативно-діагностичного центру (пр</w:t>
      </w:r>
      <w:r w:rsidR="009C45E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-т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Волі,</w:t>
      </w:r>
      <w:r w:rsidR="009C45E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66) </w:t>
      </w:r>
      <w:r w:rsidR="009C45E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4 587,0</w:t>
      </w:r>
      <w:r w:rsidR="00830B2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тис. грн.</w:t>
      </w:r>
    </w:p>
    <w:p w14:paraId="256E617C" w14:textId="77777777" w:rsidR="00DF0BA7" w:rsidRDefault="00DF0BA7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закупівлю КП «Луцька міська клінічна стоматологічна поліклініка» комп’</w:t>
      </w:r>
      <w:r w:rsidRPr="00A8021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ютерного томограф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а</w:t>
      </w:r>
      <w:r w:rsidR="009C45E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2 600,0 тис. грн;</w:t>
      </w:r>
    </w:p>
    <w:p w14:paraId="169EA106" w14:textId="77777777" w:rsidR="00DF0BA7" w:rsidRDefault="00DF0BA7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придбання тренажера (імітатора легкового автомобіля) КП</w:t>
      </w:r>
      <w:r w:rsidR="009C45E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«Медичний центр реабілітації учасників бойових дій Луцької міської</w:t>
      </w:r>
      <w:r w:rsidR="0032000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територіальної громади» – 439,5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тис. грн;</w:t>
      </w:r>
    </w:p>
    <w:p w14:paraId="5E9427E3" w14:textId="77777777" w:rsidR="00320005" w:rsidRDefault="00320005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lastRenderedPageBreak/>
        <w:t>на придбання комп’</w:t>
      </w:r>
      <w:r w:rsidRPr="0032000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ютерної оргтехніки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КП «</w:t>
      </w:r>
      <w:r w:rsidRPr="00DC619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Медичний центр реабілітації учасників бойових дій Луцької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міської територіальної громади» </w:t>
      </w:r>
      <w:r w:rsidR="009C45E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389,6 тис. грн.</w:t>
      </w:r>
    </w:p>
    <w:p w14:paraId="74CB1EF5" w14:textId="77777777" w:rsidR="00DF0BA7" w:rsidRDefault="00DC6192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</w:t>
      </w:r>
      <w:r w:rsidRPr="00DC619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капітальний ремонт системи блискавкозахисту, пожежної сигналізації та мовленнєвого оповіщення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КП «</w:t>
      </w:r>
      <w:r w:rsidRPr="00DC619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Медичний центр реабілітації учасників бойових дій Луцької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міськ</w:t>
      </w:r>
      <w:r w:rsidR="009C45E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 територіальної громади» –</w:t>
      </w:r>
      <w:r w:rsidR="0032000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572,5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тис.</w:t>
      </w:r>
      <w:r w:rsidR="001E336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грн.</w:t>
      </w:r>
    </w:p>
    <w:p w14:paraId="2F6F81A2" w14:textId="77777777" w:rsidR="00DF0BA7" w:rsidRDefault="00DF0BA7" w:rsidP="006F0E70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63CCFB97" w14:textId="77777777" w:rsidR="00DF0BA7" w:rsidRDefault="00DF0BA7" w:rsidP="00DF0BA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49DCC498" w14:textId="77777777" w:rsidR="00E87256" w:rsidRDefault="00E87256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356ED4E9" w14:textId="77777777" w:rsidR="00E87256" w:rsidRDefault="00E87256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77EAB260" w14:textId="005B8484" w:rsidR="007A4A10" w:rsidRDefault="00C90F74" w:rsidP="00CC48FA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ачальник управ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ління              </w:t>
      </w:r>
      <w:r w:rsidR="00E87256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</w:t>
      </w:r>
    </w:p>
    <w:p w14:paraId="51F76922" w14:textId="0E0B6D7F" w:rsidR="00CC48FA" w:rsidRDefault="00346C90" w:rsidP="00CC48FA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охорони здоров’</w:t>
      </w:r>
      <w:r w:rsidRPr="00BC1D72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я</w:t>
      </w:r>
      <w:r w:rsidR="00CC48FA" w:rsidRPr="00CC48F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CC48F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CC48F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CC48F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CC48F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CC48F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CC48F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CC48F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Володимир ЛОТВІН</w:t>
      </w:r>
    </w:p>
    <w:p w14:paraId="01CA14E0" w14:textId="1B892B80" w:rsidR="00346C90" w:rsidRPr="00346C90" w:rsidRDefault="00346C90" w:rsidP="00E87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46C90" w:rsidRPr="00346C90" w:rsidSect="009C45E2">
      <w:headerReference w:type="default" r:id="rId7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2D6F" w14:textId="77777777" w:rsidR="00B33A08" w:rsidRDefault="00B33A08" w:rsidP="009C45E2">
      <w:pPr>
        <w:spacing w:after="0" w:line="240" w:lineRule="auto"/>
      </w:pPr>
      <w:r>
        <w:separator/>
      </w:r>
    </w:p>
  </w:endnote>
  <w:endnote w:type="continuationSeparator" w:id="0">
    <w:p w14:paraId="76B1BC2C" w14:textId="77777777" w:rsidR="00B33A08" w:rsidRDefault="00B33A08" w:rsidP="009C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10C6" w14:textId="77777777" w:rsidR="00B33A08" w:rsidRDefault="00B33A08" w:rsidP="009C45E2">
      <w:pPr>
        <w:spacing w:after="0" w:line="240" w:lineRule="auto"/>
      </w:pPr>
      <w:r>
        <w:separator/>
      </w:r>
    </w:p>
  </w:footnote>
  <w:footnote w:type="continuationSeparator" w:id="0">
    <w:p w14:paraId="2A4497BA" w14:textId="77777777" w:rsidR="00B33A08" w:rsidRDefault="00B33A08" w:rsidP="009C4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150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50F88D" w14:textId="77777777" w:rsidR="009C45E2" w:rsidRPr="009C45E2" w:rsidRDefault="009C45E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45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45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45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C45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5BE92D" w14:textId="77777777" w:rsidR="009C45E2" w:rsidRDefault="009C45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696804">
    <w:abstractNumId w:val="1"/>
  </w:num>
  <w:num w:numId="2" w16cid:durableId="1102144883">
    <w:abstractNumId w:val="0"/>
  </w:num>
  <w:num w:numId="3" w16cid:durableId="126565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9A"/>
    <w:rsid w:val="000161B2"/>
    <w:rsid w:val="000168E7"/>
    <w:rsid w:val="0002078F"/>
    <w:rsid w:val="00037D99"/>
    <w:rsid w:val="00046C93"/>
    <w:rsid w:val="00062ED6"/>
    <w:rsid w:val="00064F97"/>
    <w:rsid w:val="00076498"/>
    <w:rsid w:val="000873A4"/>
    <w:rsid w:val="000951E1"/>
    <w:rsid w:val="000A4E58"/>
    <w:rsid w:val="000A55FD"/>
    <w:rsid w:val="000E00BE"/>
    <w:rsid w:val="000E18C8"/>
    <w:rsid w:val="000E5E54"/>
    <w:rsid w:val="00117C5F"/>
    <w:rsid w:val="00143743"/>
    <w:rsid w:val="001608AC"/>
    <w:rsid w:val="0018492E"/>
    <w:rsid w:val="00187217"/>
    <w:rsid w:val="00187C49"/>
    <w:rsid w:val="001C767D"/>
    <w:rsid w:val="001E336D"/>
    <w:rsid w:val="001F147F"/>
    <w:rsid w:val="001F3638"/>
    <w:rsid w:val="001F3C43"/>
    <w:rsid w:val="001F76CF"/>
    <w:rsid w:val="0020154D"/>
    <w:rsid w:val="002204B7"/>
    <w:rsid w:val="002474BF"/>
    <w:rsid w:val="002554FD"/>
    <w:rsid w:val="00261EF5"/>
    <w:rsid w:val="0026774C"/>
    <w:rsid w:val="00291010"/>
    <w:rsid w:val="002A257D"/>
    <w:rsid w:val="002D6BB5"/>
    <w:rsid w:val="002E3690"/>
    <w:rsid w:val="00320005"/>
    <w:rsid w:val="0034009F"/>
    <w:rsid w:val="00346C90"/>
    <w:rsid w:val="0035090A"/>
    <w:rsid w:val="00355285"/>
    <w:rsid w:val="00377E44"/>
    <w:rsid w:val="00386F3D"/>
    <w:rsid w:val="00394607"/>
    <w:rsid w:val="003F434C"/>
    <w:rsid w:val="00404340"/>
    <w:rsid w:val="004048CB"/>
    <w:rsid w:val="00442E51"/>
    <w:rsid w:val="00453505"/>
    <w:rsid w:val="0046025A"/>
    <w:rsid w:val="004724ED"/>
    <w:rsid w:val="004C1D8B"/>
    <w:rsid w:val="004D0124"/>
    <w:rsid w:val="004F1CE8"/>
    <w:rsid w:val="00503EBE"/>
    <w:rsid w:val="00514A93"/>
    <w:rsid w:val="00531B2B"/>
    <w:rsid w:val="00550725"/>
    <w:rsid w:val="00562C2E"/>
    <w:rsid w:val="00585A4D"/>
    <w:rsid w:val="005B4D97"/>
    <w:rsid w:val="005C3191"/>
    <w:rsid w:val="00610A6C"/>
    <w:rsid w:val="00632E32"/>
    <w:rsid w:val="00643BF3"/>
    <w:rsid w:val="00650818"/>
    <w:rsid w:val="006835D0"/>
    <w:rsid w:val="00686EC3"/>
    <w:rsid w:val="0069257D"/>
    <w:rsid w:val="0069517F"/>
    <w:rsid w:val="006955A6"/>
    <w:rsid w:val="006A1D10"/>
    <w:rsid w:val="006A2AA4"/>
    <w:rsid w:val="006A553A"/>
    <w:rsid w:val="006C2216"/>
    <w:rsid w:val="006C4FC4"/>
    <w:rsid w:val="006C6AE7"/>
    <w:rsid w:val="006F0E70"/>
    <w:rsid w:val="006F2219"/>
    <w:rsid w:val="006F5D2B"/>
    <w:rsid w:val="007056A8"/>
    <w:rsid w:val="007229ED"/>
    <w:rsid w:val="00751B2E"/>
    <w:rsid w:val="007A4A10"/>
    <w:rsid w:val="007B49A7"/>
    <w:rsid w:val="007B4F56"/>
    <w:rsid w:val="007C7670"/>
    <w:rsid w:val="007F3046"/>
    <w:rsid w:val="0082347B"/>
    <w:rsid w:val="00826867"/>
    <w:rsid w:val="00830B22"/>
    <w:rsid w:val="008544ED"/>
    <w:rsid w:val="00856BF5"/>
    <w:rsid w:val="00857B30"/>
    <w:rsid w:val="0088012A"/>
    <w:rsid w:val="008827D8"/>
    <w:rsid w:val="00884DF0"/>
    <w:rsid w:val="008A457C"/>
    <w:rsid w:val="008B409D"/>
    <w:rsid w:val="008E6475"/>
    <w:rsid w:val="008F2ECC"/>
    <w:rsid w:val="00946D73"/>
    <w:rsid w:val="00993F16"/>
    <w:rsid w:val="00996E64"/>
    <w:rsid w:val="009C10DB"/>
    <w:rsid w:val="009C45E2"/>
    <w:rsid w:val="009C7571"/>
    <w:rsid w:val="009D09E3"/>
    <w:rsid w:val="009D2521"/>
    <w:rsid w:val="009D59D6"/>
    <w:rsid w:val="009E69D5"/>
    <w:rsid w:val="009F5B6D"/>
    <w:rsid w:val="009F7D9A"/>
    <w:rsid w:val="00A07CC6"/>
    <w:rsid w:val="00A106B1"/>
    <w:rsid w:val="00A36E98"/>
    <w:rsid w:val="00A44BA4"/>
    <w:rsid w:val="00A66861"/>
    <w:rsid w:val="00A71D83"/>
    <w:rsid w:val="00A8021F"/>
    <w:rsid w:val="00A85F49"/>
    <w:rsid w:val="00A8781D"/>
    <w:rsid w:val="00AA52F3"/>
    <w:rsid w:val="00AB1C7A"/>
    <w:rsid w:val="00AC3351"/>
    <w:rsid w:val="00AD6F95"/>
    <w:rsid w:val="00B01B6D"/>
    <w:rsid w:val="00B23742"/>
    <w:rsid w:val="00B33A08"/>
    <w:rsid w:val="00B61E0C"/>
    <w:rsid w:val="00B82A78"/>
    <w:rsid w:val="00B9037A"/>
    <w:rsid w:val="00B910D7"/>
    <w:rsid w:val="00B923EA"/>
    <w:rsid w:val="00BA155F"/>
    <w:rsid w:val="00BA235A"/>
    <w:rsid w:val="00BC1D72"/>
    <w:rsid w:val="00BD64B9"/>
    <w:rsid w:val="00BD734E"/>
    <w:rsid w:val="00BE3822"/>
    <w:rsid w:val="00BF77A2"/>
    <w:rsid w:val="00C04986"/>
    <w:rsid w:val="00C11C33"/>
    <w:rsid w:val="00C16CC0"/>
    <w:rsid w:val="00C16F5D"/>
    <w:rsid w:val="00C26F31"/>
    <w:rsid w:val="00C42FEC"/>
    <w:rsid w:val="00C90F74"/>
    <w:rsid w:val="00CA6F7C"/>
    <w:rsid w:val="00CC48FA"/>
    <w:rsid w:val="00CC734B"/>
    <w:rsid w:val="00CE4F01"/>
    <w:rsid w:val="00D15DD5"/>
    <w:rsid w:val="00D17228"/>
    <w:rsid w:val="00D17E3B"/>
    <w:rsid w:val="00D61265"/>
    <w:rsid w:val="00D6773C"/>
    <w:rsid w:val="00D74FBD"/>
    <w:rsid w:val="00D74FDF"/>
    <w:rsid w:val="00D750DD"/>
    <w:rsid w:val="00D965DB"/>
    <w:rsid w:val="00DC6192"/>
    <w:rsid w:val="00DE3D1F"/>
    <w:rsid w:val="00DF0BA7"/>
    <w:rsid w:val="00E15FA7"/>
    <w:rsid w:val="00E16AB0"/>
    <w:rsid w:val="00E5209D"/>
    <w:rsid w:val="00E523E6"/>
    <w:rsid w:val="00E55E11"/>
    <w:rsid w:val="00E610C7"/>
    <w:rsid w:val="00E77263"/>
    <w:rsid w:val="00E81A4C"/>
    <w:rsid w:val="00E87256"/>
    <w:rsid w:val="00E95BD1"/>
    <w:rsid w:val="00EA26D3"/>
    <w:rsid w:val="00EA3E3A"/>
    <w:rsid w:val="00EB0799"/>
    <w:rsid w:val="00EB2F1A"/>
    <w:rsid w:val="00ED4091"/>
    <w:rsid w:val="00EF77B2"/>
    <w:rsid w:val="00F030F4"/>
    <w:rsid w:val="00F535D4"/>
    <w:rsid w:val="00F55D80"/>
    <w:rsid w:val="00F80518"/>
    <w:rsid w:val="00F97159"/>
    <w:rsid w:val="00FA36BA"/>
    <w:rsid w:val="00FA7B1B"/>
    <w:rsid w:val="00FB546C"/>
    <w:rsid w:val="00FB6EA8"/>
    <w:rsid w:val="00FC649E"/>
    <w:rsid w:val="00FC64AD"/>
    <w:rsid w:val="00FC72D1"/>
    <w:rsid w:val="00FD1B0E"/>
    <w:rsid w:val="00FD680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5077E"/>
  <w15:docId w15:val="{4FD6B165-F774-4394-B058-775AD868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9C45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C45E2"/>
  </w:style>
  <w:style w:type="paragraph" w:styleId="a7">
    <w:name w:val="footer"/>
    <w:basedOn w:val="a"/>
    <w:link w:val="a8"/>
    <w:uiPriority w:val="99"/>
    <w:unhideWhenUsed/>
    <w:rsid w:val="009C45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C4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3817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Ірина Демидюк</cp:lastModifiedBy>
  <cp:revision>171</cp:revision>
  <cp:lastPrinted>2023-02-22T13:04:00Z</cp:lastPrinted>
  <dcterms:created xsi:type="dcterms:W3CDTF">2021-12-16T08:08:00Z</dcterms:created>
  <dcterms:modified xsi:type="dcterms:W3CDTF">2025-01-27T07:18:00Z</dcterms:modified>
</cp:coreProperties>
</file>