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ІНФОРМАЦІЯ ПРО ВИКОНАННЯ ПРОГРАМИ</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ЕКОНОМІЧНОГО і СОЦІАЛЬНОГО РОЗВИТКУ</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ЛУЦЬКОЇ МІСЬКОЇ ТЕРИТОРІАЛЬНОЇ ГРОМАДИ ЗА 2024 РІК</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1. </w:t>
      </w:r>
      <w:r>
        <w:rPr>
          <w:rFonts w:cs="Times New Roman" w:ascii="Times New Roman" w:hAnsi="Times New Roman"/>
          <w:b/>
          <w:smallCaps/>
          <w:color w:val="000000"/>
          <w:sz w:val="26"/>
          <w:szCs w:val="26"/>
          <w:lang w:val="uk-UA"/>
        </w:rPr>
        <w:t>КОРОТКІ ПІДСУМКИ</w:t>
      </w:r>
    </w:p>
    <w:p>
      <w:pPr>
        <w:pStyle w:val="Normal"/>
        <w:jc w:val="center"/>
        <w:rPr>
          <w:rFonts w:ascii="Times New Roman" w:hAnsi="Times New Roman"/>
          <w:color w:val="000000"/>
          <w:sz w:val="26"/>
          <w:szCs w:val="26"/>
          <w:lang w:val="uk-UA"/>
        </w:rPr>
      </w:pPr>
      <w:r>
        <w:rPr>
          <w:rFonts w:cs="Times New Roman" w:ascii="Times New Roman" w:hAnsi="Times New Roman"/>
          <w:b/>
          <w:smallCaps/>
          <w:color w:val="000000"/>
          <w:sz w:val="26"/>
          <w:szCs w:val="26"/>
          <w:lang w:val="uk-UA"/>
        </w:rPr>
        <w:t xml:space="preserve">ЕКОНОМІЧНОГО і СОЦІАЛЬНОГО РОЗВИТКУ </w:t>
      </w:r>
    </w:p>
    <w:p>
      <w:pPr>
        <w:pStyle w:val="Normal"/>
        <w:jc w:val="center"/>
        <w:rPr>
          <w:rFonts w:ascii="Times New Roman" w:hAnsi="Times New Roman"/>
          <w:color w:val="000000"/>
          <w:sz w:val="26"/>
          <w:szCs w:val="26"/>
          <w:lang w:val="uk-UA"/>
        </w:rPr>
      </w:pPr>
      <w:r>
        <w:rPr>
          <w:rFonts w:cs="Times New Roman" w:ascii="Times New Roman" w:hAnsi="Times New Roman"/>
          <w:b/>
          <w:smallCaps/>
          <w:color w:val="000000"/>
          <w:sz w:val="26"/>
          <w:szCs w:val="26"/>
          <w:lang w:val="uk-UA"/>
        </w:rPr>
        <w:t>ЛУЦЬКОЇ МІСЬКОЇ ТЕРИТОРІАЛЬНОЇ ГРОМАДИ</w:t>
      </w:r>
    </w:p>
    <w:p>
      <w:pPr>
        <w:pStyle w:val="Normal"/>
        <w:ind w:left="0" w:righ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Standard"/>
        <w:ind w:left="0" w:right="0" w:firstLine="567"/>
        <w:jc w:val="both"/>
        <w:rPr/>
      </w:pPr>
      <w:r>
        <w:rPr>
          <w:rFonts w:ascii="Times New Roman" w:hAnsi="Times New Roman"/>
          <w:color w:val="000000"/>
          <w:sz w:val="26"/>
          <w:szCs w:val="26"/>
          <w:lang w:val="uk-UA"/>
        </w:rPr>
        <w:t xml:space="preserve">Згідно рішення Луцької міської ради від 20.12.2023 № 54/34 «Про Програму економічного і соціального розвитку Луцької міської територіальної громади на 2024 рік» (далі – Програма), головними завданнями міської ради та її виконавчих органів у 2024 році були: </w:t>
      </w:r>
      <w:r>
        <w:rPr>
          <w:rStyle w:val="Fontstyle01"/>
          <w:rFonts w:ascii="Times New Roman" w:hAnsi="Times New Roman"/>
          <w:color w:val="000000"/>
          <w:sz w:val="26"/>
          <w:szCs w:val="26"/>
          <w:lang w:val="uk-UA" w:eastAsia="uk-UA" w:bidi="ar-SA"/>
        </w:rPr>
        <w:t>допомога Збройним силам України та загонам територіальної оборони,</w:t>
      </w:r>
      <w:r>
        <w:rPr>
          <w:rFonts w:ascii="Times New Roman" w:hAnsi="Times New Roman"/>
          <w:color w:val="000000"/>
          <w:sz w:val="26"/>
          <w:szCs w:val="26"/>
          <w:lang w:val="uk-UA" w:eastAsia="ru-RU" w:bidi="ar-SA"/>
        </w:rPr>
        <w:t xml:space="preserve"> забезпечення захисту населення та території громади, посилення охорони та безпеки об’єктів критичної інфраструктури. Проте Програмою також задекларов</w:t>
      </w:r>
      <w:r>
        <w:rPr>
          <w:rFonts w:ascii="Times New Roman" w:hAnsi="Times New Roman"/>
          <w:color w:val="000000"/>
          <w:sz w:val="26"/>
          <w:szCs w:val="26"/>
          <w:shd w:fill="auto" w:val="clear"/>
          <w:lang w:val="uk-UA" w:eastAsia="ru-RU" w:bidi="ar-SA"/>
        </w:rPr>
        <w:t xml:space="preserve">ані </w:t>
      </w:r>
      <w:r>
        <w:rPr>
          <w:rFonts w:ascii="Times New Roman" w:hAnsi="Times New Roman"/>
          <w:color w:val="000000"/>
          <w:sz w:val="26"/>
          <w:szCs w:val="26"/>
          <w:shd w:fill="auto" w:val="clear"/>
          <w:lang w:val="uk-UA"/>
        </w:rPr>
        <w:t xml:space="preserve">заходи і проєкти спрямовані на економічний, соціальний та культурний </w:t>
      </w:r>
      <w:r>
        <w:rPr>
          <w:rStyle w:val="Fontstyle01"/>
          <w:rFonts w:ascii="Times New Roman" w:hAnsi="Times New Roman"/>
          <w:color w:val="000000"/>
          <w:sz w:val="26"/>
          <w:szCs w:val="26"/>
          <w:shd w:fill="auto" w:val="clear"/>
          <w:lang w:val="uk-UA"/>
        </w:rPr>
        <w:t>розвиток Луцької міської територіальної громади, заходи для підтримки розвитку промислового виробництва, агропромислового комплексу та</w:t>
      </w:r>
      <w:bookmarkStart w:id="0" w:name="_GoBack5"/>
      <w:bookmarkEnd w:id="0"/>
      <w:r>
        <w:rPr>
          <w:rStyle w:val="Fontstyle01"/>
          <w:rFonts w:ascii="Times New Roman" w:hAnsi="Times New Roman"/>
          <w:color w:val="000000"/>
          <w:sz w:val="26"/>
          <w:szCs w:val="26"/>
          <w:shd w:fill="auto" w:val="clear"/>
          <w:lang w:val="uk-UA"/>
        </w:rPr>
        <w:t xml:space="preserve"> підприємництва, для реалізації належної політики соціального захисту населення та впровадження ефективної ветеранської політики, заходи спрямовані на забезпечення стабільної роботи інженерно-транспортної інфраструктури громади.</w:t>
      </w:r>
    </w:p>
    <w:p>
      <w:pPr>
        <w:pStyle w:val="Normal"/>
        <w:ind w:left="0" w:right="0" w:firstLine="567"/>
        <w:jc w:val="both"/>
        <w:rPr>
          <w:rFonts w:ascii="Times New Roman" w:hAnsi="Times New Roman"/>
          <w:color w:val="000000"/>
          <w:sz w:val="26"/>
          <w:szCs w:val="26"/>
          <w:lang w:val="uk-UA" w:eastAsia="ru-RU" w:bidi="ar-SA"/>
        </w:rPr>
      </w:pPr>
      <w:r>
        <w:rPr>
          <w:rFonts w:ascii="Times New Roman" w:hAnsi="Times New Roman"/>
          <w:color w:val="000000"/>
          <w:sz w:val="26"/>
          <w:szCs w:val="26"/>
          <w:lang w:val="uk-UA" w:eastAsia="ru-RU" w:bidi="ar-SA"/>
        </w:rPr>
      </w:r>
    </w:p>
    <w:p>
      <w:pPr>
        <w:pStyle w:val="Normal"/>
        <w:ind w:left="0" w:right="0" w:firstLine="567"/>
        <w:jc w:val="both"/>
        <w:rPr>
          <w:rFonts w:ascii="Times New Roman" w:hAnsi="Times New Roman"/>
          <w:color w:val="000000"/>
          <w:sz w:val="26"/>
          <w:szCs w:val="26"/>
          <w:lang w:val="uk-UA"/>
        </w:rPr>
      </w:pPr>
      <w:r>
        <w:rPr>
          <w:rFonts w:ascii="Times New Roman" w:hAnsi="Times New Roman"/>
          <w:b/>
          <w:bCs/>
          <w:i/>
          <w:iCs/>
          <w:color w:val="000000"/>
          <w:sz w:val="26"/>
          <w:szCs w:val="26"/>
          <w:lang w:val="uk-UA"/>
        </w:rPr>
        <w:t>Підтримка сил безпеки та оборони. Ветеранська політика.</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eastAsia="ru-RU"/>
        </w:rPr>
        <w:t>Сума видатків</w:t>
      </w:r>
      <w:r>
        <w:rPr>
          <w:rFonts w:ascii="Times New Roman" w:hAnsi="Times New Roman"/>
          <w:color w:val="000000"/>
          <w:sz w:val="26"/>
          <w:szCs w:val="26"/>
          <w:lang w:val="uk-UA"/>
        </w:rPr>
        <w:t xml:space="preserve"> бюджету громади, спрямованих на підтримку сил безпеки та оборони, склала 493,3 млн грн, в т. ч. через реалізацію заходів Програми покращення матеріально-технічного забезпечення військових частин та інших військових формувань, проведення заходів територіальної оборони та мобілізаційної підготовки Луцької міської територіальної громади на 2022-2024 роки, Програми забезпечення особистої безпеки громадян та протидії злочинності на 2021-2024 роки, Програми розвитку цивільного захисту Луцької міської територіальної громади на 2021-2025 роки та реалізацію проєктів-переможців </w:t>
      </w:r>
      <w:r>
        <w:rPr>
          <w:rFonts w:ascii="Times New Roman" w:hAnsi="Times New Roman"/>
          <w:color w:val="000000"/>
          <w:sz w:val="26"/>
          <w:szCs w:val="26"/>
          <w:lang w:val="uk-UA" w:eastAsia="ru-RU"/>
        </w:rPr>
        <w:t xml:space="preserve">Бюджету участі </w:t>
      </w:r>
      <w:bookmarkStart w:id="1" w:name="_GoBack1"/>
      <w:bookmarkEnd w:id="1"/>
      <w:r>
        <w:rPr>
          <w:rFonts w:ascii="Times New Roman" w:hAnsi="Times New Roman"/>
          <w:color w:val="000000"/>
          <w:sz w:val="26"/>
          <w:szCs w:val="26"/>
          <w:lang w:val="uk-UA" w:eastAsia="ru-RU"/>
        </w:rPr>
        <w:t xml:space="preserve">(2,8 млн грн). </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заходи із запобігання надзвичайних ситуацій, відповідно до Програми розвитку цивільного захисту Луцької міської територіальної громади на 2021-2025 роки, у 2024 році використано 39,6 млн грн.</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Протягом звітного року продовжували працювати: Центр взаємопідтримки внутрішньо переміщених осіб; Центр підтримки сімей військовополонених і вій</w:t>
      </w:r>
      <w:r>
        <w:rPr>
          <w:rFonts w:ascii="Times New Roman" w:hAnsi="Times New Roman"/>
          <w:color w:val="000000"/>
          <w:sz w:val="26"/>
          <w:szCs w:val="26"/>
          <w:shd w:fill="auto" w:val="clear"/>
          <w:lang w:val="uk-UA"/>
        </w:rPr>
        <w:t xml:space="preserve">ськовослужбовців, які вважаються зниклими безвісти. </w:t>
      </w:r>
    </w:p>
    <w:p>
      <w:pPr>
        <w:pStyle w:val="Normal"/>
        <w:ind w:left="0" w:right="0" w:firstLine="567"/>
        <w:jc w:val="both"/>
        <w:rPr>
          <w:rFonts w:ascii="Times New Roman" w:hAnsi="Times New Roman"/>
          <w:color w:val="000000"/>
          <w:sz w:val="26"/>
          <w:szCs w:val="26"/>
          <w:lang w:val="uk-UA"/>
        </w:rPr>
      </w:pPr>
      <w:r>
        <w:rPr>
          <w:rFonts w:cs="Times New Roman" w:ascii="Times New Roman" w:hAnsi="Times New Roman"/>
          <w:color w:val="000000"/>
          <w:sz w:val="26"/>
          <w:szCs w:val="26"/>
          <w:shd w:fill="auto" w:val="clear"/>
          <w:lang w:val="uk-UA"/>
        </w:rPr>
        <w:t>Відповідно до рішення Луцької міської ради від 31.07.2024 № 61/130 «</w:t>
      </w:r>
      <w:r>
        <w:rPr>
          <w:rFonts w:cs="Times New Roman" w:ascii="Times New Roman" w:hAnsi="Times New Roman"/>
          <w:color w:val="000000"/>
          <w:spacing w:val="3"/>
          <w:sz w:val="26"/>
          <w:szCs w:val="26"/>
          <w:shd w:fill="auto" w:val="clear"/>
          <w:lang w:val="uk-UA"/>
        </w:rPr>
        <w:t>Про створення комунальної установи «ХАБ ВЕТЕРАН» та затвердження її Статуту</w:t>
      </w:r>
      <w:r>
        <w:rPr>
          <w:rFonts w:cs="Times New Roman" w:ascii="Times New Roman" w:hAnsi="Times New Roman"/>
          <w:color w:val="000000"/>
          <w:sz w:val="26"/>
          <w:szCs w:val="26"/>
          <w:shd w:fill="auto" w:val="clear"/>
          <w:lang w:val="uk-UA"/>
        </w:rPr>
        <w:t>» було створено комунальну установу «ХАБ ВЕТЕРАН». Основною метою діяльності установи визначено: забезпечення дотримання прав ветеранів війни, підтримка, розвиток та підвищення рівня їх соціального захисту, психологічної реабілітації, медичного забезпечення, професійної та соціальної адаптації, підтримання їх належного морально-психологічного стану, поліпшення ефективності взаємодії місцевої влади з громадськими організаціями, іншими юридичними особами незалежно від форми власності у сфері підтримки ветеранів війни та членів їх родин тощо. На забезпечення функціонування установи було використано 4 398,4 тис. грн, в т. ч. 3 912,6 тис. грн коштів бюджету громади, 196,3 тис. грн коштів державного бюджету.</w:t>
      </w:r>
    </w:p>
    <w:p>
      <w:pPr>
        <w:pStyle w:val="Normal"/>
        <w:ind w:left="0" w:right="0" w:firstLine="567"/>
        <w:jc w:val="both"/>
        <w:rPr>
          <w:rFonts w:ascii="Times New Roman" w:hAnsi="Times New Roman"/>
          <w:color w:val="000000"/>
          <w:sz w:val="26"/>
          <w:szCs w:val="26"/>
          <w:lang w:val="uk-UA"/>
        </w:rPr>
      </w:pPr>
      <w:r>
        <w:rPr>
          <w:rFonts w:cs="Times New Roman" w:ascii="Times New Roman" w:hAnsi="Times New Roman"/>
          <w:color w:val="000000"/>
          <w:sz w:val="26"/>
          <w:szCs w:val="26"/>
          <w:shd w:fill="auto" w:val="clear"/>
          <w:lang w:val="uk-UA"/>
        </w:rPr>
        <w:t xml:space="preserve">Також КУ «ХАБ ВЕТЕРАН» </w:t>
      </w:r>
      <w:r>
        <w:rPr>
          <w:rFonts w:ascii="Times New Roman" w:hAnsi="Times New Roman"/>
          <w:color w:val="000000"/>
          <w:sz w:val="26"/>
          <w:szCs w:val="26"/>
          <w:shd w:fill="auto" w:val="clear"/>
          <w:lang w:val="uk-UA"/>
        </w:rPr>
        <w:t>отримано благодійну допомогу у вигляді ноутбуків, безпровідних миш та навушників від Благодійної організації «Благодійний фонд “Колумбійська кампанія із заборони наземних мін”»</w:t>
      </w:r>
      <w:r>
        <w:rPr>
          <w:rFonts w:cs="Times New Roman" w:ascii="Times New Roman" w:hAnsi="Times New Roman"/>
          <w:color w:val="000000"/>
          <w:sz w:val="26"/>
          <w:szCs w:val="26"/>
          <w:shd w:fill="auto" w:val="clear"/>
          <w:lang w:val="uk-UA"/>
        </w:rPr>
        <w:t>.</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реалізації комплексної та ефективної державної ветеранської політики на території Луцької міської територіальної громади шляхом створення єдиного ветеранського простору для надання підтримки та забезпечення гідного життя, створення умов для фізичного, психічного, соціального та економічного відновлення ветеранів / ветеранок; постраждалих учасників Революції Гідності; учасників війни; членів сімей загиблих (померлих) ветеранів / ветеранок війни; членів сімей загиблих (померлих) Захисників та Захисниць України; членів сімей військов</w:t>
      </w:r>
      <w:r>
        <w:rPr>
          <w:rFonts w:ascii="Times New Roman" w:hAnsi="Times New Roman"/>
          <w:color w:val="000000"/>
          <w:sz w:val="26"/>
          <w:szCs w:val="26"/>
          <w:shd w:fill="auto" w:val="clear"/>
          <w:lang w:val="uk-UA"/>
        </w:rPr>
        <w:t>ослужбовців, які вважаються зниклими безвісти або перебувають у полоні, міською радою наприкінці року було створено департамент з питань ветеранської політики.</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shd w:fill="auto" w:val="clear"/>
          <w:lang w:val="uk-UA"/>
        </w:rPr>
        <w:t xml:space="preserve">На базі Луцького національного технічного університету розпочав роботу </w:t>
      </w:r>
      <w:r>
        <w:rPr>
          <w:rFonts w:ascii="Times New Roman" w:hAnsi="Times New Roman"/>
          <w:color w:val="000000"/>
          <w:sz w:val="26"/>
          <w:szCs w:val="26"/>
          <w:shd w:fill="auto" w:val="clear"/>
          <w:lang w:val="uk-UA" w:eastAsia="uk-UA"/>
        </w:rPr>
        <w:t>Центр ве</w:t>
      </w:r>
      <w:r>
        <w:rPr>
          <w:rFonts w:ascii="Times New Roman" w:hAnsi="Times New Roman"/>
          <w:color w:val="000000"/>
          <w:sz w:val="26"/>
          <w:szCs w:val="26"/>
          <w:lang w:val="uk-UA" w:eastAsia="uk-UA"/>
        </w:rPr>
        <w:t>теранського розвитку «LNTU VETERAN HUB» (м. Луцьк, вул. Львівська, 75, корпус Б). Тут можна отримати соціальну, юридичну та психологічну підтримку. Також у центрі проходитимуть навчальні курси, тренінги, спортивна та арттерапії для захисників та захисниць України.</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eastAsia="uk-UA"/>
        </w:rPr>
        <w:t>Також у 2024 році було відкрито інноваційний реабілітаційний центр національної мережі «Recovery», в якому поранені під час бойових дій військові уже отримують якісні й безоплатні послуги медичної реабілітації. Центр облаштований потужним медичним та реабілітаційним обладнанням світових стандартів інклюзивності й технологічності. Комплекс тренажерів і апаратів для реабілітації покриває весь спектр можливих функціональних порушень (зокрема, отриманих унаслідок мінно-вибухових травм). Палатне відділення розраховане на 50 ліжко-місць. Усі кімнати облаштовані функціональними меблями, а також інклюзивними вбиральнями та душовими.</w:t>
      </w:r>
    </w:p>
    <w:p>
      <w:pPr>
        <w:pStyle w:val="Normal"/>
        <w:ind w:left="0" w:right="0" w:firstLine="567"/>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r>
    </w:p>
    <w:p>
      <w:pPr>
        <w:pStyle w:val="Normal"/>
        <w:ind w:left="0" w:right="0" w:firstLine="567"/>
        <w:jc w:val="both"/>
        <w:rPr>
          <w:rFonts w:ascii="Times New Roman" w:hAnsi="Times New Roman"/>
          <w:color w:val="000000"/>
          <w:sz w:val="26"/>
          <w:szCs w:val="26"/>
          <w:lang w:val="uk-UA"/>
        </w:rPr>
      </w:pPr>
      <w:r>
        <w:rPr>
          <w:rFonts w:ascii="Times New Roman" w:hAnsi="Times New Roman"/>
          <w:b/>
          <w:bCs/>
          <w:i/>
          <w:iCs/>
          <w:color w:val="000000"/>
          <w:sz w:val="26"/>
          <w:szCs w:val="26"/>
          <w:lang w:val="uk-UA"/>
        </w:rPr>
        <w:t>Економічний розвиток</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До загального фонду бюджету громади у 2024 році надійшло 3 908,7 млн грн доходів (за 2023 рік –3 376,7 млн грн), що становить 101,1 % запланованого показника. Податок на доходи фізичних осіб в обсязі доходів загального фонду склав 63,0 %. Всього до бюджету надійшло 1 966,8 млн грн ПДФО, що становить 99,9 % від уточнених призначень. За 2023 рік обсяг податку на доходи фізичних осіб у загальному фонді бюджету складав 1 868,7 млн грн (66,5 %).</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До спеціального фонду бюджету громади за 2024 рік надійшло 276,6 млн грн, що становить 117,9 % планових показників, у т. ч. до бюджету розвитку – 76,4 млн грн. Трансфертів до спеціального фонду надійшло 42,4 млн грн. Від продажу землі надійшло 57,2 млн грн, від відчуження комунального майна – 9,6 млн грн, коштів пайової участі у розвитку інфраструктури міста – 9,6 млн грн.</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За даними Економічного профайлу Луцької міської територіальної громади (https://vkursi.pro) найбільшими платниками податку з доходів фізичних осіб до бюджету громади у 2024 році, були наступні підприємства, установи та організації: ТОВ “Луцький ремонтний завод «МОТОР»”, КП “Волинська обласна клінічна лікарня” Волинської обласної ради, КП “Медичне об’єднання Луцької міської територіальної громади”, ПрАТ “СКФ Україна”, ТОВ “Кромберг енд Шуберт Україна ЛУ”, КП «Волинське обласне територіальне медичне об’єднання захисту материнства і дитинства», ПрАТ “Волиньобленерго”, ТОВ «ЛКПФ-Україна», ТОВ «Клевер Сторс», ТОВ “Даліс Аутомотів Груп”.</w:t>
      </w:r>
    </w:p>
    <w:p>
      <w:pPr>
        <w:pStyle w:val="Normal"/>
        <w:ind w:left="0" w:right="0" w:firstLine="567"/>
        <w:jc w:val="both"/>
        <w:rPr/>
      </w:pPr>
      <w:r>
        <w:rPr>
          <w:rStyle w:val="Fontstyle01"/>
          <w:rFonts w:ascii="Times New Roman" w:hAnsi="Times New Roman"/>
          <w:color w:val="000000"/>
          <w:sz w:val="26"/>
          <w:szCs w:val="26"/>
          <w:lang w:val="uk-UA"/>
        </w:rPr>
        <w:t>Загальна кількість зареєстрованих суб’єктів господарської діяльності у Луцькій міській територіальній громади станом на 01.01.2025 складала 30 176 од. (на 01.01.2024 – 27 323 од.).</w:t>
      </w:r>
    </w:p>
    <w:p>
      <w:pPr>
        <w:pStyle w:val="Normal"/>
        <w:ind w:left="0" w:right="0" w:firstLine="567"/>
        <w:jc w:val="both"/>
        <w:rPr/>
      </w:pPr>
      <w:r>
        <w:rPr>
          <w:rStyle w:val="Fontstyle01"/>
          <w:rFonts w:ascii="Times New Roman" w:hAnsi="Times New Roman"/>
          <w:color w:val="000000"/>
          <w:sz w:val="26"/>
          <w:szCs w:val="26"/>
          <w:lang w:val="uk-UA"/>
        </w:rPr>
        <w:t>У порівнянні із минулим роком прослідковуються позитивні тенденції щодо створення/реєстрації нових СГД відносно їх припинення. Зокрема, протягом 2024 року було зареєстровано 2 408 фізичну-особу підприємця, припинили діяльність – 1 415. Зареєстровано 445 суб’єктів господарської діяльності у статусі юридичної особи, 170 юридичних осіб було припинено.</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937885" cy="3444875"/>
            <wp:effectExtent l="0" t="0" r="0" b="0"/>
            <wp:wrapSquare wrapText="largest"/>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
              </a:graphicData>
            </a:graphic>
          </wp:anchor>
        </w:drawing>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5951220" cy="3330575"/>
            <wp:effectExtent l="0" t="0" r="0" b="0"/>
            <wp:wrapSquare wrapText="largest"/>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anchor>
        </w:drawing>
      </w:r>
    </w:p>
    <w:p>
      <w:pPr>
        <w:pStyle w:val="Normal"/>
        <w:ind w:left="0" w:right="0" w:firstLine="567"/>
        <w:jc w:val="both"/>
        <w:rPr>
          <w:rFonts w:ascii="Times New Roman" w:hAnsi="Times New Roman"/>
          <w:color w:val="000000"/>
          <w:sz w:val="26"/>
          <w:szCs w:val="26"/>
          <w:lang w:val="uk-UA"/>
        </w:rPr>
      </w:pPr>
      <w:r>
        <w:rPr>
          <w:rFonts w:cs="Times New Roman" w:ascii="Times New Roman" w:hAnsi="Times New Roman"/>
          <w:bCs/>
          <w:color w:val="000000"/>
          <w:sz w:val="26"/>
          <w:szCs w:val="26"/>
          <w:lang w:val="uk-UA"/>
        </w:rPr>
        <w:t>Також позитивною є динаміка міграції суб’єктів господарської діяльності до нашої громади. Перереєстрацію юридичної адреси на Луцьку міську територіальну громаду протягом звітного року здійснили 373 ФОП, вибули / змінили місце реєстрації – 333. Кількість юридичних осіб, які прибули із інших регіонів до нашої громади, склала 304 од., змінили місце реєстрації на користь іншої громади – 259 юридичних осіб.</w:t>
      </w:r>
    </w:p>
    <w:p>
      <w:pPr>
        <w:pStyle w:val="Normal"/>
        <w:ind w:left="0" w:right="0" w:firstLine="567"/>
        <w:jc w:val="both"/>
        <w:rPr>
          <w:rFonts w:ascii="Times New Roman" w:hAnsi="Times New Roman"/>
          <w:bCs/>
          <w:color w:val="000000"/>
          <w:sz w:val="26"/>
          <w:szCs w:val="26"/>
          <w:lang w:val="uk-UA"/>
        </w:rPr>
      </w:pPr>
      <w:r>
        <w:rPr>
          <w:rFonts w:ascii="Times New Roman" w:hAnsi="Times New Roman"/>
          <w:bCs/>
          <w:color w:val="000000"/>
          <w:sz w:val="26"/>
          <w:szCs w:val="26"/>
          <w:lang w:val="uk-UA"/>
        </w:rPr>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5910580" cy="2962910"/>
            <wp:effectExtent l="0" t="0" r="0" b="0"/>
            <wp:wrapSquare wrapText="largest"/>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5922645" cy="2834640"/>
            <wp:effectExtent l="0" t="0" r="0" b="0"/>
            <wp:wrapSquare wrapText="largest"/>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bidi="hi-IN"/>
        </w:rPr>
        <w:t>Упродовж 2024 року послугами служби зайнятості скористалося 4 896 незайнятих громадян (за 2023 рік – 6 386, за 2022 рік – 8 528). Завдяки реалізації активних програм зайнятості протягом 2024 року: працевлаштовано 1 869 осіб (за 2023 рік – 3 101, за 2022 рік – 2 374); до участі у громадських та інших роботах тимчасового характеру залучено 44 пошукачі роботи; до суспільно корисних робіт в умовах воєнного стану залучено 335 громадян; охоплено професійним навчанням, підвищенням кваліфікації 205 безробітних громадян.</w:t>
      </w:r>
    </w:p>
    <w:p>
      <w:pPr>
        <w:pStyle w:val="Normal"/>
        <w:ind w:left="0" w:right="0" w:firstLine="567"/>
        <w:jc w:val="both"/>
        <w:rPr>
          <w:rFonts w:ascii="Times New Roman" w:hAnsi="Times New Roman"/>
          <w:color w:val="000000"/>
          <w:sz w:val="26"/>
          <w:szCs w:val="26"/>
          <w:lang w:val="uk-UA"/>
        </w:rPr>
      </w:pPr>
      <w:r>
        <w:rPr>
          <w:rFonts w:eastAsia="NSimSun" w:cs="Arial" w:ascii="Times New Roman" w:hAnsi="Times New Roman"/>
          <w:color w:val="000000"/>
          <w:kern w:val="2"/>
          <w:sz w:val="26"/>
          <w:szCs w:val="26"/>
          <w:lang w:val="uk-UA" w:eastAsia="uk-UA" w:bidi="hi-IN"/>
        </w:rPr>
        <w:t>У</w:t>
      </w:r>
      <w:r>
        <w:rPr>
          <w:rFonts w:ascii="Times New Roman" w:hAnsi="Times New Roman"/>
          <w:color w:val="000000"/>
          <w:sz w:val="26"/>
          <w:szCs w:val="26"/>
          <w:lang w:val="uk-UA" w:eastAsia="uk-UA" w:bidi="hi-IN"/>
        </w:rPr>
        <w:t xml:space="preserve"> 2024 році проєкт </w:t>
      </w:r>
      <w:r>
        <w:rPr>
          <w:rFonts w:ascii="Times New Roman" w:hAnsi="Times New Roman"/>
          <w:color w:val="000000"/>
          <w:sz w:val="26"/>
          <w:szCs w:val="26"/>
          <w:lang w:val="uk-UA" w:bidi="hi-IN"/>
        </w:rPr>
        <w:t xml:space="preserve">«Підприємливі діти: Луцьк-Люблін» </w:t>
      </w:r>
      <w:r>
        <w:rPr>
          <w:rFonts w:ascii="Times New Roman" w:hAnsi="Times New Roman"/>
          <w:color w:val="000000"/>
          <w:sz w:val="26"/>
          <w:szCs w:val="26"/>
          <w:lang w:val="uk-UA" w:eastAsia="uk-UA" w:bidi="hi-IN"/>
        </w:rPr>
        <w:t>став переможцем Третього щорічного Конкурсу історій “Громадянське суспільство, бізнес та влада – кращі практики співпраці” та увійшов до однойменного Збірника історій, який створено, щоб продемонструвати єдність українського суспільства під час повномасштабної війни, популяризувати тристоронню співпрацю між організаціями громадянського суспільства, бізнесом і владою. Цей Збірник з’явився за результатами співпраці проєкту «Ініціатива секторальної підтримки громадянського суспільства України» з Міністерством культури та інформаційної політики України, Секретаріатом Кабінету Міністрів України, Міністерством розвитку громад, територій та інфраструктури України та Національною соціальною сервісною службою України.</w:t>
      </w:r>
    </w:p>
    <w:p>
      <w:pPr>
        <w:pStyle w:val="Normal"/>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bidi="hi-IN"/>
        </w:rPr>
        <w:t>На виконання заходів цільових програм Луцької міської територіальної громади у 2024 році у бюджеті було передбачено 2 491 062,1 тис. грн, що склало 44,8 % від потреби (5 563 516,6 тис. грн), профінансовано – 2 038 058,7 тис. грн (81,8 % від передбаченого бюджетом) (додаток 1).</w:t>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ind w:left="0" w:right="0" w:firstLine="567"/>
        <w:jc w:val="both"/>
        <w:rPr>
          <w:rFonts w:ascii="Times New Roman" w:hAnsi="Times New Roman"/>
          <w:color w:val="000000"/>
          <w:sz w:val="26"/>
          <w:szCs w:val="26"/>
          <w:lang w:val="uk-UA" w:bidi="hi-IN"/>
        </w:rPr>
      </w:pPr>
      <w:r>
        <w:rPr>
          <w:rFonts w:ascii="Times New Roman" w:hAnsi="Times New Roman"/>
          <w:color w:val="000000"/>
          <w:sz w:val="26"/>
          <w:szCs w:val="26"/>
          <w:lang w:val="uk-UA" w:bidi="hi-IN"/>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2. РЕАЛІЗАЦІЯ ПРІОРИТЕТНИХ ЗАВДАНЬ</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ЕКОНОМІЧНОГО І СОЦІАЛЬНОГО РОЗВИТКУ</w:t>
      </w:r>
    </w:p>
    <w:p>
      <w:pPr>
        <w:pStyle w:val="Normal"/>
        <w:ind w:firstLine="567"/>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ЛУЦЬКОЇ МІСЬКОЇ ТЕРИТОРІАЛЬНОЇ ГРОМАДИ</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У 2024 РОЦІ</w:t>
      </w:r>
    </w:p>
    <w:p>
      <w:pPr>
        <w:pStyle w:val="Normal"/>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1. </w:t>
      </w:r>
      <w:r>
        <w:rPr>
          <w:rFonts w:eastAsia="Times New Roman" w:cs="Times New Roman" w:ascii="Times New Roman" w:hAnsi="Times New Roman"/>
          <w:b/>
          <w:bCs/>
          <w:color w:val="000000"/>
          <w:spacing w:val="-1"/>
          <w:sz w:val="26"/>
          <w:szCs w:val="26"/>
          <w:lang w:val="uk-UA"/>
        </w:rPr>
        <w:t>Підтримка Збройних сил України, реалізація заходів із організації та діяльності територіальної оборони та мобілізаційної підготовки, заходів цивільного захисту та правового режиму воєнного стану, проєктування, будівниц</w:t>
      </w:r>
      <w:r>
        <w:rPr>
          <w:rFonts w:eastAsia="Times New Roman" w:cs="Times New Roman" w:ascii="Times New Roman" w:hAnsi="Times New Roman"/>
          <w:b/>
          <w:bCs/>
          <w:color w:val="000000"/>
          <w:spacing w:val="-1"/>
          <w:sz w:val="26"/>
          <w:szCs w:val="26"/>
          <w:shd w:fill="auto" w:val="clear"/>
          <w:lang w:val="uk-UA"/>
        </w:rPr>
        <w:t>тва, ремонту за</w:t>
      </w:r>
      <w:r>
        <w:rPr>
          <w:rFonts w:eastAsia="Times New Roman" w:cs="Times New Roman" w:ascii="Times New Roman" w:hAnsi="Times New Roman"/>
          <w:b/>
          <w:bCs/>
          <w:color w:val="000000"/>
          <w:spacing w:val="-1"/>
          <w:sz w:val="26"/>
          <w:szCs w:val="26"/>
          <w:lang w:val="uk-UA"/>
        </w:rPr>
        <w:t>хисних споруд (сховищ, протирадіаційних укриттів), споруд подвійного призначення та облаштування приміщень, які плануються до використання для укриття населення.</w:t>
      </w:r>
    </w:p>
    <w:p>
      <w:pPr>
        <w:pStyle w:val="Normal"/>
        <w:widowControl w:val="false"/>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Для потреб підрозділів Збройних сил України у 2024 році придбано: автомобілі, автомобільні акумулятори, шини, безпілотні літальні апарати, зарядні станції, радіостанції, ноутбуки, броньовані планшети, квадрокоптери, системи Starlink, дрони та комплектуючі до них, FPV окуляри, металошукачі, антени та підсилювачі сигналу, протимінне взуття, рації, прилади нічного бачення, генератори, однофазний стабілізатор тощо.</w:t>
      </w:r>
    </w:p>
    <w:p>
      <w:pPr>
        <w:pStyle w:val="Normal"/>
        <w:widowControl w:val="false"/>
        <w:tabs>
          <w:tab w:val="clear" w:pos="720"/>
          <w:tab w:val="left" w:pos="564" w:leader="none"/>
        </w:tabs>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pacing w:val="-1"/>
          <w:sz w:val="26"/>
          <w:szCs w:val="26"/>
          <w:lang w:val="uk-UA"/>
        </w:rPr>
        <w:t xml:space="preserve">На утримання захисних споруд цивільного захисту, найпростіших укриттів та споруд подвійного призначення комунальної форми власності, відповідно до Програми розвитку цивільного захисту Луцької міської територіальної громади на 2021-2025 роки, у звітному періоді з бюджету громади профінансовано 22 899,2 тис. грн </w:t>
      </w:r>
      <w:r>
        <w:rPr>
          <w:rFonts w:eastAsia="Times New Roman" w:cs="Times New Roman" w:ascii="Times New Roman" w:hAnsi="Times New Roman"/>
          <w:color w:val="000000"/>
          <w:spacing w:val="-1"/>
          <w:kern w:val="2"/>
          <w:sz w:val="26"/>
          <w:szCs w:val="26"/>
          <w:lang w:val="uk-UA" w:eastAsia="zh-CN" w:bidi="hi-IN"/>
        </w:rPr>
        <w:t>для</w:t>
      </w:r>
      <w:r>
        <w:rPr>
          <w:rFonts w:eastAsia="Times New Roman" w:cs="Times New Roman" w:ascii="Times New Roman" w:hAnsi="Times New Roman"/>
          <w:color w:val="000000"/>
          <w:spacing w:val="-1"/>
          <w:sz w:val="26"/>
          <w:szCs w:val="26"/>
          <w:lang w:val="uk-UA"/>
        </w:rPr>
        <w:t xml:space="preserve"> проведення поточних та капітальних ремонтів в укриттях закладів освіти. У 2024 році в Луцькій міській територіальній громаді розпочалося будівництво місцевої автоматизованої системи централізованого оповіщення (МАСЦО). Вартість робіт із впровадження першочергових заходів МАСЦО складає 13 841,0 тис. грн.</w:t>
      </w:r>
    </w:p>
    <w:p>
      <w:pPr>
        <w:pStyle w:val="Normal"/>
        <w:widowControl w:val="false"/>
        <w:shd w:val="clear" w:color="auto" w:fill="FFFFFF"/>
        <w:tabs>
          <w:tab w:val="clear" w:pos="720"/>
          <w:tab w:val="left" w:pos="564" w:leader="none"/>
        </w:tabs>
        <w:spacing w:lineRule="auto" w:line="24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2. Створення ветеранського хабу (реконструкція приміщення на вул. Сергія Климчука, 7).</w:t>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Cs/>
          <w:color w:val="000000"/>
          <w:spacing w:val="-6"/>
          <w:sz w:val="26"/>
          <w:szCs w:val="26"/>
          <w:lang w:val="uk-UA" w:bidi="ar-SA"/>
        </w:rPr>
        <w:t>Р</w:t>
      </w:r>
      <w:r>
        <w:rPr>
          <w:rFonts w:eastAsia="Times New Roman" w:cs="Times New Roman" w:ascii="Times New Roman" w:hAnsi="Times New Roman"/>
          <w:bCs/>
          <w:color w:val="000000"/>
          <w:spacing w:val="-1"/>
          <w:sz w:val="26"/>
          <w:szCs w:val="26"/>
          <w:lang w:val="uk-UA"/>
        </w:rPr>
        <w:t>озроблено проєкт землеустрою щодо відведення земельної ділянки для запланованого будівництва «Ветеранського хабу» та прийняте відповідне рішення Луцької міської ради від 24.04.2024 № 58/100 “Про затвердження проекту землеустрою щодо відведення земельної ділянки комунальної власності для будівни</w:t>
      </w:r>
      <w:r>
        <w:rPr>
          <w:rFonts w:eastAsia="Times New Roman" w:cs="Times New Roman" w:ascii="Times New Roman" w:hAnsi="Times New Roman"/>
          <w:bCs/>
          <w:color w:val="000000"/>
          <w:spacing w:val="-1"/>
          <w:sz w:val="26"/>
          <w:szCs w:val="26"/>
          <w:shd w:fill="auto" w:val="clear"/>
          <w:lang w:val="uk-UA"/>
        </w:rPr>
        <w:t xml:space="preserve">цтва та обслуговування будівель органів державної влади та органів місцевого самоврядування (03 01) на вул. Климчука Сергія, 7 у м. Луцьку”. Триває </w:t>
      </w:r>
      <w:r>
        <w:rPr>
          <w:rFonts w:eastAsia="Times New Roman" w:cs="Times New Roman" w:ascii="Times New Roman" w:hAnsi="Times New Roman"/>
          <w:bCs/>
          <w:color w:val="000000"/>
          <w:kern w:val="2"/>
          <w:sz w:val="26"/>
          <w:szCs w:val="26"/>
          <w:shd w:fill="auto" w:val="clear"/>
          <w:lang w:val="uk-UA" w:eastAsia="zh-CN" w:bidi="hi-IN"/>
        </w:rPr>
        <w:t>розробка п</w:t>
      </w:r>
      <w:r>
        <w:rPr>
          <w:rFonts w:eastAsia="Times New Roman" w:cs="Times New Roman" w:ascii="Times New Roman" w:hAnsi="Times New Roman"/>
          <w:bCs/>
          <w:color w:val="000000"/>
          <w:sz w:val="26"/>
          <w:szCs w:val="26"/>
          <w:shd w:fill="auto" w:val="clear"/>
          <w:lang w:val="uk-UA"/>
        </w:rPr>
        <w:t>роєкту будівництва приміщення для КУ “ХАБ ВЕТЕРАН”.</w:t>
      </w:r>
    </w:p>
    <w:p>
      <w:pPr>
        <w:pStyle w:val="Normal"/>
        <w:shd w:val="clear" w:color="auto" w:fill="FFFFFF"/>
        <w:spacing w:lineRule="auto" w:line="240"/>
        <w:ind w:firstLine="567"/>
        <w:jc w:val="both"/>
        <w:rPr>
          <w:rFonts w:ascii="Times New Roman" w:hAnsi="Times New Roman" w:eastAsia="Times New Roman" w:cs="Times New Roman"/>
          <w:bCs/>
          <w:color w:val="000000"/>
          <w:spacing w:val="-1"/>
          <w:sz w:val="26"/>
          <w:szCs w:val="26"/>
          <w:shd w:fill="auto" w:val="clear"/>
          <w:lang w:val="uk-UA"/>
        </w:rPr>
      </w:pPr>
      <w:r>
        <w:rPr>
          <w:rFonts w:eastAsia="Times New Roman" w:cs="Times New Roman" w:ascii="Times New Roman" w:hAnsi="Times New Roman"/>
          <w:bCs/>
          <w:color w:val="000000"/>
          <w:spacing w:val="-1"/>
          <w:sz w:val="26"/>
          <w:szCs w:val="26"/>
          <w:shd w:fill="auto" w:val="clear"/>
          <w:lang w:val="uk-UA"/>
        </w:rPr>
      </w:r>
    </w:p>
    <w:p>
      <w:pPr>
        <w:pStyle w:val="Normal"/>
        <w:shd w:val="clear" w:color="auto" w:fill="FFFFFF"/>
        <w:spacing w:lineRule="auto" w:line="240"/>
        <w:ind w:firstLine="567"/>
        <w:jc w:val="both"/>
        <w:rPr/>
      </w:pPr>
      <w:r>
        <w:rPr>
          <w:rFonts w:cs="Times New Roman" w:ascii="Times New Roman" w:hAnsi="Times New Roman"/>
          <w:b/>
          <w:bCs/>
          <w:color w:val="000000"/>
          <w:kern w:val="0"/>
          <w:sz w:val="26"/>
          <w:szCs w:val="26"/>
          <w:shd w:fill="auto" w:val="clear"/>
          <w:lang w:val="uk-UA"/>
        </w:rPr>
        <w:t>3. </w:t>
      </w:r>
      <w:r>
        <w:rPr>
          <w:rStyle w:val="Fontstyle01"/>
          <w:rFonts w:cs="Times New Roman" w:ascii="Times New Roman" w:hAnsi="Times New Roman"/>
          <w:b/>
          <w:bCs/>
          <w:color w:val="000000"/>
          <w:kern w:val="0"/>
          <w:sz w:val="26"/>
          <w:szCs w:val="26"/>
          <w:shd w:fill="auto" w:val="clear"/>
          <w:lang w:val="uk-UA"/>
        </w:rPr>
        <w:t>Завершення розробки та затвердження Стратегії розвитку Луцької міської територіальної громади до 2030 року.</w:t>
      </w:r>
    </w:p>
    <w:p>
      <w:pPr>
        <w:pStyle w:val="Normal"/>
        <w:spacing w:lineRule="auto" w:line="240"/>
        <w:ind w:firstLine="567"/>
        <w:jc w:val="both"/>
        <w:rPr/>
      </w:pPr>
      <w:r>
        <w:rPr>
          <w:rFonts w:ascii="Times New Roman" w:hAnsi="Times New Roman"/>
          <w:bCs/>
          <w:color w:val="000000"/>
          <w:sz w:val="26"/>
          <w:szCs w:val="26"/>
          <w:shd w:fill="auto" w:val="clear"/>
          <w:lang w:val="uk-UA"/>
        </w:rPr>
        <w:t>В рамках реалізації Проєкту Ради Європи «Зміцнення стійкості демократичних процесів через громадську участь під час війни та в післявоєнний період» у 2</w:t>
      </w:r>
      <w:r>
        <w:rPr>
          <w:rFonts w:ascii="Times New Roman" w:hAnsi="Times New Roman"/>
          <w:bCs/>
          <w:color w:val="000000"/>
          <w:sz w:val="26"/>
          <w:szCs w:val="26"/>
          <w:lang w:val="uk-UA"/>
        </w:rPr>
        <w:t>024 ро</w:t>
      </w:r>
      <w:r>
        <w:rPr>
          <w:rFonts w:ascii="Times New Roman" w:hAnsi="Times New Roman"/>
          <w:color w:val="000000"/>
          <w:sz w:val="26"/>
          <w:szCs w:val="26"/>
          <w:lang w:val="uk-UA"/>
        </w:rPr>
        <w:t>ці: завершено роботу над проєктом Стратегії розвитку Луцької міської територіальної громади до 2030 року (</w:t>
      </w:r>
      <w:r>
        <w:rPr>
          <w:rFonts w:cs="Times New Roman" w:ascii="Times New Roman" w:hAnsi="Times New Roman"/>
          <w:color w:val="000000"/>
          <w:sz w:val="26"/>
          <w:szCs w:val="26"/>
          <w:lang w:val="uk-UA" w:eastAsia="uk-UA"/>
        </w:rPr>
        <w:t>рішення міської ради від 31.07.2024 № 61/128 «Про затвердження Стратегії розвитку Луцької міської територіальної громади до 2030 року»</w:t>
      </w:r>
      <w:r>
        <w:rPr>
          <w:rFonts w:ascii="Times New Roman" w:hAnsi="Times New Roman"/>
          <w:color w:val="000000"/>
          <w:sz w:val="26"/>
          <w:szCs w:val="26"/>
          <w:lang w:val="uk-UA"/>
        </w:rPr>
        <w:t xml:space="preserve">), створено </w:t>
      </w:r>
      <w:r>
        <w:rPr>
          <w:rFonts w:cs="Times New Roman" w:ascii="Times New Roman" w:hAnsi="Times New Roman"/>
          <w:color w:val="000000"/>
          <w:sz w:val="26"/>
          <w:szCs w:val="26"/>
          <w:lang w:val="uk-UA"/>
        </w:rPr>
        <w:t xml:space="preserve">робочу групу з моніторингу реалізації </w:t>
      </w:r>
      <w:r>
        <w:rPr>
          <w:rFonts w:ascii="Times New Roman" w:hAnsi="Times New Roman"/>
          <w:color w:val="000000"/>
          <w:sz w:val="26"/>
          <w:szCs w:val="26"/>
          <w:lang w:val="uk-UA"/>
        </w:rPr>
        <w:t xml:space="preserve">Стратегії розвитку Луцької міської територіальної громади </w:t>
      </w:r>
      <w:r>
        <w:rPr>
          <w:rFonts w:cs="Times New Roman" w:ascii="Times New Roman" w:hAnsi="Times New Roman"/>
          <w:color w:val="000000"/>
          <w:sz w:val="26"/>
          <w:szCs w:val="26"/>
          <w:lang w:val="uk-UA"/>
        </w:rPr>
        <w:t>на 2024</w:t>
      </w:r>
      <w:r>
        <w:rPr>
          <w:rFonts w:eastAsia="Times New Roman" w:cs="Times New Roman" w:ascii="Times New Roman" w:hAnsi="Times New Roman"/>
          <w:color w:val="000000"/>
          <w:sz w:val="26"/>
          <w:szCs w:val="26"/>
          <w:lang w:val="uk-UA"/>
        </w:rPr>
        <w:t>-</w:t>
      </w:r>
      <w:r>
        <w:rPr>
          <w:rFonts w:cs="Times New Roman" w:ascii="Times New Roman" w:hAnsi="Times New Roman"/>
          <w:color w:val="000000"/>
          <w:sz w:val="26"/>
          <w:szCs w:val="26"/>
          <w:lang w:val="uk-UA"/>
        </w:rPr>
        <w:t>2030 роки</w:t>
      </w:r>
      <w:r>
        <w:rPr>
          <w:rFonts w:ascii="Times New Roman" w:hAnsi="Times New Roman"/>
          <w:color w:val="000000"/>
          <w:sz w:val="26"/>
          <w:szCs w:val="26"/>
          <w:lang w:val="uk-UA"/>
        </w:rPr>
        <w:t xml:space="preserve"> </w:t>
      </w:r>
      <w:r>
        <w:rPr>
          <w:rStyle w:val="Strong"/>
          <w:rFonts w:ascii="Times New Roman" w:hAnsi="Times New Roman"/>
          <w:b w:val="false"/>
          <w:color w:val="000000"/>
          <w:sz w:val="26"/>
          <w:szCs w:val="26"/>
          <w:lang w:val="uk-UA" w:eastAsia="uk-UA"/>
        </w:rPr>
        <w:t xml:space="preserve"> та розроблено </w:t>
      </w:r>
      <w:r>
        <w:rPr>
          <w:rFonts w:ascii="Times New Roman" w:hAnsi="Times New Roman"/>
          <w:color w:val="000000"/>
          <w:sz w:val="26"/>
          <w:szCs w:val="26"/>
          <w:lang w:val="uk-UA"/>
        </w:rPr>
        <w:t xml:space="preserve">Положення про моніторинг </w:t>
      </w:r>
      <w:r>
        <w:rPr>
          <w:rFonts w:cs="Times New Roman" w:ascii="Times New Roman" w:hAnsi="Times New Roman"/>
          <w:color w:val="000000"/>
          <w:sz w:val="26"/>
          <w:szCs w:val="26"/>
          <w:lang w:val="uk-UA"/>
        </w:rPr>
        <w:t>реалізації</w:t>
      </w:r>
      <w:r>
        <w:rPr>
          <w:rFonts w:ascii="Times New Roman" w:hAnsi="Times New Roman"/>
          <w:color w:val="000000"/>
          <w:sz w:val="26"/>
          <w:szCs w:val="26"/>
          <w:lang w:val="uk-UA"/>
        </w:rPr>
        <w:t xml:space="preserve"> Стратегії розвитку Луцької міської територіальної громади на 2024</w:t>
      </w:r>
      <w:r>
        <w:rPr>
          <w:rFonts w:eastAsia="Times New Roman" w:cs="Times New Roman" w:ascii="Times New Roman" w:hAnsi="Times New Roman"/>
          <w:color w:val="000000"/>
          <w:sz w:val="26"/>
          <w:szCs w:val="26"/>
          <w:lang w:val="uk-UA"/>
        </w:rPr>
        <w:t>-</w:t>
      </w:r>
      <w:r>
        <w:rPr>
          <w:rFonts w:ascii="Times New Roman" w:hAnsi="Times New Roman"/>
          <w:color w:val="000000"/>
          <w:sz w:val="26"/>
          <w:szCs w:val="26"/>
          <w:lang w:val="uk-UA"/>
        </w:rPr>
        <w:t xml:space="preserve">2030 роки </w:t>
      </w:r>
      <w:r>
        <w:rPr>
          <w:rStyle w:val="Strong"/>
          <w:rFonts w:ascii="Times New Roman" w:hAnsi="Times New Roman"/>
          <w:b w:val="false"/>
          <w:color w:val="000000"/>
          <w:sz w:val="26"/>
          <w:szCs w:val="26"/>
          <w:lang w:val="uk-UA" w:eastAsia="uk-UA"/>
        </w:rPr>
        <w:t>(розпорядження міського голови від 05.09.2024 № 677), а також затверджено</w:t>
      </w:r>
      <w:r>
        <w:rPr>
          <w:rFonts w:ascii="Times New Roman" w:hAnsi="Times New Roman"/>
          <w:bCs/>
          <w:color w:val="000000"/>
          <w:sz w:val="26"/>
          <w:szCs w:val="26"/>
          <w:lang w:val="uk-UA" w:eastAsia="uk-UA"/>
        </w:rPr>
        <w:t xml:space="preserve"> План заходів з реалізації Стр</w:t>
      </w:r>
      <w:r>
        <w:rPr>
          <w:rFonts w:ascii="Times New Roman" w:hAnsi="Times New Roman"/>
          <w:color w:val="000000"/>
          <w:sz w:val="26"/>
          <w:szCs w:val="26"/>
          <w:lang w:val="uk-UA" w:eastAsia="uk-UA"/>
        </w:rPr>
        <w:t>атегії розвитку Луцької міської територіальної громади до 2030 року на 2024-2027 роки (</w:t>
      </w:r>
      <w:r>
        <w:rPr>
          <w:rFonts w:cs="Times New Roman" w:ascii="Times New Roman" w:hAnsi="Times New Roman"/>
          <w:color w:val="000000"/>
          <w:sz w:val="26"/>
          <w:szCs w:val="26"/>
          <w:lang w:val="uk-UA" w:eastAsia="uk-UA"/>
        </w:rPr>
        <w:t>рішення міської ради від 27.11.2024 № 65/107</w:t>
      </w:r>
      <w:r>
        <w:rPr>
          <w:rFonts w:ascii="Times New Roman" w:hAnsi="Times New Roman"/>
          <w:color w:val="000000"/>
          <w:sz w:val="26"/>
          <w:szCs w:val="26"/>
          <w:lang w:val="uk-UA" w:eastAsia="uk-UA"/>
        </w:rPr>
        <w:t>).</w:t>
      </w:r>
    </w:p>
    <w:p>
      <w:pPr>
        <w:pStyle w:val="Normal"/>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З метою відстеження та аналізу динаміки структурних змін, що відбуваються у громаді відповідно до стратегічних, оперативних цілей та завдань, визначених у Стратегії, та ефективності використання бюджетних коштів, департаментом економічної політики впроваджується система автоматичного моніторингу реалізації Стратегії на основі цифрової методики DIY4Change (Цифровий модуль). Для проведення моніторингу, здійснення оцінки результативності та ефективності впровадження Стратегії,  передбачено ключові індикативні показники досягнення стратегічних та оперативних цілей. </w:t>
      </w:r>
    </w:p>
    <w:p>
      <w:pPr>
        <w:pStyle w:val="Normal"/>
        <w:shd w:val="clear" w:color="auto" w:fill="FFFFFF"/>
        <w:spacing w:lineRule="auto" w:line="240"/>
        <w:ind w:firstLine="567"/>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4. Завершення «Проєкту реконструкції системи централізованого теплопостачання у м. Луцьк», що реалізується у співпраці з Європейським банком реконструкції та розвитку.</w:t>
      </w:r>
    </w:p>
    <w:p>
      <w:pPr>
        <w:pStyle w:val="Normal"/>
        <w:widowControl w:val="false"/>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Cs/>
          <w:color w:val="000000"/>
          <w:kern w:val="0"/>
          <w:sz w:val="26"/>
          <w:szCs w:val="26"/>
          <w:lang w:val="uk-UA" w:eastAsia="uk-UA"/>
        </w:rPr>
        <w:t xml:space="preserve">У 2024 році проєкт успішно завершено (модернізовано ряд котелень: замінено пальники та великі насоси на ряді котелень). </w:t>
      </w:r>
      <w:r>
        <w:rPr>
          <w:rFonts w:cs="Times New Roman" w:ascii="Times New Roman" w:hAnsi="Times New Roman"/>
          <w:bCs/>
          <w:color w:val="000000"/>
          <w:kern w:val="0"/>
          <w:sz w:val="26"/>
          <w:szCs w:val="26"/>
          <w:lang w:val="uk-UA"/>
        </w:rPr>
        <w:t>Загалом отримано 10,0 млн євро кредитних та 4,4 млн євро грантових коштів (включаючи додаткове грантове фінансування від ЄБРР</w:t>
      </w:r>
      <w:r>
        <w:rPr>
          <w:rFonts w:cs="Times New Roman" w:ascii="Times New Roman" w:hAnsi="Times New Roman"/>
          <w:color w:val="000000"/>
          <w:kern w:val="0"/>
          <w:sz w:val="26"/>
          <w:szCs w:val="26"/>
          <w:lang w:val="uk-UA" w:eastAsia="uk-UA"/>
        </w:rPr>
        <w:t xml:space="preserve"> в сумі 400,0 тис. євро, за рахунок чого було </w:t>
      </w:r>
      <w:r>
        <w:rPr>
          <w:rFonts w:cs="Times New Roman" w:ascii="Times New Roman" w:hAnsi="Times New Roman"/>
          <w:bCs/>
          <w:color w:val="000000"/>
          <w:kern w:val="0"/>
          <w:sz w:val="26"/>
          <w:szCs w:val="26"/>
          <w:lang w:val="uk-UA" w:eastAsia="uk-UA"/>
        </w:rPr>
        <w:t>встановлено 20 додаткових індивідуальних теплових пунктів</w:t>
      </w:r>
      <w:r>
        <w:rPr>
          <w:rFonts w:cs="Times New Roman" w:ascii="Times New Roman" w:hAnsi="Times New Roman"/>
          <w:color w:val="000000"/>
          <w:kern w:val="0"/>
          <w:sz w:val="26"/>
          <w:szCs w:val="26"/>
          <w:lang w:val="uk-UA" w:eastAsia="uk-UA"/>
        </w:rPr>
        <w:t>).</w:t>
      </w:r>
    </w:p>
    <w:p>
      <w:pPr>
        <w:pStyle w:val="Normal"/>
        <w:widowControl w:val="false"/>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Cs/>
          <w:color w:val="000000"/>
          <w:kern w:val="0"/>
          <w:sz w:val="26"/>
          <w:szCs w:val="26"/>
          <w:lang w:val="uk-UA"/>
        </w:rPr>
        <w:t>На продовження реалізації проєкту модернізації системи централізованого теплопостачання міста Луцька укладено нові кредитну, грантову та гарантійну угоди з Європейським банком реконструкції та розвитку.</w:t>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Cs/>
          <w:color w:val="000000"/>
          <w:kern w:val="0"/>
          <w:sz w:val="26"/>
          <w:szCs w:val="26"/>
          <w:lang w:val="uk-UA" w:eastAsia="uk-UA"/>
        </w:rPr>
        <w:t>Фінансування другої фази проєкту модернізації централізованого теплопостачання м. Луцька становитиме 15,7 млн євро. З них: 10,5 млн євро кредиту, 4,2 млн євро інвестиційного гранту від Інвестиційної платформи сусідства ЄС та 1,0 млн євро – співфінансування бюджету Луцької міської територіальної громади. Проєктом передбачена заміна 22,6 км зношених теплових мереж, будівництво твердопаливної котельні, встановлення теплових насосів, влаштування системи моніторингу та дистанційного управління SCADA. На цей час триває відбір фінансового та технічного консультантів.</w:t>
      </w:r>
    </w:p>
    <w:p>
      <w:pPr>
        <w:pStyle w:val="Normal"/>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5. З</w:t>
      </w:r>
      <w:r>
        <w:rPr>
          <w:rFonts w:cs="Times New Roman" w:ascii="Times New Roman" w:hAnsi="Times New Roman"/>
          <w:b/>
          <w:bCs/>
          <w:color w:val="000000"/>
          <w:sz w:val="26"/>
          <w:szCs w:val="26"/>
          <w:lang w:val="uk-UA"/>
        </w:rPr>
        <w:t>авершення реалізації проєкту «Оновлення інфраструктури електротранспорту міста Луцька Волинської області» в рамках проєкту «Міський громадський транспорт України I» (післягарантійна прийомка тролейбусів та обладнання).</w:t>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Впродовж 2024 року відбувалися післягарантійні прийомки рухомого складу </w:t>
      </w:r>
      <w:r>
        <w:rPr>
          <w:rFonts w:cs="Times New Roman" w:ascii="Times New Roman" w:hAnsi="Times New Roman"/>
          <w:color w:val="000000"/>
          <w:kern w:val="0"/>
          <w:sz w:val="26"/>
          <w:szCs w:val="26"/>
          <w:lang w:val="uk-UA"/>
        </w:rPr>
        <w:t xml:space="preserve">та обладнання в межах </w:t>
      </w:r>
      <w:r>
        <w:rPr>
          <w:rFonts w:cs="Times New Roman" w:ascii="Times New Roman" w:hAnsi="Times New Roman"/>
          <w:bCs/>
          <w:color w:val="000000"/>
          <w:sz w:val="26"/>
          <w:szCs w:val="26"/>
          <w:lang w:val="uk-UA"/>
        </w:rPr>
        <w:t>проєкту, здійснювалися кінцеві розрахунки з постачальником</w:t>
      </w:r>
      <w:r>
        <w:rPr>
          <w:rFonts w:ascii="Times New Roman" w:hAnsi="Times New Roman"/>
          <w:color w:val="000000"/>
          <w:sz w:val="26"/>
          <w:szCs w:val="26"/>
          <w:lang w:val="uk-UA"/>
        </w:rPr>
        <w:t>.</w:t>
      </w:r>
    </w:p>
    <w:p>
      <w:pPr>
        <w:pStyle w:val="Normal"/>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6. Придбання 30-ти нових тролейбусів в рамках підпроєкту Луцької міської ради «Оновлення тролейбусного парку м. Луцька». Спільний з Європейським інвестиційним банком проєкт «Міський громадський транспорт України ІІ».</w:t>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В рамках субпроєкту «Оновлення тролейбусного парку м. Луцька» з обсягом фінансування від Європейського інвестиційного банку в сумі 6,3 млн євро, від банку отримано остаточне погодження тендерної документації та оголошено тендер на закупівлю рухомого складу за процедурою ЄІБ. Завершується прийом тендерних пропозицій.</w:t>
      </w:r>
    </w:p>
    <w:p>
      <w:pPr>
        <w:pStyle w:val="Normal"/>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7. О</w:t>
      </w:r>
      <w:r>
        <w:rPr>
          <w:rFonts w:cs="Times New Roman" w:ascii="Times New Roman" w:hAnsi="Times New Roman"/>
          <w:b/>
          <w:bCs/>
          <w:color w:val="000000"/>
          <w:sz w:val="26"/>
          <w:szCs w:val="26"/>
          <w:lang w:val="uk-UA"/>
        </w:rPr>
        <w:t xml:space="preserve">птимізація контактної мережі шляхом будівництва відрізку тролейбусної лінії, яка з’єднає мікрорайон підшипникового заводу з вул. Львівською, модернізація поворотних стрілок, встановлення додаткового обладнання в рамках Грантової угоди з </w:t>
      </w:r>
      <w:r>
        <w:rPr>
          <w:rFonts w:cs="Times New Roman" w:ascii="Times New Roman" w:hAnsi="Times New Roman"/>
          <w:b/>
          <w:bCs/>
          <w:color w:val="000000"/>
          <w:kern w:val="0"/>
          <w:sz w:val="26"/>
          <w:szCs w:val="26"/>
          <w:lang w:val="uk-UA"/>
        </w:rPr>
        <w:t>Європейським інвестиційним банком на 155 тис. євро.</w:t>
      </w:r>
    </w:p>
    <w:p>
      <w:pPr>
        <w:pStyle w:val="Normal"/>
        <w:widowControl w:val="false"/>
        <w:shd w:val="clear" w:color="auto" w:fill="FFFFFF"/>
        <w:tabs>
          <w:tab w:val="clear" w:pos="720"/>
          <w:tab w:val="left" w:pos="2925" w:leader="none"/>
        </w:tabs>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Підписано Грантову угоду з Європейським інвестиційним банком щодо фінансування у розмірі 155,0 тис. євро для будівництва частини тролейбусної лінії, модернізації поворотних стрілок тощо. У зв’язку з дією постанови Кабінету Міністрів України від 09.06.2021 № 590 “</w:t>
      </w:r>
      <w:r>
        <w:rPr>
          <w:rFonts w:ascii="Times New Roman" w:hAnsi="Times New Roman"/>
          <w:color w:val="000000"/>
          <w:sz w:val="26"/>
          <w:szCs w:val="26"/>
          <w:lang w:val="uk-UA"/>
        </w:rPr>
        <w:t xml:space="preserve">Про затвердження Порядку виконання повноважень Державною казначейською службою в особливому режимі в умовах воєнного </w:t>
      </w:r>
      <w:r>
        <w:rPr>
          <w:rFonts w:ascii="Times New Roman" w:hAnsi="Times New Roman"/>
          <w:color w:val="000000"/>
          <w:sz w:val="26"/>
          <w:szCs w:val="26"/>
          <w:lang w:val="uk-UA" w:eastAsia="zh-CN" w:bidi="hi-IN"/>
        </w:rPr>
        <w:t>стану</w:t>
      </w:r>
      <w:r>
        <w:rPr>
          <w:rFonts w:cs="Times New Roman" w:ascii="Times New Roman" w:hAnsi="Times New Roman"/>
          <w:color w:val="000000"/>
          <w:kern w:val="0"/>
          <w:sz w:val="26"/>
          <w:szCs w:val="26"/>
          <w:lang w:val="uk-UA" w:eastAsia="zh-CN" w:bidi="hi-IN"/>
        </w:rPr>
        <w:t>” дія грантової угоди призупинена, можливості фінансування капітальних видатків обмежені.</w:t>
      </w:r>
    </w:p>
    <w:p>
      <w:pPr>
        <w:pStyle w:val="Normal"/>
        <w:widowControl w:val="false"/>
        <w:shd w:val="clear" w:color="auto" w:fill="FFFFFF"/>
        <w:tabs>
          <w:tab w:val="clear" w:pos="720"/>
          <w:tab w:val="left" w:pos="2925" w:leader="none"/>
        </w:tabs>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eastAsia="zh-CN" w:bidi="hi-IN"/>
        </w:rPr>
        <w:t>Триває узгодження можливості вибірки грантових коштів Європейського інвестиційного банку.</w:t>
      </w:r>
    </w:p>
    <w:p>
      <w:pPr>
        <w:pStyle w:val="Normal"/>
        <w:shd w:val="clear" w:color="auto" w:fill="FFFFFF"/>
        <w:spacing w:lineRule="auto" w:line="240"/>
        <w:ind w:firstLine="567"/>
        <w:jc w:val="both"/>
        <w:rPr>
          <w:rFonts w:ascii="Times New Roman" w:hAnsi="Times New Roman"/>
          <w:color w:val="000000"/>
          <w:sz w:val="26"/>
          <w:szCs w:val="26"/>
          <w:lang w:val="uk-UA" w:eastAsia="zh-CN" w:bidi="hi-IN"/>
        </w:rPr>
      </w:pPr>
      <w:r>
        <w:rPr>
          <w:rFonts w:ascii="Times New Roman" w:hAnsi="Times New Roman"/>
          <w:color w:val="000000"/>
          <w:sz w:val="26"/>
          <w:szCs w:val="26"/>
          <w:lang w:val="uk-UA" w:eastAsia="zh-CN" w:bidi="hi-IN"/>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eastAsia="zh-CN" w:bidi="hi-IN"/>
        </w:rPr>
        <w:t>8. Реалізація проєкту «Модернізація системи водопостачання та водовідведення м. Луцьк» в рамках проєкту «Програма розвитку муніципальної інфраструктури України».</w:t>
      </w:r>
    </w:p>
    <w:p>
      <w:pPr>
        <w:pStyle w:val="Normal"/>
        <w:widowControl w:val="false"/>
        <w:spacing w:lineRule="auto" w:line="240"/>
        <w:ind w:firstLine="567"/>
        <w:jc w:val="both"/>
        <w:rPr>
          <w:rFonts w:ascii="Times New Roman" w:hAnsi="Times New Roman"/>
          <w:color w:val="000000"/>
          <w:sz w:val="26"/>
          <w:szCs w:val="26"/>
          <w:lang w:val="uk-UA"/>
        </w:rPr>
      </w:pPr>
      <w:r>
        <w:rPr>
          <w:rFonts w:ascii="Times New Roman" w:hAnsi="Times New Roman"/>
          <w:color w:val="000000"/>
          <w:kern w:val="0"/>
          <w:sz w:val="26"/>
          <w:szCs w:val="26"/>
          <w:lang w:val="uk-UA" w:eastAsia="zh-CN" w:bidi="hi-IN"/>
        </w:rPr>
        <w:t>В рамках проєкту за</w:t>
      </w:r>
      <w:r>
        <w:rPr>
          <w:rFonts w:ascii="Times New Roman" w:hAnsi="Times New Roman"/>
          <w:bCs/>
          <w:color w:val="000000"/>
          <w:kern w:val="0"/>
          <w:sz w:val="26"/>
          <w:szCs w:val="26"/>
          <w:lang w:val="uk-UA" w:eastAsia="zh-CN" w:bidi="hi-IN"/>
        </w:rPr>
        <w:t xml:space="preserve">гальною вартістю </w:t>
      </w:r>
      <w:r>
        <w:rPr>
          <w:rFonts w:ascii="Times New Roman" w:hAnsi="Times New Roman"/>
          <w:color w:val="000000"/>
          <w:kern w:val="0"/>
          <w:sz w:val="26"/>
          <w:szCs w:val="26"/>
          <w:lang w:val="uk-UA" w:eastAsia="zh-CN" w:bidi="hi-IN"/>
        </w:rPr>
        <w:t xml:space="preserve">13,9 млн євро </w:t>
      </w:r>
      <w:r>
        <w:rPr>
          <w:rFonts w:cs="Times New Roman" w:ascii="Times New Roman" w:hAnsi="Times New Roman"/>
          <w:color w:val="000000"/>
          <w:kern w:val="0"/>
          <w:sz w:val="26"/>
          <w:szCs w:val="26"/>
          <w:lang w:val="uk-UA" w:eastAsia="zh-CN" w:bidi="hi-IN"/>
        </w:rPr>
        <w:t>виготовлено проєктно-кошторисну документацію водогонів в с. Боратин до Гнідавської станції водопідготовки та на вул. Карпенка-Карого від Дубнівської станції водопідготовки,</w:t>
      </w:r>
      <w:r>
        <w:rPr>
          <w:rFonts w:cs="Times New Roman" w:ascii="Times New Roman" w:hAnsi="Times New Roman"/>
          <w:bCs/>
          <w:color w:val="000000"/>
          <w:kern w:val="0"/>
          <w:sz w:val="26"/>
          <w:szCs w:val="26"/>
          <w:lang w:val="uk-UA" w:eastAsia="zh-CN" w:bidi="hi-IN"/>
        </w:rPr>
        <w:t xml:space="preserve"> отримано експертний висновок та дозвіл на виконання будівельних робіт.</w:t>
      </w:r>
    </w:p>
    <w:p>
      <w:pPr>
        <w:pStyle w:val="Normal"/>
        <w:widowControl w:val="false"/>
        <w:spacing w:lineRule="auto" w:line="240"/>
        <w:ind w:firstLine="567"/>
        <w:jc w:val="both"/>
        <w:rPr>
          <w:rFonts w:ascii="Times New Roman" w:hAnsi="Times New Roman"/>
          <w:color w:val="000000"/>
          <w:sz w:val="26"/>
          <w:szCs w:val="26"/>
          <w:lang w:val="uk-UA"/>
        </w:rPr>
      </w:pPr>
      <w:r>
        <w:rPr>
          <w:rFonts w:cs="Times New Roman" w:ascii="Times New Roman" w:hAnsi="Times New Roman"/>
          <w:bCs/>
          <w:color w:val="000000"/>
          <w:kern w:val="0"/>
          <w:sz w:val="26"/>
          <w:szCs w:val="26"/>
          <w:lang w:val="uk-UA" w:eastAsia="zh-CN" w:bidi="hi-IN"/>
        </w:rPr>
        <w:t>Завершено придбання лабораторного обладнання, частково придбано автомобільне обладнання (трактори). Триває тендер на придбання спеціального автотранспорту. Триває обрання переможця в межах компоненту «Реконструкція каналізаційних очисних споруд м. Луцьк з добудовою блоку біоенергетичної переробки та утилізації відхо</w:t>
      </w:r>
      <w:r>
        <w:rPr>
          <w:rFonts w:cs="Times New Roman" w:ascii="Times New Roman" w:hAnsi="Times New Roman"/>
          <w:bCs/>
          <w:color w:val="000000"/>
          <w:kern w:val="0"/>
          <w:sz w:val="26"/>
          <w:szCs w:val="26"/>
          <w:lang w:val="uk-UA"/>
        </w:rPr>
        <w:t>дів»</w:t>
      </w:r>
      <w:r>
        <w:rPr>
          <w:rFonts w:cs="Times New Roman" w:ascii="Times New Roman" w:hAnsi="Times New Roman"/>
          <w:bCs/>
          <w:color w:val="000000"/>
          <w:kern w:val="0"/>
          <w:sz w:val="26"/>
          <w:szCs w:val="26"/>
          <w:lang w:val="uk-UA" w:eastAsia="ru-RU"/>
        </w:rPr>
        <w:t>.</w:t>
      </w:r>
    </w:p>
    <w:p>
      <w:pPr>
        <w:pStyle w:val="Normal"/>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sz w:val="26"/>
          <w:szCs w:val="26"/>
          <w:lang w:val="uk-UA"/>
        </w:rPr>
        <w:t>9. </w:t>
      </w:r>
      <w:r>
        <w:rPr>
          <w:rFonts w:cs="Times New Roman" w:ascii="Times New Roman" w:hAnsi="Times New Roman"/>
          <w:b/>
          <w:bCs/>
          <w:color w:val="000000"/>
          <w:kern w:val="0"/>
          <w:sz w:val="26"/>
          <w:szCs w:val="26"/>
          <w:lang w:val="uk-UA"/>
        </w:rPr>
        <w:t>Реалізація грантового проєкту «Конденсаційна рекуперація тепла з дим</w:t>
      </w:r>
      <w:r>
        <w:rPr>
          <w:rFonts w:cs="Times New Roman" w:ascii="Times New Roman" w:hAnsi="Times New Roman"/>
          <w:b/>
          <w:bCs/>
          <w:color w:val="000000"/>
          <w:kern w:val="0"/>
          <w:sz w:val="26"/>
          <w:szCs w:val="26"/>
          <w:shd w:fill="auto" w:val="clear"/>
          <w:lang w:val="uk-UA"/>
        </w:rPr>
        <w:t>ових газів – Луцьк 5 МВт».</w:t>
      </w:r>
    </w:p>
    <w:p>
      <w:pPr>
        <w:pStyle w:val="Standard"/>
        <w:widowControl w:val="false"/>
        <w:shd w:val="clear" w:color="auto" w:fill="FFFFFF"/>
        <w:tabs>
          <w:tab w:val="clear" w:pos="720"/>
          <w:tab w:val="left" w:pos="840" w:leader="none"/>
        </w:tabs>
        <w:snapToGrid w:val="false"/>
        <w:spacing w:lineRule="auto" w:line="240"/>
        <w:ind w:firstLine="567"/>
        <w:jc w:val="both"/>
        <w:rPr>
          <w:rFonts w:ascii="Times New Roman" w:hAnsi="Times New Roman"/>
          <w:color w:val="000000"/>
          <w:sz w:val="26"/>
          <w:szCs w:val="26"/>
          <w:shd w:fill="auto" w:val="clear"/>
          <w:lang w:val="uk-UA"/>
        </w:rPr>
      </w:pPr>
      <w:r>
        <w:rPr>
          <w:rFonts w:cs="Times New Roman" w:ascii="Times New Roman" w:hAnsi="Times New Roman"/>
          <w:color w:val="000000"/>
          <w:sz w:val="26"/>
          <w:szCs w:val="26"/>
          <w:shd w:fill="auto" w:val="clear"/>
          <w:lang w:val="uk-UA" w:eastAsia="ru-RU"/>
        </w:rPr>
        <w:t>Завершено тендер на вибір технічного консультанта та визначено переможця, який спільно зі спеціалістами ДКП «Луцьктепло» працює над розробкою тендерної документації проєкту.</w:t>
      </w:r>
    </w:p>
    <w:p>
      <w:pPr>
        <w:pStyle w:val="Normal"/>
        <w:shd w:val="clear" w:color="auto" w:fill="FFFFFF"/>
        <w:spacing w:lineRule="auto" w:line="240"/>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 xml:space="preserve">10. Проведення конкурсів </w:t>
      </w:r>
      <w:bookmarkStart w:id="2" w:name="_Hlk1207055141"/>
      <w:r>
        <w:rPr>
          <w:rFonts w:cs="Times New Roman" w:ascii="Times New Roman" w:hAnsi="Times New Roman"/>
          <w:b/>
          <w:bCs/>
          <w:color w:val="000000"/>
          <w:kern w:val="0"/>
          <w:sz w:val="26"/>
          <w:szCs w:val="26"/>
          <w:lang w:val="uk-UA"/>
        </w:rPr>
        <w:t>Бюджету участі Луцької міської територіальної громади та Бюджету участі сільських територій громади</w:t>
      </w:r>
      <w:bookmarkEnd w:id="2"/>
      <w:r>
        <w:rPr>
          <w:rFonts w:cs="Times New Roman" w:ascii="Times New Roman" w:hAnsi="Times New Roman"/>
          <w:b/>
          <w:bCs/>
          <w:color w:val="000000"/>
          <w:kern w:val="0"/>
          <w:sz w:val="26"/>
          <w:szCs w:val="26"/>
          <w:lang w:val="uk-UA"/>
        </w:rPr>
        <w:t>, реалізація проєктів-переможців конкурсів 2021 та 2023 років.</w:t>
      </w:r>
    </w:p>
    <w:p>
      <w:pPr>
        <w:pStyle w:val="Normal"/>
        <w:widowControl w:val="false"/>
        <w:snapToGrid w:val="false"/>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У 2024 році було проведено два конкурси </w:t>
      </w:r>
      <w:r>
        <w:rPr>
          <w:rFonts w:cs="Times New Roman" w:ascii="Times New Roman" w:hAnsi="Times New Roman"/>
          <w:color w:val="000000"/>
          <w:kern w:val="0"/>
          <w:sz w:val="26"/>
          <w:szCs w:val="26"/>
          <w:lang w:val="uk-UA" w:eastAsia="ru-RU"/>
        </w:rPr>
        <w:t>«Бюджет участі 4.5.0» Луцької міської територіальної громади, основним пріоритетом яких є</w:t>
      </w:r>
      <w:r>
        <w:rPr>
          <w:rFonts w:cs="Times New Roman" w:ascii="Times New Roman" w:hAnsi="Times New Roman"/>
          <w:color w:val="000000"/>
          <w:sz w:val="26"/>
          <w:szCs w:val="26"/>
          <w:lang w:val="uk-UA"/>
        </w:rPr>
        <w:t xml:space="preserve"> підтримка Сил безпеки й оборони України, забезпечення функціонування цивільної інфраструктури та підтримка цивільного населення в умовах воєнного часу. Переможцями стали 32 проєкти, переважна більшість з яких була спрямована на комплектування підрозділів та формувань Сил безпеки й оборони України. Дрони DJI Mavic 3 та 3T, FPV, тепловізійні приціли та ПНБ, засоби РЕБ, системи захисту від протипіхотних мін було передано військовим част</w:t>
      </w:r>
      <w:r>
        <w:rPr>
          <w:rFonts w:cs="Times New Roman" w:ascii="Times New Roman" w:hAnsi="Times New Roman"/>
          <w:strike w:val="false"/>
          <w:dstrike w:val="false"/>
          <w:color w:val="000000"/>
          <w:sz w:val="26"/>
          <w:szCs w:val="26"/>
          <w:shd w:fill="auto" w:val="clear"/>
          <w:lang w:val="uk-UA"/>
        </w:rPr>
        <w:t>инам та рятувальним загонам ДСНС України.</w:t>
      </w:r>
    </w:p>
    <w:p>
      <w:pPr>
        <w:pStyle w:val="Normal"/>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11. Відновлення роботи Луцької дитячої залізниці.</w:t>
      </w:r>
    </w:p>
    <w:p>
      <w:pPr>
        <w:pStyle w:val="Normal"/>
        <w:widowControl w:val="false"/>
        <w:snapToGrid w:val="false"/>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На території Луцької дитячої залізниці, яка була передана у власність громади, встановлено систему відеонагляду, облаштоване освітлення території та підключено охорону.</w:t>
      </w:r>
    </w:p>
    <w:p>
      <w:pPr>
        <w:pStyle w:val="Normal"/>
        <w:widowControl w:val="false"/>
        <w:snapToGrid w:val="false"/>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Проведено ряд опитувань громадської думки щодо подальшого розвитку об’єкта та прилеглої території для формування остаточної концепції ревіталізації дитячої залізниці.</w:t>
      </w:r>
    </w:p>
    <w:p>
      <w:pPr>
        <w:pStyle w:val="Normal"/>
        <w:shd w:val="clear" w:color="auto" w:fill="FFFFFF"/>
        <w:spacing w:lineRule="auto" w:line="240"/>
        <w:ind w:firstLine="567"/>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12. Реконструкція комунального закладу «Луцька загальноосвітня школа І-ІІІ ступенів № 13» (корпус 2) на вул. Чернишевського, 29 в м. Луцьку Волинської області у співпраці з Європейським інвестиційним банком та ПРООН (UNDP).</w:t>
      </w:r>
    </w:p>
    <w:p>
      <w:pPr>
        <w:pStyle w:val="Normal"/>
        <w:widowControl w:val="false"/>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Підписано Угоду про передачу коштів позики № 13110-05/231 між Міністерством фінансів України, Міністерством розвитку громад, територій та інфраструктури України, Луцькою міською радою та управлінням капітального будівництва Луцької міської ради для реалізації проєкту «Реконструкція комунального закладу “Луцька загальноосвітня школа І-ІІІ ступенів № 13” (корпус № 2) на вул. Чернишевського, 29 в м. Луцьку Волинської області». Реконструкція комунального закладу відбуватиметься в рамках фінансової угоди між Україною та Європейським інвестиційним банком (проєкт «Надзвичайна кредитна програма для відновлення України»). Кошти ЄІБ надаватимуться у вигляді субвенції з державного бюджету місцевим бюджетам.</w:t>
      </w:r>
    </w:p>
    <w:p>
      <w:pPr>
        <w:pStyle w:val="Normal"/>
        <w:widowControl w:val="false"/>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У 2024 році проведено тендер на визначення переможця для виконання відповідних робіт, підписано договір з підрядником та розпочато будівельні роботи.</w:t>
      </w:r>
    </w:p>
    <w:p>
      <w:pPr>
        <w:pStyle w:val="Normal"/>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kern w:val="0"/>
          <w:sz w:val="26"/>
          <w:szCs w:val="26"/>
          <w:lang w:val="uk-UA"/>
        </w:rPr>
        <w:t>13. Реалізація проєкту «Створення багатофункціонального простору для бізнесу в місті Луцьку» в рамках програми «Підтримка швидкого економічного відновлення українських муніципалітетів» у співпраці з Програмою розвитку Організації Об’єднаних Націй «ПРООН», урядом Німеччини та GIZ.</w:t>
      </w:r>
    </w:p>
    <w:p>
      <w:pPr>
        <w:pStyle w:val="Normal"/>
        <w:widowControl w:val="false"/>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В рамках спільного з ПРООН проєкту </w:t>
      </w:r>
      <w:r>
        <w:rPr>
          <w:rFonts w:ascii="Times New Roman" w:hAnsi="Times New Roman"/>
          <w:color w:val="000000"/>
          <w:sz w:val="26"/>
          <w:szCs w:val="26"/>
          <w:lang w:val="uk-UA"/>
        </w:rPr>
        <w:t>«Створення багатофункціонального простору для бізнесу в місті Луцьку» в межах програми</w:t>
      </w:r>
      <w:r>
        <w:rPr>
          <w:rFonts w:cs="Times New Roman" w:ascii="Times New Roman" w:hAnsi="Times New Roman"/>
          <w:color w:val="000000"/>
          <w:sz w:val="26"/>
          <w:szCs w:val="26"/>
          <w:lang w:val="uk-UA"/>
        </w:rPr>
        <w:t xml:space="preserve"> «Підтримка швидкого економічного відновлення українських муніципалітетів» </w:t>
      </w:r>
      <w:r>
        <w:rPr>
          <w:rFonts w:cs="Times New Roman" w:ascii="Times New Roman" w:hAnsi="Times New Roman"/>
          <w:color w:val="000000"/>
          <w:kern w:val="0"/>
          <w:sz w:val="26"/>
          <w:szCs w:val="26"/>
          <w:lang w:val="uk-UA"/>
        </w:rPr>
        <w:t>протягом 2024 року тривали роботи з реставрації приміщення колишнього кінотеатру «Батьківщина» на вул. П’ятницька Гірка, 2.</w:t>
      </w:r>
    </w:p>
    <w:p>
      <w:pPr>
        <w:pStyle w:val="Normal"/>
        <w:widowControl w:val="false"/>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Отримано грантове фінансування у сумі 900 159,4 дол. США. Відкриття бізнес-хабу планується весною 2025 року.</w:t>
      </w:r>
    </w:p>
    <w:p>
      <w:pPr>
        <w:pStyle w:val="Normal"/>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Standard"/>
        <w:shd w:val="clear" w:color="auto" w:fill="FFFFFF"/>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b/>
          <w:bCs/>
          <w:color w:val="000000"/>
          <w:kern w:val="0"/>
          <w:sz w:val="26"/>
          <w:szCs w:val="26"/>
          <w:lang w:val="uk-UA"/>
        </w:rPr>
        <w:t>14. Забезпечення роботи «Центру взаємопідтримки внутрішньо переміщених осіб».</w:t>
      </w:r>
    </w:p>
    <w:p>
      <w:pPr>
        <w:pStyle w:val="Normal"/>
        <w:widowControl w:val="false"/>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«Центр взаємопідтримки внутрішньо переміщених осіб» функціонував до 11 березня 2024 року. Згідно визначених потреб, Центром надавалась допомога (продукти харчування, дитяче харчування, підгузки, одяг, взуття, постільна білизна тощо) сім’ям з дітьми, які поселились у Луцькій міській територіальній громаді, зареєструвались в департаменті соціальної політики як внутрішньо переміщені особи та отримали довідку для отримання допомоги.</w:t>
      </w:r>
    </w:p>
    <w:p>
      <w:pPr>
        <w:pStyle w:val="Normal"/>
        <w:widowControl w:val="false"/>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 xml:space="preserve">З 8 травня 2024 року відновив свою роботу Кабінет екстреної допомоги, який функціонував при управлінні соціальних служб для сім’ї, дітей та молоді до повномасштабного вторгнення. За допомогою можуть звертатися члени сімей, на вихованні яких є діти з інвалідністю, сім’ї військовослужбовців, сім’ї опікунів й піклувальників, сім’ї з дітьми, які опинились в складних життєвих обставинах, в т. ч. сім’ї з дітьми внутрішньо переміщених осіб. Тут вони можуть отримати безоплатний вторинний одяг, взуття тощо, які надходять від благодійників та волонтерів. </w:t>
      </w:r>
      <w:r>
        <w:rPr>
          <w:rFonts w:eastAsia="Calibri" w:cs="Times New Roman" w:ascii="Times New Roman" w:hAnsi="Times New Roman"/>
          <w:color w:val="000000"/>
          <w:kern w:val="0"/>
          <w:sz w:val="26"/>
          <w:szCs w:val="26"/>
          <w:lang w:val="uk-UA" w:eastAsia="en-US" w:bidi="ar-SA"/>
        </w:rPr>
        <w:t>За час роботи Кабінету допомогу отримали 1 025 внутрішньо переміщених осіб, видано понад 9</w:t>
      </w:r>
      <w:r>
        <w:rPr>
          <w:rFonts w:eastAsia="Times New Roman" w:cs="Times New Roman" w:ascii="Times New Roman" w:hAnsi="Times New Roman"/>
          <w:color w:val="000000"/>
          <w:kern w:val="0"/>
          <w:sz w:val="26"/>
          <w:szCs w:val="26"/>
          <w:lang w:val="uk-UA" w:eastAsia="ru-RU" w:bidi="ar-SA"/>
        </w:rPr>
        <w:t> т допомоги.</w:t>
      </w:r>
    </w:p>
    <w:p>
      <w:pPr>
        <w:pStyle w:val="Standard"/>
        <w:shd w:val="clear" w:color="auto" w:fill="FFFFFF"/>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Standard"/>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b/>
          <w:bCs/>
          <w:color w:val="000000"/>
          <w:sz w:val="26"/>
          <w:szCs w:val="26"/>
          <w:lang w:val="uk-UA" w:eastAsia="x-none"/>
        </w:rPr>
        <w:t>15. Р</w:t>
      </w:r>
      <w:r>
        <w:rPr>
          <w:rFonts w:eastAsia="Calibri" w:cs="Times New Roman" w:ascii="Times New Roman" w:hAnsi="Times New Roman"/>
          <w:b/>
          <w:bCs/>
          <w:color w:val="000000"/>
          <w:sz w:val="26"/>
          <w:szCs w:val="26"/>
          <w:lang w:val="uk-UA"/>
        </w:rPr>
        <w:t>озвиток системи надання спеціалізованих послуг в громаді: Мобільні бригади соціально-психологічної допомоги особам, які постраждали від домашнього насильства та/або насильства за ознакою статі, кар’єрний хаб «ВОНА хаб. Луцьк».</w:t>
      </w:r>
    </w:p>
    <w:p>
      <w:pPr>
        <w:pStyle w:val="Normal"/>
        <w:widowControl w:val="false"/>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Для розбудови системи надання спеціалізованих послуг з питань запобігання домашнього насильства при управлінні соціальних служб для сім’ї, дітей та молоді за підтримки Фонду ООН у галузі народонаселення в Україні (UNFPA) функціонують дві мобільні бригади соціально-психологічної допомоги особам, які постраждали від домашнього насильства та/або насильства за ознакою статі, якими за </w:t>
      </w:r>
      <w:r>
        <w:rPr>
          <w:rFonts w:eastAsia="Times New Roman" w:cs="Times New Roman" w:ascii="Times New Roman" w:hAnsi="Times New Roman"/>
          <w:color w:val="000000"/>
          <w:kern w:val="0"/>
          <w:sz w:val="26"/>
          <w:szCs w:val="26"/>
          <w:lang w:val="uk-UA" w:eastAsia="ru-RU" w:bidi="ar-SA"/>
        </w:rPr>
        <w:t>2024 рік</w:t>
      </w:r>
      <w:r>
        <w:rPr>
          <w:rFonts w:eastAsia="Calibri" w:cs="Times New Roman" w:ascii="Times New Roman" w:hAnsi="Times New Roman"/>
          <w:color w:val="000000"/>
          <w:kern w:val="0"/>
          <w:sz w:val="26"/>
          <w:szCs w:val="26"/>
          <w:lang w:val="uk-UA" w:eastAsia="en-US" w:bidi="ar-SA"/>
        </w:rPr>
        <w:t xml:space="preserve"> здійснено 536 виїздів та охоплено соціальними послугами 1 113 осіб; у галузі народонаселення працює 3 кейс-менеджера, які здійснюють соціальний супровід постраждалих від домашнього насильства (за 2024 рік </w:t>
      </w:r>
      <w:r>
        <w:rPr>
          <w:rFonts w:eastAsia="Times New Roman" w:cs="Times New Roman" w:ascii="Times New Roman" w:hAnsi="Times New Roman"/>
          <w:color w:val="000000"/>
          <w:kern w:val="0"/>
          <w:sz w:val="26"/>
          <w:szCs w:val="26"/>
          <w:lang w:val="uk-UA" w:eastAsia="en-US" w:bidi="ar-SA"/>
        </w:rPr>
        <w:t>–</w:t>
      </w:r>
      <w:r>
        <w:rPr>
          <w:rFonts w:eastAsia="Calibri" w:cs="Times New Roman" w:ascii="Times New Roman" w:hAnsi="Times New Roman"/>
          <w:color w:val="000000"/>
          <w:kern w:val="0"/>
          <w:sz w:val="26"/>
          <w:szCs w:val="26"/>
          <w:lang w:val="uk-UA" w:eastAsia="en-US" w:bidi="ar-SA"/>
        </w:rPr>
        <w:t xml:space="preserve"> 171 особа).</w:t>
      </w:r>
    </w:p>
    <w:p>
      <w:pPr>
        <w:pStyle w:val="Normal"/>
        <w:widowControl w:val="false"/>
        <w:spacing w:lineRule="auto" w:line="240"/>
        <w:ind w:firstLine="567"/>
        <w:jc w:val="both"/>
        <w:rPr>
          <w:rFonts w:ascii="Times New Roman" w:hAnsi="Times New Roman"/>
          <w:color w:val="000000"/>
          <w:sz w:val="26"/>
          <w:szCs w:val="26"/>
          <w:lang w:val="uk-UA"/>
        </w:rPr>
      </w:pPr>
      <w:r>
        <w:rPr>
          <w:rFonts w:eastAsia="Arial Unicode MS" w:cs="Times New Roman" w:ascii="Times New Roman" w:hAnsi="Times New Roman"/>
          <w:color w:val="000000"/>
          <w:kern w:val="0"/>
          <w:sz w:val="26"/>
          <w:szCs w:val="26"/>
          <w:lang w:val="uk-UA" w:eastAsia="ru-RU" w:bidi="ar-SA"/>
        </w:rPr>
        <w:t xml:space="preserve">Протягом 2024 року в хабі </w:t>
      </w:r>
      <w:r>
        <w:rPr>
          <w:rFonts w:eastAsia="Arial Unicode MS" w:cs="Times New Roman" w:ascii="Times New Roman" w:hAnsi="Times New Roman"/>
          <w:bCs/>
          <w:color w:val="000000"/>
          <w:kern w:val="0"/>
          <w:sz w:val="26"/>
          <w:szCs w:val="26"/>
          <w:lang w:val="uk-UA" w:eastAsia="ru-RU" w:bidi="ar-SA"/>
        </w:rPr>
        <w:t xml:space="preserve">«ВОНА хаб» </w:t>
      </w:r>
      <w:r>
        <w:rPr>
          <w:rFonts w:eastAsia="Arial Unicode MS" w:cs="Times New Roman" w:ascii="Times New Roman" w:hAnsi="Times New Roman"/>
          <w:color w:val="000000"/>
          <w:kern w:val="0"/>
          <w:sz w:val="26"/>
          <w:szCs w:val="26"/>
          <w:lang w:val="uk-UA" w:eastAsia="ru-RU" w:bidi="ar-SA"/>
        </w:rPr>
        <w:t xml:space="preserve">проводились різноманітні групові заходи для жінок (психологічні тренінги, арттерапевтичні заняття, майстер класи, тренінги з розвитку м’яких навичок, тест-драйв професій тощо) та надавались індивідуальні консультації: </w:t>
      </w:r>
      <w:r>
        <w:rPr>
          <w:rFonts w:eastAsia="Montserrat" w:cs="Times New Roman" w:ascii="Times New Roman" w:hAnsi="Times New Roman"/>
          <w:bCs/>
          <w:color w:val="000000"/>
          <w:sz w:val="26"/>
          <w:szCs w:val="26"/>
          <w:lang w:val="uk-UA" w:eastAsia="ru-RU" w:bidi="ar-SA"/>
        </w:rPr>
        <w:t xml:space="preserve">практичні заняття </w:t>
      </w:r>
      <w:r>
        <w:rPr>
          <w:rFonts w:eastAsia="Montserrat" w:cs="Times New Roman" w:ascii="Times New Roman" w:hAnsi="Times New Roman"/>
          <w:color w:val="000000"/>
          <w:sz w:val="26"/>
          <w:szCs w:val="26"/>
          <w:lang w:val="uk-UA" w:eastAsia="ru-RU" w:bidi="ar-SA"/>
        </w:rPr>
        <w:t xml:space="preserve">для створення </w:t>
      </w:r>
      <w:r>
        <w:rPr>
          <w:rFonts w:eastAsia="Montserrat" w:cs="Times New Roman" w:ascii="Times New Roman" w:hAnsi="Times New Roman"/>
          <w:bCs/>
          <w:color w:val="000000"/>
          <w:sz w:val="26"/>
          <w:szCs w:val="26"/>
          <w:lang w:val="uk-UA" w:eastAsia="ru-RU" w:bidi="ar-SA"/>
        </w:rPr>
        <w:t>резюме, проходження співбесіди, заповнення грантових заявок тощо. А</w:t>
      </w:r>
      <w:r>
        <w:rPr>
          <w:rFonts w:eastAsia="Calibri" w:cs="Times New Roman" w:ascii="Times New Roman" w:hAnsi="Times New Roman"/>
          <w:bCs/>
          <w:color w:val="000000"/>
          <w:kern w:val="0"/>
          <w:sz w:val="26"/>
          <w:szCs w:val="26"/>
          <w:lang w:val="uk-UA" w:eastAsia="en-US" w:bidi="ar-SA"/>
        </w:rPr>
        <w:t xml:space="preserve">ктивно розвивався новий напрямок – робота в старостинських округах та залучення жінок, які проживають в сільській місцевості. </w:t>
      </w:r>
      <w:r>
        <w:rPr>
          <w:rFonts w:eastAsia="Montserrat" w:cs="Times New Roman" w:ascii="Times New Roman" w:hAnsi="Times New Roman"/>
          <w:bCs/>
          <w:color w:val="000000"/>
          <w:sz w:val="26"/>
          <w:szCs w:val="26"/>
          <w:lang w:val="uk-UA" w:eastAsia="ru-RU" w:bidi="ar-SA"/>
        </w:rPr>
        <w:t>Всього у хабі в 2024 році було організовано та проведено 217 заходів (з них – 33 </w:t>
      </w:r>
      <w:r>
        <w:rPr>
          <w:rFonts w:eastAsia="Times New Roman" w:cs="Times New Roman" w:ascii="Times New Roman" w:hAnsi="Times New Roman"/>
          <w:color w:val="000000"/>
          <w:kern w:val="0"/>
          <w:sz w:val="26"/>
          <w:szCs w:val="26"/>
          <w:lang w:val="uk-UA" w:eastAsia="uk-UA" w:bidi="ar-SA"/>
        </w:rPr>
        <w:t>заходи для жінок, які проживають в сільській місцевості</w:t>
      </w:r>
      <w:r>
        <w:rPr>
          <w:rFonts w:eastAsia="Montserrat" w:cs="Times New Roman" w:ascii="Times New Roman" w:hAnsi="Times New Roman"/>
          <w:bCs/>
          <w:color w:val="000000"/>
          <w:sz w:val="26"/>
          <w:szCs w:val="26"/>
          <w:lang w:val="uk-UA" w:eastAsia="ru-RU" w:bidi="ar-SA"/>
        </w:rPr>
        <w:t xml:space="preserve">), які відвідали 5 176 жінок; ряд короткострокових професійних курсів («Кравчині», </w:t>
      </w:r>
      <w:r>
        <w:rPr>
          <w:rFonts w:eastAsia="Times New Roman" w:cs="Times New Roman" w:ascii="Times New Roman" w:hAnsi="Times New Roman"/>
          <w:bCs/>
          <w:color w:val="000000"/>
          <w:kern w:val="0"/>
          <w:sz w:val="26"/>
          <w:szCs w:val="26"/>
          <w:lang w:val="uk-UA" w:eastAsia="ru-RU" w:bidi="ar-SA"/>
        </w:rPr>
        <w:t>«Гідеси», «Водійки», «Кондитерки», «Основи макіяжу», «Графічний дизайн»,</w:t>
      </w:r>
      <w:r>
        <w:rPr>
          <w:rFonts w:eastAsia="Calibri" w:cs="Times New Roman" w:ascii="Times New Roman" w:hAnsi="Times New Roman"/>
          <w:bCs/>
          <w:color w:val="000000"/>
          <w:kern w:val="0"/>
          <w:sz w:val="26"/>
          <w:szCs w:val="26"/>
          <w:lang w:val="uk-UA" w:eastAsia="en-US" w:bidi="ar-SA"/>
        </w:rPr>
        <w:t xml:space="preserve"> «Вивчення англійської мови»</w:t>
      </w:r>
      <w:r>
        <w:rPr>
          <w:rFonts w:eastAsia="Times New Roman" w:cs="Times New Roman" w:ascii="Times New Roman" w:hAnsi="Times New Roman"/>
          <w:bCs/>
          <w:color w:val="000000"/>
          <w:kern w:val="0"/>
          <w:sz w:val="26"/>
          <w:szCs w:val="26"/>
          <w:lang w:val="uk-UA" w:eastAsia="ru-RU" w:bidi="ar-SA"/>
        </w:rPr>
        <w:t>, «Масаж»), якими охоплено 112 жінок.</w:t>
      </w:r>
    </w:p>
    <w:p>
      <w:pPr>
        <w:pStyle w:val="Normal"/>
        <w:widowControl w:val="false"/>
        <w:tabs>
          <w:tab w:val="clear" w:pos="720"/>
          <w:tab w:val="left" w:pos="0" w:leader="none"/>
        </w:tabs>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Індивідуальні консультації отримали 957 жінок, для 176 жінок створили плани економічної безпеки, 114 жінок за результатами консультацій та складання резюме працевлаштовано, 50 жінок відкрили свій бізнес чи стали самозайнятими.</w:t>
      </w:r>
    </w:p>
    <w:p>
      <w:pPr>
        <w:pStyle w:val="Standard"/>
        <w:shd w:val="clear" w:color="auto" w:fill="FFFFFF"/>
        <w:spacing w:lineRule="auto" w:line="240"/>
        <w:ind w:firstLine="567"/>
        <w:jc w:val="both"/>
        <w:rPr>
          <w:rFonts w:ascii="Times New Roman" w:hAnsi="Times New Roman" w:eastAsia="Calibri" w:cs="Times New Roman"/>
          <w:b/>
          <w:b/>
          <w:bCs/>
          <w:color w:val="000000"/>
          <w:kern w:val="0"/>
          <w:sz w:val="26"/>
          <w:szCs w:val="26"/>
          <w:lang w:val="uk-UA"/>
        </w:rPr>
      </w:pPr>
      <w:r>
        <w:rPr>
          <w:rFonts w:eastAsia="Calibri" w:cs="Times New Roman" w:ascii="Times New Roman" w:hAnsi="Times New Roman"/>
          <w:b/>
          <w:bCs/>
          <w:color w:val="000000"/>
          <w:kern w:val="0"/>
          <w:sz w:val="26"/>
          <w:szCs w:val="26"/>
          <w:lang w:val="uk-UA"/>
        </w:rPr>
      </w:r>
    </w:p>
    <w:p>
      <w:pPr>
        <w:pStyle w:val="Standard"/>
        <w:shd w:val="clear" w:color="auto" w:fill="FFFFFF"/>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b/>
          <w:bCs/>
          <w:color w:val="000000"/>
          <w:kern w:val="0"/>
          <w:sz w:val="26"/>
          <w:szCs w:val="26"/>
          <w:lang w:val="uk-UA"/>
        </w:rPr>
        <w:t xml:space="preserve">16. Впровадження програми «Родина для кожної дитини» у межах реалізації пілотного проєкту </w:t>
      </w:r>
      <w:r>
        <w:rPr>
          <w:rFonts w:eastAsia="Times New Roman" w:cs="Times New Roman" w:ascii="Times New Roman" w:hAnsi="Times New Roman"/>
          <w:b/>
          <w:bCs/>
          <w:color w:val="000000"/>
          <w:spacing w:val="4"/>
          <w:kern w:val="0"/>
          <w:sz w:val="26"/>
          <w:szCs w:val="26"/>
          <w:lang w:val="uk-UA" w:eastAsia="ru-RU"/>
        </w:rPr>
        <w:t>«Кращий догляд для кожної дитини» Дитячого фонду ООН (ЮНІСЕФ).</w:t>
      </w:r>
    </w:p>
    <w:p>
      <w:pPr>
        <w:pStyle w:val="Normal"/>
        <w:widowControl w:val="false"/>
        <w:tabs>
          <w:tab w:val="clear" w:pos="720"/>
          <w:tab w:val="left" w:pos="8306" w:leader="none"/>
        </w:tabs>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bCs/>
          <w:color w:val="000000"/>
          <w:kern w:val="0"/>
          <w:sz w:val="26"/>
          <w:szCs w:val="26"/>
          <w:lang w:val="uk-UA" w:eastAsia="ru-RU" w:bidi="ar-SA"/>
        </w:rPr>
        <w:t>З метою впровадження</w:t>
      </w:r>
      <w:r>
        <w:rPr>
          <w:rFonts w:eastAsia="Calibri" w:cs="Times New Roman" w:ascii="Times New Roman" w:hAnsi="Times New Roman"/>
          <w:color w:val="000000"/>
          <w:kern w:val="0"/>
          <w:sz w:val="26"/>
          <w:szCs w:val="26"/>
          <w:lang w:val="uk-UA" w:eastAsia="en-US" w:bidi="ar-SA"/>
        </w:rPr>
        <w:t xml:space="preserve"> в Луцькій міській територіальній громаді програми «Родина для кожної дитини» у межах реалізації пілотного проєкту </w:t>
      </w:r>
      <w:r>
        <w:rPr>
          <w:rFonts w:eastAsia="Times New Roman" w:cs="Times New Roman" w:ascii="Times New Roman" w:hAnsi="Times New Roman"/>
          <w:color w:val="000000"/>
          <w:spacing w:val="4"/>
          <w:kern w:val="0"/>
          <w:sz w:val="26"/>
          <w:szCs w:val="26"/>
          <w:lang w:val="uk-UA" w:eastAsia="ru-RU" w:bidi="ar-SA"/>
        </w:rPr>
        <w:t>«Кращий догляд для кожної дитини» Дитячого фонду ООН (ЮНІСЕФ)</w:t>
      </w:r>
      <w:r>
        <w:rPr>
          <w:rFonts w:eastAsia="Times New Roman" w:cs="Times New Roman" w:ascii="Times New Roman" w:hAnsi="Times New Roman"/>
          <w:bCs/>
          <w:color w:val="000000"/>
          <w:kern w:val="0"/>
          <w:sz w:val="26"/>
          <w:szCs w:val="26"/>
          <w:lang w:val="uk-UA" w:eastAsia="ru-RU" w:bidi="ar-SA"/>
        </w:rPr>
        <w:t xml:space="preserve"> розпорядженням міського голови створено Робочу групу </w:t>
      </w:r>
      <w:r>
        <w:rPr>
          <w:rFonts w:eastAsia="Times New Roman" w:cs="Times New Roman" w:ascii="Times New Roman" w:hAnsi="Times New Roman"/>
          <w:color w:val="000000"/>
          <w:kern w:val="0"/>
          <w:sz w:val="26"/>
          <w:szCs w:val="26"/>
          <w:lang w:val="uk-UA" w:eastAsia="ru-RU" w:bidi="ar-SA"/>
        </w:rPr>
        <w:t>з питань реалізації в Луцькій міській територіальній громаді пріоритетів державної політики у сфері формування системи кращого догляду для дітей та підтримки сімей.</w:t>
      </w:r>
    </w:p>
    <w:p>
      <w:pPr>
        <w:pStyle w:val="NormalWeb"/>
        <w:widowControl w:val="false"/>
        <w:shd w:val="clear" w:color="auto" w:fill="FFFFFF"/>
        <w:tabs>
          <w:tab w:val="clear" w:pos="720"/>
          <w:tab w:val="left" w:pos="567" w:leader="none"/>
        </w:tabs>
        <w:spacing w:lineRule="auto" w:line="240" w:before="0" w:after="0"/>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bidi="ar-SA"/>
        </w:rPr>
        <w:t>У березні 2024 року в м. Луцьку пройшов форум з розвитку соціальних послуг у територіальних громадах «Заради дитини та сім’ї». Він об’єднав представників влади та органів місцевого самоврядування Волинської, Львівської та Закарпатської областей, а також громадських активістів. Усіх, хто найбільш залучений до створення та розвитку соціальних послуг у громадах для сімей з дітьми.</w:t>
      </w:r>
    </w:p>
    <w:p>
      <w:pPr>
        <w:pStyle w:val="Normal"/>
        <w:widowControl w:val="false"/>
        <w:tabs>
          <w:tab w:val="clear" w:pos="720"/>
          <w:tab w:val="left" w:pos="8306" w:leader="none"/>
        </w:tabs>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Підписано меморандум про співпрацю</w:t>
      </w:r>
      <w:r>
        <w:rPr>
          <w:rFonts w:eastAsia="Times New Roman" w:cs="Times New Roman" w:ascii="Times New Roman" w:hAnsi="Times New Roman"/>
          <w:bCs/>
          <w:color w:val="000000"/>
          <w:kern w:val="0"/>
          <w:sz w:val="26"/>
          <w:szCs w:val="26"/>
          <w:lang w:val="uk-UA" w:eastAsia="ru-RU" w:bidi="ar-SA"/>
        </w:rPr>
        <w:t xml:space="preserve"> між Дитячим фондом ООН ЮНІСЕФ в Україні через імплементованого партнера Бл</w:t>
      </w:r>
      <w:r>
        <w:rPr>
          <w:rFonts w:eastAsia="Lucida Sans Unicode" w:cs="Times New Roman" w:ascii="Times New Roman" w:hAnsi="Times New Roman"/>
          <w:bCs/>
          <w:color w:val="000000"/>
          <w:sz w:val="26"/>
          <w:szCs w:val="26"/>
          <w:lang w:val="uk-UA"/>
        </w:rPr>
        <w:t>агодійна установа «Навчально-реабілітаційний центр "Джерело"»</w:t>
      </w:r>
      <w:r>
        <w:rPr>
          <w:rFonts w:eastAsia="Lucida Sans Unicode" w:cs="Times New Roman" w:ascii="Times New Roman" w:hAnsi="Times New Roman"/>
          <w:color w:val="000000"/>
          <w:sz w:val="26"/>
          <w:szCs w:val="26"/>
          <w:lang w:val="uk-UA"/>
        </w:rPr>
        <w:t xml:space="preserve"> та Луцькою міською радою, щодо реалізації в Луцькій міській територіальній громаді </w:t>
      </w:r>
      <w:r>
        <w:rPr>
          <w:rFonts w:eastAsia="Calibri" w:cs="Times New Roman" w:ascii="Times New Roman" w:hAnsi="Times New Roman"/>
          <w:color w:val="000000"/>
          <w:kern w:val="0"/>
          <w:sz w:val="26"/>
          <w:szCs w:val="26"/>
          <w:lang w:val="uk-UA" w:eastAsia="en-US" w:bidi="ar-SA"/>
        </w:rPr>
        <w:t xml:space="preserve">проєкту «Підвищення потенціалу громад для забезпечення інтегрованих соціальних послуг вразливим дітям у Львівській, Волинській і Закарпатській областях», що реалізується за фінансової підтримки Федерального міністерства економічного співробітництва і розвитку Німеччини (BMZ) через державний банк розвитку KfW в рамках національної програми ЮНІСЕФ «Кращий догляд для кожної дитини». </w:t>
      </w:r>
    </w:p>
    <w:p>
      <w:pPr>
        <w:pStyle w:val="NormalWeb"/>
        <w:widowControl w:val="false"/>
        <w:shd w:val="clear" w:color="auto" w:fill="FFFFFF"/>
        <w:tabs>
          <w:tab w:val="clear" w:pos="720"/>
          <w:tab w:val="left" w:pos="8306" w:leader="none"/>
        </w:tabs>
        <w:spacing w:lineRule="auto" w:line="240" w:before="0" w:after="0"/>
        <w:ind w:firstLine="567"/>
        <w:jc w:val="both"/>
        <w:rPr>
          <w:rFonts w:ascii="Times New Roman" w:hAnsi="Times New Roman"/>
          <w:color w:val="000000"/>
          <w:sz w:val="26"/>
          <w:szCs w:val="26"/>
          <w:lang w:val="uk-UA"/>
        </w:rPr>
      </w:pPr>
      <w:r>
        <w:rPr>
          <w:rFonts w:eastAsia="Calibri" w:cs="Times New Roman" w:ascii="Times New Roman" w:hAnsi="Times New Roman"/>
          <w:color w:val="000000"/>
          <w:spacing w:val="3"/>
          <w:kern w:val="0"/>
          <w:sz w:val="26"/>
          <w:szCs w:val="26"/>
          <w:lang w:val="uk-UA" w:eastAsia="en-US" w:bidi="ar-SA"/>
        </w:rPr>
        <w:t>Рішенням виконавчого комітету від 19.06.2024 № 321-1 затверджено «Порядок міжвідомчої взаємодії з виявлення та організації надання допомоги дітям та сім’ям з дітьми, які перебувають у складних життєвих обставинах, на території Луцької міської територіальної громади».</w:t>
      </w:r>
    </w:p>
    <w:p>
      <w:pPr>
        <w:pStyle w:val="Standard"/>
        <w:shd w:val="clear" w:color="auto" w:fill="FFFFFF"/>
        <w:spacing w:lineRule="auto" w:line="240"/>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r>
    </w:p>
    <w:p>
      <w:pPr>
        <w:pStyle w:val="Standard"/>
        <w:tabs>
          <w:tab w:val="clear" w:pos="720"/>
          <w:tab w:val="left" w:pos="795" w:leader="none"/>
        </w:tabs>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b/>
          <w:bCs/>
          <w:color w:val="000000"/>
          <w:kern w:val="0"/>
          <w:sz w:val="26"/>
          <w:szCs w:val="26"/>
          <w:lang w:val="uk-UA" w:eastAsia="en-US" w:bidi="ar-SA"/>
        </w:rPr>
        <w:t>17. Продовження реалізації комплексної програми «Безпечне місто Луцьк» шляхом реалізац</w:t>
      </w:r>
      <w:r>
        <w:rPr>
          <w:rFonts w:cs="Times New Roman" w:ascii="Times New Roman" w:hAnsi="Times New Roman"/>
          <w:b/>
          <w:bCs/>
          <w:color w:val="000000"/>
          <w:sz w:val="26"/>
          <w:szCs w:val="26"/>
          <w:lang w:val="uk-UA"/>
        </w:rPr>
        <w:t>ії проєктів із встановлення камер відеоспостереження на проспектах Волі, Молоді, Соборності та інших вулицях міста Луцька та інших населених пунктах громади. Забезпечення безперервної, систематичної та оперативної обробки даних відеоспостереження та відео аналітики, щодо надзвичайних подій, порушень нормальних процесів життєдіяльності населення.</w:t>
      </w:r>
    </w:p>
    <w:p>
      <w:pPr>
        <w:pStyle w:val="Normal"/>
        <w:widowControl w:val="false"/>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передпроєктні роб</w:t>
      </w:r>
      <w:r>
        <w:rPr>
          <w:rFonts w:ascii="Times New Roman" w:hAnsi="Times New Roman"/>
          <w:color w:val="000000"/>
          <w:sz w:val="26"/>
          <w:szCs w:val="26"/>
          <w:shd w:fill="auto" w:val="clear"/>
          <w:lang w:val="uk-UA"/>
        </w:rPr>
        <w:t xml:space="preserve">оти </w:t>
      </w:r>
      <w:r>
        <w:rPr>
          <w:rFonts w:eastAsia="NSimSun" w:cs="Arial" w:ascii="Times New Roman" w:hAnsi="Times New Roman"/>
          <w:color w:val="000000"/>
          <w:kern w:val="2"/>
          <w:sz w:val="26"/>
          <w:szCs w:val="26"/>
          <w:shd w:fill="auto" w:val="clear"/>
          <w:lang w:val="uk-UA" w:eastAsia="zh-CN" w:bidi="hi-IN"/>
        </w:rPr>
        <w:t>з</w:t>
      </w:r>
      <w:r>
        <w:rPr>
          <w:rFonts w:ascii="Times New Roman" w:hAnsi="Times New Roman"/>
          <w:color w:val="000000"/>
          <w:sz w:val="26"/>
          <w:szCs w:val="26"/>
          <w:shd w:fill="auto" w:val="clear"/>
          <w:lang w:val="uk-UA"/>
        </w:rPr>
        <w:t xml:space="preserve"> виготовлення проєктної документації для проєкту: «Нове будівництво волоконно-оптичних ліній зв’язку зі встановлення камер відеоспостереження по проспекту Волі та прилеглих до нього вулицях у місті Луцьку. Коригування». Проведено експертизу кошторису проєкту.</w:t>
      </w:r>
    </w:p>
    <w:p>
      <w:pPr>
        <w:pStyle w:val="Normal"/>
        <w:widowControl w:val="false"/>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shd w:fill="auto" w:val="clear"/>
          <w:lang w:val="uk-UA"/>
        </w:rPr>
        <w:t>Здійснено планове обслуговування к</w:t>
      </w:r>
      <w:r>
        <w:rPr>
          <w:rFonts w:ascii="Times New Roman" w:hAnsi="Times New Roman"/>
          <w:color w:val="000000"/>
          <w:sz w:val="26"/>
          <w:szCs w:val="26"/>
          <w:lang w:val="uk-UA"/>
        </w:rPr>
        <w:t xml:space="preserve">амер відеоспостереження «Безпечне місто Луцьк», а також кронування дерев для кращої оглядовості камер відеоспостереження. Проведено модернізацію мережевого обладнання в с. Забороль та мережевого відеореєстратора в с. Княгининок. Реалізація міської комплексної програми «Безпечне місто Луцьк» підвищила безпеку на вулицях і дорогах міста, покращила управління дорожнім рухом у місті, створила можливість більш оперативно й обґрунтовано вирішувати спірні ситуації, які виникають під час ДТП підвищила ефективність боротьби правоохоронних органів з кримінальними та терористичними загрозами. </w:t>
      </w:r>
    </w:p>
    <w:p>
      <w:pPr>
        <w:pStyle w:val="Standard"/>
        <w:tabs>
          <w:tab w:val="clear" w:pos="720"/>
          <w:tab w:val="left" w:pos="795" w:leader="none"/>
        </w:tabs>
        <w:spacing w:lineRule="auto" w:line="240"/>
        <w:ind w:firstLine="567"/>
        <w:jc w:val="both"/>
        <w:rPr>
          <w:rFonts w:ascii="Times New Roman" w:hAnsi="Times New Roman" w:cs="Times New Roman"/>
          <w:b/>
          <w:b/>
          <w:bCs/>
          <w:color w:val="000000"/>
          <w:sz w:val="26"/>
          <w:szCs w:val="26"/>
          <w:lang w:val="uk-UA"/>
        </w:rPr>
      </w:pPr>
      <w:r>
        <w:rPr>
          <w:rFonts w:cs="Times New Roman" w:ascii="Times New Roman" w:hAnsi="Times New Roman"/>
          <w:b/>
          <w:bCs/>
          <w:color w:val="000000"/>
          <w:sz w:val="26"/>
          <w:szCs w:val="26"/>
          <w:lang w:val="uk-UA"/>
        </w:rPr>
      </w:r>
    </w:p>
    <w:p>
      <w:pPr>
        <w:pStyle w:val="Standard"/>
        <w:tabs>
          <w:tab w:val="clear" w:pos="720"/>
          <w:tab w:val="left" w:pos="795" w:leader="none"/>
        </w:tabs>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sz w:val="26"/>
          <w:szCs w:val="26"/>
          <w:lang w:val="uk-UA"/>
        </w:rPr>
        <w:t>18. Реалізація проєкту «Інклюзивний простір у закладах культури».</w:t>
      </w:r>
    </w:p>
    <w:p>
      <w:pPr>
        <w:pStyle w:val="Normal"/>
        <w:widowControl w:val="false"/>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З метою забезпечення доступності культурних послуг для осіб з особливими потребами та інших маломобільних груп населення, заклади культури облаштовано засобами безперешкодного доступу відповідно до вимог безбар’єрності: пандуси, понижені пороги, кнопки виклику, </w:t>
      </w:r>
      <w:r>
        <w:rPr>
          <w:rFonts w:eastAsia="Times New Roman" w:cs="Times New Roman" w:ascii="Times New Roman" w:hAnsi="Times New Roman"/>
          <w:color w:val="000000"/>
          <w:kern w:val="0"/>
          <w:sz w:val="26"/>
          <w:szCs w:val="26"/>
          <w:lang w:val="uk-UA" w:eastAsia="en-US" w:bidi="ar-SA"/>
        </w:rPr>
        <w:t>облаштовано с</w:t>
      </w:r>
      <w:r>
        <w:rPr>
          <w:rFonts w:eastAsia="Times New Roman" w:cs="Times New Roman" w:ascii="Times New Roman" w:hAnsi="Times New Roman"/>
          <w:color w:val="000000"/>
          <w:spacing w:val="-1"/>
          <w:kern w:val="0"/>
          <w:sz w:val="26"/>
          <w:szCs w:val="26"/>
          <w:lang w:val="uk-UA" w:eastAsia="en-US" w:bidi="ar-SA"/>
        </w:rPr>
        <w:t xml:space="preserve">анітарно-гігієнічні </w:t>
      </w:r>
      <w:r>
        <w:rPr>
          <w:rFonts w:eastAsia="Times New Roman" w:cs="Times New Roman" w:ascii="Times New Roman" w:hAnsi="Times New Roman"/>
          <w:color w:val="000000"/>
          <w:kern w:val="0"/>
          <w:sz w:val="26"/>
          <w:szCs w:val="26"/>
          <w:lang w:val="uk-UA" w:eastAsia="en-US" w:bidi="ar-SA"/>
        </w:rPr>
        <w:t>кімнати</w:t>
      </w:r>
      <w:r>
        <w:rPr>
          <w:rFonts w:eastAsia="Calibri" w:cs="Times New Roman" w:ascii="Times New Roman" w:hAnsi="Times New Roman"/>
          <w:color w:val="000000"/>
          <w:kern w:val="0"/>
          <w:sz w:val="26"/>
          <w:szCs w:val="26"/>
          <w:lang w:val="uk-UA" w:eastAsia="en-US" w:bidi="ar-SA"/>
        </w:rPr>
        <w:t>. Функціонує версія сайту КЗ «Луцька централізована бібліотечна система» для слабозорих осіб, у бібліотечних фондах наявні книги, написані шрифтом Брайля.</w:t>
      </w:r>
    </w:p>
    <w:p>
      <w:pPr>
        <w:pStyle w:val="Normal"/>
        <w:widowControl w:val="false"/>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pacing w:val="-1"/>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 xml:space="preserve">У </w:t>
      </w:r>
      <w:r>
        <w:rPr>
          <w:rFonts w:eastAsia="Times New Roman" w:cs="Times New Roman" w:ascii="Times New Roman" w:hAnsi="Times New Roman"/>
          <w:color w:val="000000"/>
          <w:spacing w:val="-1"/>
          <w:kern w:val="0"/>
          <w:sz w:val="26"/>
          <w:szCs w:val="26"/>
          <w:lang w:val="uk-UA" w:eastAsia="en-US" w:bidi="ar-SA"/>
        </w:rPr>
        <w:t xml:space="preserve">бібліотеках </w:t>
      </w:r>
      <w:r>
        <w:rPr>
          <w:rFonts w:eastAsia="Times New Roman" w:cs="Times New Roman" w:ascii="Times New Roman" w:hAnsi="Times New Roman"/>
          <w:color w:val="000000"/>
          <w:kern w:val="0"/>
          <w:sz w:val="26"/>
          <w:szCs w:val="26"/>
          <w:lang w:val="uk-UA" w:eastAsia="en-US" w:bidi="ar-SA"/>
        </w:rPr>
        <w:t xml:space="preserve">проходять творчі заняття з </w:t>
      </w:r>
      <w:r>
        <w:rPr>
          <w:rFonts w:eastAsia="Times New Roman" w:cs="Times New Roman" w:ascii="Times New Roman" w:hAnsi="Times New Roman"/>
          <w:color w:val="000000"/>
          <w:spacing w:val="-1"/>
          <w:kern w:val="0"/>
          <w:sz w:val="26"/>
          <w:szCs w:val="26"/>
          <w:lang w:val="uk-UA" w:eastAsia="en-US" w:bidi="ar-SA"/>
        </w:rPr>
        <w:t xml:space="preserve">волонтерами Волинської </w:t>
      </w:r>
      <w:r>
        <w:rPr>
          <w:rFonts w:eastAsia="Times New Roman" w:cs="Times New Roman" w:ascii="Times New Roman" w:hAnsi="Times New Roman"/>
          <w:color w:val="000000"/>
          <w:kern w:val="0"/>
          <w:sz w:val="26"/>
          <w:szCs w:val="26"/>
          <w:lang w:val="uk-UA" w:eastAsia="en-US" w:bidi="ar-SA"/>
        </w:rPr>
        <w:t xml:space="preserve">організації Товариства Червоного Хреста, в </w:t>
      </w:r>
      <w:r>
        <w:rPr>
          <w:rFonts w:eastAsia="Times New Roman" w:cs="Times New Roman" w:ascii="Times New Roman" w:hAnsi="Times New Roman"/>
          <w:color w:val="000000"/>
          <w:spacing w:val="-1"/>
          <w:kern w:val="0"/>
          <w:sz w:val="26"/>
          <w:szCs w:val="26"/>
          <w:lang w:val="uk-UA" w:eastAsia="en-US" w:bidi="ar-SA"/>
        </w:rPr>
        <w:t xml:space="preserve">рамках проєкту «Психосоціальна підтримка», </w:t>
      </w:r>
      <w:r>
        <w:rPr>
          <w:rFonts w:eastAsia="Times New Roman" w:cs="Times New Roman" w:ascii="Times New Roman" w:hAnsi="Times New Roman"/>
          <w:color w:val="000000"/>
          <w:kern w:val="0"/>
          <w:sz w:val="26"/>
          <w:szCs w:val="26"/>
          <w:lang w:val="uk-UA" w:eastAsia="en-US" w:bidi="ar-SA"/>
        </w:rPr>
        <w:t>налагоджено</w:t>
      </w:r>
      <w:r>
        <w:rPr>
          <w:rFonts w:eastAsia="Times New Roman" w:cs="Times New Roman" w:ascii="Times New Roman" w:hAnsi="Times New Roman"/>
          <w:color w:val="000000"/>
          <w:spacing w:val="101"/>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 xml:space="preserve">тісну співпрацю з територіальним центром </w:t>
      </w:r>
      <w:r>
        <w:rPr>
          <w:rFonts w:eastAsia="Times New Roman" w:cs="Times New Roman" w:ascii="Times New Roman" w:hAnsi="Times New Roman"/>
          <w:color w:val="000000"/>
          <w:spacing w:val="-1"/>
          <w:kern w:val="0"/>
          <w:sz w:val="26"/>
          <w:szCs w:val="26"/>
          <w:lang w:val="uk-UA" w:eastAsia="en-US" w:bidi="ar-SA"/>
        </w:rPr>
        <w:t xml:space="preserve">соціального обслуговування (надання соціальних </w:t>
      </w:r>
      <w:r>
        <w:rPr>
          <w:rFonts w:eastAsia="Times New Roman" w:cs="Times New Roman" w:ascii="Times New Roman" w:hAnsi="Times New Roman"/>
          <w:color w:val="000000"/>
          <w:kern w:val="0"/>
          <w:sz w:val="26"/>
          <w:szCs w:val="26"/>
          <w:lang w:val="uk-UA" w:eastAsia="en-US" w:bidi="ar-SA"/>
        </w:rPr>
        <w:t xml:space="preserve">послуг) </w:t>
      </w:r>
      <w:r>
        <w:rPr>
          <w:rFonts w:eastAsia="Times New Roman" w:cs="Times New Roman" w:ascii="Times New Roman" w:hAnsi="Times New Roman"/>
          <w:color w:val="000000"/>
          <w:spacing w:val="-1"/>
          <w:kern w:val="0"/>
          <w:sz w:val="26"/>
          <w:szCs w:val="26"/>
          <w:lang w:val="uk-UA" w:eastAsia="en-US" w:bidi="ar-SA"/>
        </w:rPr>
        <w:t xml:space="preserve">міської </w:t>
      </w:r>
      <w:r>
        <w:rPr>
          <w:rFonts w:eastAsia="Times New Roman" w:cs="Times New Roman" w:ascii="Times New Roman" w:hAnsi="Times New Roman"/>
          <w:color w:val="000000"/>
          <w:kern w:val="0"/>
          <w:sz w:val="26"/>
          <w:szCs w:val="26"/>
          <w:lang w:val="uk-UA" w:eastAsia="en-US" w:bidi="ar-SA"/>
        </w:rPr>
        <w:t xml:space="preserve">територіальної </w:t>
      </w:r>
      <w:r>
        <w:rPr>
          <w:rFonts w:eastAsia="Times New Roman" w:cs="Times New Roman" w:ascii="Times New Roman" w:hAnsi="Times New Roman"/>
          <w:color w:val="000000"/>
          <w:spacing w:val="-1"/>
          <w:kern w:val="0"/>
          <w:sz w:val="26"/>
          <w:szCs w:val="26"/>
          <w:lang w:val="uk-UA" w:eastAsia="en-US" w:bidi="ar-SA"/>
        </w:rPr>
        <w:t>громади,</w:t>
      </w:r>
      <w:r>
        <w:rPr>
          <w:rFonts w:eastAsia="Times New Roman" w:cs="Times New Roman" w:ascii="Times New Roman" w:hAnsi="Times New Roman"/>
          <w:color w:val="000000"/>
          <w:spacing w:val="30"/>
          <w:kern w:val="0"/>
          <w:sz w:val="26"/>
          <w:szCs w:val="26"/>
          <w:lang w:val="uk-UA" w:eastAsia="en-US" w:bidi="ar-SA"/>
        </w:rPr>
        <w:t xml:space="preserve"> для </w:t>
      </w:r>
      <w:r>
        <w:rPr>
          <w:rFonts w:eastAsia="Times New Roman" w:cs="Times New Roman" w:ascii="Times New Roman" w:hAnsi="Times New Roman"/>
          <w:color w:val="000000"/>
          <w:kern w:val="0"/>
          <w:sz w:val="26"/>
          <w:szCs w:val="26"/>
          <w:lang w:val="uk-UA" w:eastAsia="en-US" w:bidi="ar-SA"/>
        </w:rPr>
        <w:t xml:space="preserve">відвідувачів організовуються літературно-мистецькі, просвітницькі </w:t>
      </w:r>
      <w:r>
        <w:rPr>
          <w:rFonts w:eastAsia="Times New Roman" w:cs="Times New Roman" w:ascii="Times New Roman" w:hAnsi="Times New Roman"/>
          <w:color w:val="000000"/>
          <w:spacing w:val="-1"/>
          <w:kern w:val="0"/>
          <w:sz w:val="26"/>
          <w:szCs w:val="26"/>
          <w:lang w:val="uk-UA" w:eastAsia="en-US" w:bidi="ar-SA"/>
        </w:rPr>
        <w:t xml:space="preserve">заходи та </w:t>
      </w:r>
      <w:r>
        <w:rPr>
          <w:rFonts w:eastAsia="Times New Roman" w:cs="Times New Roman" w:ascii="Times New Roman" w:hAnsi="Times New Roman"/>
          <w:color w:val="000000"/>
          <w:kern w:val="0"/>
          <w:sz w:val="26"/>
          <w:szCs w:val="26"/>
          <w:lang w:val="uk-UA" w:eastAsia="en-US" w:bidi="ar-SA"/>
        </w:rPr>
        <w:t xml:space="preserve">практичні заняття з користування </w:t>
      </w:r>
      <w:r>
        <w:rPr>
          <w:rFonts w:eastAsia="Times New Roman" w:cs="Times New Roman" w:ascii="Times New Roman" w:hAnsi="Times New Roman"/>
          <w:color w:val="000000"/>
          <w:spacing w:val="-1"/>
          <w:kern w:val="0"/>
          <w:sz w:val="26"/>
          <w:szCs w:val="26"/>
          <w:lang w:val="uk-UA" w:eastAsia="en-US" w:bidi="ar-SA"/>
        </w:rPr>
        <w:t xml:space="preserve">інтернет ресурсами </w:t>
      </w:r>
      <w:r>
        <w:rPr>
          <w:rFonts w:eastAsia="Times New Roman" w:cs="Times New Roman" w:ascii="Times New Roman" w:hAnsi="Times New Roman"/>
          <w:color w:val="000000"/>
          <w:kern w:val="0"/>
          <w:sz w:val="26"/>
          <w:szCs w:val="26"/>
          <w:lang w:val="uk-UA" w:eastAsia="en-US" w:bidi="ar-SA"/>
        </w:rPr>
        <w:t xml:space="preserve">тощо. Особи з </w:t>
      </w:r>
      <w:r>
        <w:rPr>
          <w:rFonts w:eastAsia="Times New Roman" w:cs="Times New Roman" w:ascii="Times New Roman" w:hAnsi="Times New Roman"/>
          <w:color w:val="000000"/>
          <w:spacing w:val="-1"/>
          <w:kern w:val="0"/>
          <w:sz w:val="26"/>
          <w:szCs w:val="26"/>
          <w:lang w:val="uk-UA" w:eastAsia="en-US" w:bidi="ar-SA"/>
        </w:rPr>
        <w:t xml:space="preserve">інвалідністю беруть участь </w:t>
      </w:r>
      <w:r>
        <w:rPr>
          <w:rFonts w:eastAsia="Times New Roman" w:cs="Times New Roman" w:ascii="Times New Roman" w:hAnsi="Times New Roman"/>
          <w:color w:val="000000"/>
          <w:kern w:val="0"/>
          <w:sz w:val="26"/>
          <w:szCs w:val="26"/>
          <w:lang w:val="uk-UA" w:eastAsia="en-US" w:bidi="ar-SA"/>
        </w:rPr>
        <w:t xml:space="preserve">у волонтерській роботі. Читачі з </w:t>
      </w:r>
      <w:r>
        <w:rPr>
          <w:rFonts w:eastAsia="Times New Roman" w:cs="Times New Roman" w:ascii="Times New Roman" w:hAnsi="Times New Roman"/>
          <w:color w:val="000000"/>
          <w:spacing w:val="-1"/>
          <w:kern w:val="0"/>
          <w:sz w:val="26"/>
          <w:szCs w:val="26"/>
          <w:lang w:val="uk-UA" w:eastAsia="en-US" w:bidi="ar-SA"/>
        </w:rPr>
        <w:t xml:space="preserve">обмеженими </w:t>
      </w:r>
      <w:r>
        <w:rPr>
          <w:rFonts w:eastAsia="Times New Roman" w:cs="Times New Roman" w:ascii="Times New Roman" w:hAnsi="Times New Roman"/>
          <w:color w:val="000000"/>
          <w:kern w:val="0"/>
          <w:sz w:val="26"/>
          <w:szCs w:val="26"/>
          <w:lang w:val="uk-UA" w:eastAsia="en-US" w:bidi="ar-SA"/>
        </w:rPr>
        <w:t xml:space="preserve">можливостями є </w:t>
      </w:r>
      <w:r>
        <w:rPr>
          <w:rFonts w:eastAsia="Times New Roman" w:cs="Times New Roman" w:ascii="Times New Roman" w:hAnsi="Times New Roman"/>
          <w:color w:val="000000"/>
          <w:spacing w:val="-1"/>
          <w:kern w:val="0"/>
          <w:sz w:val="26"/>
          <w:szCs w:val="26"/>
          <w:lang w:val="uk-UA" w:eastAsia="en-US" w:bidi="ar-SA"/>
        </w:rPr>
        <w:t xml:space="preserve">постійними відвідувачами заходів, </w:t>
      </w:r>
      <w:r>
        <w:rPr>
          <w:rFonts w:eastAsia="Times New Roman" w:cs="Times New Roman" w:ascii="Times New Roman" w:hAnsi="Times New Roman"/>
          <w:color w:val="000000"/>
          <w:kern w:val="0"/>
          <w:sz w:val="26"/>
          <w:szCs w:val="26"/>
          <w:lang w:val="uk-UA" w:eastAsia="en-US" w:bidi="ar-SA"/>
        </w:rPr>
        <w:t xml:space="preserve">що проводяться в </w:t>
      </w:r>
      <w:r>
        <w:rPr>
          <w:rFonts w:eastAsia="Times New Roman" w:cs="Times New Roman" w:ascii="Times New Roman" w:hAnsi="Times New Roman"/>
          <w:color w:val="000000"/>
          <w:spacing w:val="-1"/>
          <w:kern w:val="0"/>
          <w:sz w:val="26"/>
          <w:szCs w:val="26"/>
          <w:lang w:val="uk-UA" w:eastAsia="en-US" w:bidi="ar-SA"/>
        </w:rPr>
        <w:t xml:space="preserve">межах </w:t>
      </w:r>
      <w:r>
        <w:rPr>
          <w:rFonts w:eastAsia="Times New Roman" w:cs="Times New Roman" w:ascii="Times New Roman" w:hAnsi="Times New Roman"/>
          <w:color w:val="000000"/>
          <w:kern w:val="0"/>
          <w:sz w:val="26"/>
          <w:szCs w:val="26"/>
          <w:lang w:val="uk-UA" w:eastAsia="en-US" w:bidi="ar-SA"/>
        </w:rPr>
        <w:t>літературного клубу</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«Словесність»,</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spacing w:val="-1"/>
          <w:kern w:val="0"/>
          <w:sz w:val="26"/>
          <w:szCs w:val="26"/>
          <w:lang w:val="uk-UA" w:eastAsia="en-US" w:bidi="ar-SA"/>
        </w:rPr>
        <w:t>користуються послугами</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бібліотечних</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ХАБів</w:t>
      </w:r>
      <w:r>
        <w:rPr>
          <w:rFonts w:eastAsia="Times New Roman" w:cs="Times New Roman" w:ascii="Times New Roman" w:hAnsi="Times New Roman"/>
          <w:color w:val="000000"/>
          <w:spacing w:val="25"/>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Цифрової освіти</w:t>
      </w:r>
      <w:r>
        <w:rPr>
          <w:rFonts w:eastAsia="Times New Roman" w:cs="Times New Roman" w:ascii="Times New Roman" w:hAnsi="Times New Roman"/>
          <w:color w:val="000000"/>
          <w:spacing w:val="-1"/>
          <w:kern w:val="0"/>
          <w:sz w:val="26"/>
          <w:szCs w:val="26"/>
          <w:lang w:val="uk-UA" w:eastAsia="en-US" w:bidi="ar-SA"/>
        </w:rPr>
        <w:t>.</w:t>
      </w:r>
    </w:p>
    <w:p>
      <w:pPr>
        <w:pStyle w:val="Normal"/>
        <w:widowControl w:val="false"/>
        <w:tabs>
          <w:tab w:val="clear" w:pos="720"/>
          <w:tab w:val="left" w:pos="317" w:leader="none"/>
        </w:tabs>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У мистецьких школах громади упроваджено пільговий режим оплати за навчання для дітей з особливими потребами. Від плати за навчання звільнені діти із багатодітних, малозабезпечених сімей, діти з інвалідністю, діти-сироти, позбавлені батьківського піклування; діти учасників бойових дій, ветеранів війни. Такими пільгами користується більше 700 учнів.</w:t>
      </w:r>
    </w:p>
    <w:p>
      <w:pPr>
        <w:pStyle w:val="Normal"/>
        <w:widowControl w:val="false"/>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У закладах культури клубного типу для вразливих категорій населення, серед яких, зокрема, родини військовослужбовців, більшість заходів арттерапевтичного спрямування проводились в межах проєктів «Чарівна майстерня», «Красна майстерня», «Мистецький простір мрій».</w:t>
      </w:r>
    </w:p>
    <w:p>
      <w:pPr>
        <w:pStyle w:val="Normal"/>
        <w:widowControl w:val="false"/>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bCs/>
          <w:color w:val="000000"/>
          <w:spacing w:val="-1"/>
          <w:kern w:val="0"/>
          <w:sz w:val="26"/>
          <w:szCs w:val="26"/>
          <w:lang w:val="uk-UA" w:eastAsia="en-US" w:bidi="ar-SA"/>
        </w:rPr>
        <w:t>В історичному музеї с. Княгининок</w:t>
      </w:r>
      <w:r>
        <w:rPr>
          <w:rFonts w:eastAsia="Calibri" w:cs="Times New Roman" w:ascii="Times New Roman" w:hAnsi="Times New Roman"/>
          <w:color w:val="000000"/>
          <w:spacing w:val="-1"/>
          <w:kern w:val="0"/>
          <w:sz w:val="26"/>
          <w:szCs w:val="26"/>
          <w:lang w:val="uk-UA" w:eastAsia="en-US" w:bidi="ar-SA"/>
        </w:rPr>
        <w:t xml:space="preserve"> для осіб з інвалідністю з частковою або повною втратою зору відбуваються інтерактивні екскурсії на базі експозиції «Іграшки Лесиного краю», де є змога тактильно ознайомитися з певними експонатами та прочитати інформаційну складову шрифтом Брайля.</w:t>
      </w:r>
    </w:p>
    <w:p>
      <w:pPr>
        <w:pStyle w:val="Normal"/>
        <w:widowControl w:val="false"/>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Впродовж шкільних літніх канікул в межах проєкту «Творче літо» у закладах культури проведені арттерапевтичні заняття, цільовою аудиторією яких були діти військовослужбовців та діти внутрішньо переміщених осіб. У закладах відбуваються заходи, де відвідувачами є люди з інвалідністю, ВПО, військові на реабілітації та ветерани, родини військовослужбовців. Організовуються виїзні концерти для військових, які перебувають на реабілітації у лікувальних закладах.</w:t>
      </w:r>
    </w:p>
    <w:p>
      <w:pPr>
        <w:pStyle w:val="Normal"/>
        <w:widowControl w:val="false"/>
        <w:spacing w:lineRule="auto" w:line="240"/>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Працівники закладів культури постійно підвищують свої професійні компетенції, відвідуючи освітні заходи на теми психологічної підтримки та взаємодії, безбар’єрності та інклюзивного підходу у роботі з відвідувачами.</w:t>
      </w:r>
    </w:p>
    <w:p>
      <w:pPr>
        <w:pStyle w:val="Normal"/>
        <w:spacing w:lineRule="auto" w:line="240"/>
        <w:ind w:firstLine="567"/>
        <w:jc w:val="both"/>
        <w:rPr>
          <w:rFonts w:ascii="Times New Roman" w:hAnsi="Times New Roman"/>
          <w:b/>
          <w:b/>
          <w:bCs/>
          <w:color w:val="000000"/>
          <w:sz w:val="26"/>
          <w:szCs w:val="26"/>
          <w:lang w:val="uk-UA"/>
        </w:rPr>
      </w:pPr>
      <w:r>
        <w:rPr>
          <w:rFonts w:ascii="Times New Roman" w:hAnsi="Times New Roman"/>
          <w:b/>
          <w:bCs/>
          <w:color w:val="000000"/>
          <w:sz w:val="26"/>
          <w:szCs w:val="26"/>
          <w:lang w:val="uk-UA"/>
        </w:rPr>
      </w:r>
    </w:p>
    <w:p>
      <w:pPr>
        <w:pStyle w:val="Normal"/>
        <w:spacing w:lineRule="auto" w:line="240"/>
        <w:ind w:firstLine="567"/>
        <w:jc w:val="both"/>
        <w:rPr>
          <w:rFonts w:ascii="Times New Roman" w:hAnsi="Times New Roman"/>
          <w:color w:val="000000"/>
          <w:sz w:val="26"/>
          <w:szCs w:val="26"/>
          <w:lang w:val="uk-UA"/>
        </w:rPr>
      </w:pPr>
      <w:r>
        <w:rPr>
          <w:rFonts w:ascii="Times New Roman" w:hAnsi="Times New Roman"/>
          <w:b/>
          <w:bCs/>
          <w:color w:val="000000"/>
          <w:sz w:val="26"/>
          <w:szCs w:val="26"/>
          <w:lang w:val="uk-UA"/>
        </w:rPr>
        <w:t>19. </w:t>
      </w:r>
      <w:r>
        <w:rPr>
          <w:rFonts w:cs="Times New Roman" w:ascii="Times New Roman" w:hAnsi="Times New Roman"/>
          <w:b/>
          <w:bCs/>
          <w:color w:val="000000"/>
          <w:sz w:val="26"/>
          <w:szCs w:val="26"/>
          <w:lang w:val="uk-UA"/>
        </w:rPr>
        <w:t>Продовження реалізації проєктів, спрямованих на підтримку розвитку підприємництва та агропромислового комплексу:</w:t>
      </w:r>
    </w:p>
    <w:p>
      <w:pPr>
        <w:pStyle w:val="Normal"/>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sz w:val="26"/>
          <w:szCs w:val="26"/>
          <w:lang w:val="uk-UA"/>
        </w:rPr>
        <w:t xml:space="preserve">«Підприємливі діти: Луцьк </w:t>
      </w:r>
      <w:r>
        <w:rPr>
          <w:rFonts w:eastAsia="Times New Roman" w:cs="Times New Roman" w:ascii="Times New Roman" w:hAnsi="Times New Roman"/>
          <w:b/>
          <w:bCs/>
          <w:color w:val="000000"/>
          <w:sz w:val="26"/>
          <w:szCs w:val="26"/>
          <w:lang w:val="uk-UA"/>
        </w:rPr>
        <w:t>‒</w:t>
      </w:r>
      <w:r>
        <w:rPr>
          <w:rFonts w:cs="Times New Roman" w:ascii="Times New Roman" w:hAnsi="Times New Roman"/>
          <w:b/>
          <w:bCs/>
          <w:color w:val="000000"/>
          <w:sz w:val="26"/>
          <w:szCs w:val="26"/>
          <w:lang w:val="uk-UA"/>
        </w:rPr>
        <w:t xml:space="preserve"> Люблін», який реалізується у співпраці </w:t>
      </w:r>
      <w:r>
        <w:rPr>
          <w:rFonts w:cs="Times New Roman" w:ascii="Times New Roman" w:hAnsi="Times New Roman"/>
          <w:b/>
          <w:bCs/>
          <w:color w:val="000000"/>
          <w:sz w:val="26"/>
          <w:szCs w:val="26"/>
          <w:lang w:val="uk-UA" w:eastAsia="ru-RU"/>
        </w:rPr>
        <w:t xml:space="preserve">з мерією міста Люблін, громадською організацією «Ефект дитини», </w:t>
      </w:r>
      <w:r>
        <w:rPr>
          <w:rFonts w:cs="Times New Roman" w:ascii="Times New Roman" w:hAnsi="Times New Roman"/>
          <w:b/>
          <w:bCs/>
          <w:color w:val="000000"/>
          <w:sz w:val="26"/>
          <w:szCs w:val="26"/>
          <w:lang w:val="uk-UA"/>
        </w:rPr>
        <w:t xml:space="preserve">Університетом імені Марі Кюрі-Склодовської, Волинським національним університетом імені Лесі Українки та передбачає участь дітей віком 6-10 років загальноосвітніх шкіл та дошкільних навчальних закладів для вивчення бізнес-процесів </w:t>
      </w:r>
      <w:r>
        <w:rPr>
          <w:rFonts w:cs="Times New Roman" w:ascii="Times New Roman" w:hAnsi="Times New Roman"/>
          <w:b/>
          <w:bCs/>
          <w:color w:val="000000"/>
          <w:spacing w:val="4"/>
          <w:sz w:val="26"/>
          <w:szCs w:val="26"/>
          <w:lang w:val="uk-UA" w:eastAsia="uk-UA"/>
        </w:rPr>
        <w:t>за максимальної співпраці з успішними локальними підприємствами;</w:t>
      </w:r>
    </w:p>
    <w:p>
      <w:pPr>
        <w:pStyle w:val="Normal"/>
        <w:widowControl w:val="false"/>
        <w:shd w:val="clear" w:color="auto" w:fill="FFFFFF"/>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uk-UA"/>
        </w:rPr>
        <w:t xml:space="preserve">У 2024 році в проєкті взяли участь 118 дітей, 21 студент та 11 бізнес-партнерів: СП ТОВ «Модерн-Експо», ПрАТ «ВГП», ПрАТ «Едельвіка», ТОВ «Тигрес», піцерія «Фелічіта», філія АТ «Укрексімбанк» у місті Луцьку, студія декору «Withlove», </w:t>
      </w:r>
      <w:r>
        <w:rPr>
          <w:rFonts w:cs="Times New Roman" w:ascii="Times New Roman" w:hAnsi="Times New Roman"/>
          <w:bCs/>
          <w:color w:val="000000"/>
          <w:sz w:val="26"/>
          <w:szCs w:val="26"/>
          <w:lang w:val="uk-UA" w:eastAsia="ar-SA"/>
        </w:rPr>
        <w:t>творча студія Наталії Журавльової, кулінарна школа в місті Луцьку Владислава Фінкевича, майстер гончарної справи</w:t>
      </w:r>
      <w:r>
        <w:rPr>
          <w:rFonts w:eastAsia="Times New Roman" w:cs="Times New Roman" w:ascii="Times New Roman" w:hAnsi="Times New Roman"/>
          <w:color w:val="000000"/>
          <w:sz w:val="26"/>
          <w:szCs w:val="26"/>
          <w:lang w:val="uk-UA" w:eastAsia="uk-UA"/>
        </w:rPr>
        <w:t xml:space="preserve"> Анатолій Філозоф, </w:t>
      </w:r>
      <w:r>
        <w:rPr>
          <w:rFonts w:cs="Times New Roman" w:ascii="Times New Roman" w:hAnsi="Times New Roman"/>
          <w:color w:val="000000"/>
          <w:sz w:val="26"/>
          <w:szCs w:val="26"/>
          <w:lang w:val="uk-UA"/>
        </w:rPr>
        <w:t>КП «Центр розвитку туризму» («Окольний замок»).</w:t>
      </w:r>
    </w:p>
    <w:p>
      <w:pPr>
        <w:pStyle w:val="Normal"/>
        <w:widowControl w:val="false"/>
        <w:shd w:val="clear" w:color="auto" w:fill="FFFFFF"/>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Діти ознайомлювалися з роботою підприємств, брали участь в майстер-класах, навчалися будувати бізнес-плани та реалізовувати бізнес-ідеї (15 % від зароблених коштів було спрямовано на допомогу ЗСУ).</w:t>
      </w:r>
      <w:r>
        <w:rPr>
          <w:rFonts w:eastAsia="Times New Roman" w:cs="Times New Roman" w:ascii="Times New Roman" w:hAnsi="Times New Roman"/>
          <w:color w:val="000000"/>
          <w:sz w:val="26"/>
          <w:szCs w:val="26"/>
          <w:lang w:val="uk-UA" w:eastAsia="uk-UA"/>
        </w:rPr>
        <w:t xml:space="preserve"> Традиційно проєкт завершився гала-концертом. Усі учасники та партнери отримали відзнаки та подарунки від Луцької міської ради. </w:t>
      </w:r>
    </w:p>
    <w:p>
      <w:pPr>
        <w:pStyle w:val="Normal"/>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sz w:val="26"/>
          <w:szCs w:val="26"/>
          <w:lang w:val="uk-UA"/>
        </w:rPr>
        <w:t>«Зроблено в Луцьку», який націлений на підтримку місцевих товаровиробників шляхом розміщення позначки «Зроблено в Луцьку» поряд з цінниками в закладах торгівлі Луцької міської територіальної громади;</w:t>
      </w:r>
    </w:p>
    <w:p>
      <w:pPr>
        <w:pStyle w:val="NormalWeb"/>
        <w:widowControl w:val="false"/>
        <w:shd w:val="clear" w:color="auto" w:fill="FFFFFF"/>
        <w:spacing w:lineRule="auto" w:line="240" w:before="0" w:after="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uk-UA"/>
        </w:rPr>
        <w:t xml:space="preserve">За ініціативи Луцької міської ради та в рамках Програми підтримки малого та середнього підприємництва у місті продовжувалася промоційна кампанія, що спрямована на підтримку місцевих виробників. Товари, що виготовлено на локальних виробничих потужностях та реалізовувалися через місцеві торговельні мережі, позначалися спеціальними маркерами «Зроблено в Луцьку». Такі позначки можна побачити на полицях мережі супермаркетів «Салют», «Сім-23. Зручний маркет», «Там-Там», «Наш край», «Сільпо», в торговельних павільйонах «Там-Там міні» тощо. </w:t>
      </w:r>
    </w:p>
    <w:p>
      <w:pPr>
        <w:pStyle w:val="Normal"/>
        <w:spacing w:lineRule="auto" w:line="240"/>
        <w:ind w:firstLine="567"/>
        <w:jc w:val="both"/>
        <w:rPr>
          <w:rFonts w:ascii="Times New Roman" w:hAnsi="Times New Roman" w:cs="Times New Roman"/>
          <w:b/>
          <w:b/>
          <w:bCs/>
          <w:color w:val="000000"/>
          <w:sz w:val="26"/>
          <w:szCs w:val="26"/>
          <w:lang w:val="uk-UA"/>
        </w:rPr>
      </w:pPr>
      <w:r>
        <w:rPr>
          <w:rFonts w:cs="Times New Roman" w:ascii="Times New Roman" w:hAnsi="Times New Roman"/>
          <w:b/>
          <w:bCs/>
          <w:color w:val="000000"/>
          <w:sz w:val="26"/>
          <w:szCs w:val="26"/>
          <w:lang w:val="uk-UA"/>
        </w:rPr>
      </w:r>
    </w:p>
    <w:p>
      <w:pPr>
        <w:pStyle w:val="Normal"/>
        <w:spacing w:lineRule="auto" w:line="240"/>
        <w:ind w:firstLine="567"/>
        <w:jc w:val="both"/>
        <w:rPr>
          <w:rFonts w:ascii="Times New Roman" w:hAnsi="Times New Roman"/>
          <w:color w:val="000000"/>
          <w:sz w:val="26"/>
          <w:szCs w:val="26"/>
          <w:lang w:val="uk-UA"/>
        </w:rPr>
      </w:pPr>
      <w:r>
        <w:rPr>
          <w:rFonts w:cs="Times New Roman" w:ascii="Times New Roman" w:hAnsi="Times New Roman"/>
          <w:b/>
          <w:bCs/>
          <w:color w:val="000000"/>
          <w:sz w:val="26"/>
          <w:szCs w:val="26"/>
          <w:lang w:val="uk-UA"/>
        </w:rPr>
        <w:t>«Екологічні продукти для громади» – створення торговельних майданчиків для реалізації власноруч вирощеної сільськогосподарської продукції;</w:t>
      </w:r>
    </w:p>
    <w:p>
      <w:pPr>
        <w:pStyle w:val="NormalWeb"/>
        <w:widowControl w:val="false"/>
        <w:shd w:val="clear" w:color="auto" w:fill="FFFFFF"/>
        <w:spacing w:lineRule="auto" w:line="240" w:before="0" w:after="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В м. Луцьку щосуботи та щочетверга працюють два сільськогосподарські ринки на вул. Глушець та на вул. Назарія Яремчука (біля ТЦ «Глобус), де фермери продають свою продукцію. Ярмарки працюють за умови дотримання правил та вимог щодо реалізації продукції відповідно до чинного законодавства.</w:t>
      </w:r>
    </w:p>
    <w:p>
      <w:pPr>
        <w:pStyle w:val="NormalWeb"/>
        <w:widowControl w:val="false"/>
        <w:shd w:val="clear" w:color="auto" w:fill="FFFFFF"/>
        <w:spacing w:lineRule="auto" w:line="240" w:before="0" w:after="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uk-UA"/>
        </w:rPr>
        <w:t xml:space="preserve">З метою уникнення стихійної торгівлі, </w:t>
      </w:r>
      <w:r>
        <w:rPr>
          <w:rFonts w:eastAsia="Times New Roman" w:cs="Times New Roman" w:ascii="Times New Roman" w:hAnsi="Times New Roman"/>
          <w:bCs/>
          <w:color w:val="000000"/>
          <w:spacing w:val="4"/>
          <w:sz w:val="26"/>
          <w:szCs w:val="26"/>
          <w:lang w:val="uk-UA" w:eastAsia="ru-RU"/>
        </w:rPr>
        <w:t>реалізація продукції сільськогосподарського виробництва</w:t>
      </w:r>
      <w:r>
        <w:rPr>
          <w:rFonts w:eastAsia="Times New Roman" w:cs="Times New Roman" w:ascii="Times New Roman" w:hAnsi="Times New Roman"/>
          <w:color w:val="000000"/>
          <w:spacing w:val="4"/>
          <w:sz w:val="26"/>
          <w:szCs w:val="26"/>
          <w:lang w:val="uk-UA" w:eastAsia="uk-UA"/>
        </w:rPr>
        <w:t xml:space="preserve"> також </w:t>
      </w:r>
      <w:r>
        <w:rPr>
          <w:rFonts w:eastAsia="Times New Roman" w:cs="Times New Roman" w:ascii="Times New Roman" w:hAnsi="Times New Roman"/>
          <w:color w:val="000000"/>
          <w:sz w:val="26"/>
          <w:szCs w:val="26"/>
          <w:lang w:val="uk-UA" w:eastAsia="uk-UA"/>
        </w:rPr>
        <w:t>здійснюється на спеціально встановлених</w:t>
      </w:r>
      <w:r>
        <w:rPr>
          <w:rFonts w:eastAsia="Times New Roman" w:cs="Times New Roman" w:ascii="Times New Roman" w:hAnsi="Times New Roman"/>
          <w:b/>
          <w:color w:val="000000"/>
          <w:spacing w:val="4"/>
          <w:sz w:val="26"/>
          <w:szCs w:val="26"/>
          <w:lang w:val="uk-UA" w:eastAsia="uk-UA"/>
        </w:rPr>
        <w:t> </w:t>
      </w:r>
      <w:r>
        <w:rPr>
          <w:rFonts w:eastAsia="Times New Roman" w:cs="Times New Roman" w:ascii="Times New Roman" w:hAnsi="Times New Roman"/>
          <w:color w:val="000000"/>
          <w:spacing w:val="4"/>
          <w:sz w:val="26"/>
          <w:szCs w:val="26"/>
          <w:lang w:val="uk-UA" w:eastAsia="uk-UA"/>
        </w:rPr>
        <w:t>торговельних ятках</w:t>
      </w:r>
      <w:r>
        <w:rPr>
          <w:rFonts w:eastAsia="Times New Roman" w:cs="Times New Roman" w:ascii="Times New Roman" w:hAnsi="Times New Roman"/>
          <w:bCs/>
          <w:color w:val="000000"/>
          <w:spacing w:val="4"/>
          <w:sz w:val="26"/>
          <w:szCs w:val="26"/>
          <w:lang w:val="uk-UA" w:eastAsia="ru-RU"/>
        </w:rPr>
        <w:t xml:space="preserve"> (всього 32 шт.) </w:t>
      </w:r>
      <w:r>
        <w:rPr>
          <w:rFonts w:eastAsia="Times New Roman" w:cs="Times New Roman" w:ascii="Times New Roman" w:hAnsi="Times New Roman"/>
          <w:color w:val="000000"/>
          <w:spacing w:val="4"/>
          <w:sz w:val="26"/>
          <w:szCs w:val="26"/>
          <w:lang w:val="uk-UA" w:eastAsia="uk-UA"/>
        </w:rPr>
        <w:t>у різних локаціях міста (</w:t>
      </w:r>
      <w:r>
        <w:rPr>
          <w:rFonts w:eastAsia="Times New Roman" w:cs="Times New Roman" w:ascii="Times New Roman" w:hAnsi="Times New Roman"/>
          <w:color w:val="000000"/>
          <w:sz w:val="26"/>
          <w:szCs w:val="26"/>
          <w:lang w:val="uk-UA" w:eastAsia="uk-UA"/>
        </w:rPr>
        <w:t>просп. Соборності, вул. Львівська, вул. Ковельська, просп. Відродження, вул. Конякіна, вул. Володимирська та вул. Сухомлинського).</w:t>
      </w:r>
    </w:p>
    <w:p>
      <w:pPr>
        <w:pStyle w:val="Normal"/>
        <w:spacing w:lineRule="auto" w:line="24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Standard"/>
        <w:spacing w:lineRule="auto" w:line="240"/>
        <w:ind w:firstLine="567"/>
        <w:jc w:val="both"/>
        <w:rPr>
          <w:rFonts w:ascii="Times New Roman" w:hAnsi="Times New Roman"/>
          <w:color w:val="000000"/>
          <w:sz w:val="26"/>
          <w:szCs w:val="26"/>
          <w:lang w:val="uk-UA"/>
        </w:rPr>
      </w:pPr>
      <w:r>
        <w:rPr>
          <w:rFonts w:cs="Times New Roman" w:ascii="Times New Roman" w:hAnsi="Times New Roman"/>
          <w:b/>
          <w:color w:val="000000"/>
          <w:sz w:val="26"/>
          <w:szCs w:val="26"/>
          <w:lang w:val="uk-UA"/>
        </w:rPr>
        <w:t>20. Реалізація у співпраці з НЕФКО проєкту «Підвищення енергоефективності та надійності системи водопостачання та водовідведення м. Луцька».</w:t>
      </w:r>
    </w:p>
    <w:p>
      <w:pPr>
        <w:pStyle w:val="Normal"/>
        <w:widowControl w:val="false"/>
        <w:spacing w:lineRule="auto" w:line="240"/>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Фінансування проєкту Північної Екологічної Фінансової Корпорації (НЕФКО) «Підвищення енергоефективності та надійності системи водопостачання та водовідведення м. Луцька» передбачало 725 тис. євро грантових коштів, 207 тис. євро кредитних коштів та співфінансування з бюджету громади 421,7 тис. євро.</w:t>
      </w:r>
    </w:p>
    <w:p>
      <w:pPr>
        <w:pStyle w:val="Normal"/>
        <w:widowControl w:val="false"/>
        <w:spacing w:lineRule="auto" w:line="24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Станом на 1 січня 2025 року Проєкт завершений, всі заходи виконані в повному об</w:t>
      </w:r>
      <w:bookmarkStart w:id="3" w:name="_GoBack81"/>
      <w:bookmarkEnd w:id="3"/>
      <w:r>
        <w:rPr>
          <w:rFonts w:cs="Times New Roman" w:ascii="Times New Roman" w:hAnsi="Times New Roman"/>
          <w:color w:val="000000"/>
          <w:sz w:val="26"/>
          <w:szCs w:val="26"/>
          <w:lang w:val="uk-UA"/>
        </w:rPr>
        <w:t xml:space="preserve">сязі, а саме: встановлено 300 вузлів комерційного обліку водопостачання у багатоквартирних будинках міста; замінено інженерні мережі, насосне та супутнє обладнання на 19 підвищувальних насосних станціях, розташованих у м. Луцьку; </w:t>
      </w:r>
      <w:r>
        <w:rPr>
          <w:rFonts w:ascii="Times New Roman" w:hAnsi="Times New Roman"/>
          <w:color w:val="000000"/>
          <w:sz w:val="26"/>
          <w:szCs w:val="26"/>
          <w:lang w:val="uk-UA"/>
        </w:rPr>
        <w:t>в</w:t>
      </w:r>
      <w:r>
        <w:rPr>
          <w:rFonts w:cs="Times New Roman" w:ascii="Times New Roman" w:hAnsi="Times New Roman"/>
          <w:color w:val="000000"/>
          <w:sz w:val="26"/>
          <w:szCs w:val="26"/>
          <w:lang w:val="uk-UA"/>
        </w:rPr>
        <w:t>иготовлено проєктно-кошторисну документацію на реконструкцію 4 каналізаційно-насосних станцій, що буде використано в наступному проєкті за участю Північної Екологічної Фінансової Корпорації (НЕФКО); встановлено системи диспетчеризації та контролю доступу на 43 підвищувальних насосних станціях.</w:t>
      </w:r>
    </w:p>
    <w:p>
      <w:pPr>
        <w:pStyle w:val="Normal"/>
        <w:widowControl w:val="false"/>
        <w:spacing w:lineRule="auto" w:line="240"/>
        <w:ind w:firstLine="567"/>
        <w:jc w:val="both"/>
        <w:rPr>
          <w:rFonts w:ascii="Times New Roman" w:hAnsi="Times New Roman"/>
          <w:color w:val="000000"/>
          <w:sz w:val="26"/>
          <w:szCs w:val="26"/>
          <w:lang w:val="uk-UA"/>
        </w:rPr>
      </w:pPr>
      <w:r>
        <w:rPr/>
      </w:r>
    </w:p>
    <w:p>
      <w:pPr>
        <w:sectPr>
          <w:type w:val="nextPage"/>
          <w:pgSz w:w="11906" w:h="16838"/>
          <w:pgMar w:left="1984" w:right="566" w:header="0" w:top="1134" w:footer="0" w:bottom="1134" w:gutter="0"/>
          <w:pgNumType w:start="1" w:fmt="decimal"/>
          <w:formProt w:val="false"/>
          <w:textDirection w:val="lrTb"/>
          <w:docGrid w:type="default" w:linePitch="100" w:charSpace="0"/>
        </w:sectPr>
        <w:pStyle w:val="Normal"/>
        <w:widowControl w:val="false"/>
        <w:spacing w:lineRule="auto" w:line="240"/>
        <w:ind w:firstLine="567"/>
        <w:jc w:val="both"/>
        <w:rPr>
          <w:rFonts w:ascii="Times New Roman" w:hAnsi="Times New Roman"/>
          <w:color w:val="000000"/>
          <w:sz w:val="26"/>
          <w:szCs w:val="26"/>
          <w:lang w:val="uk-UA"/>
        </w:rPr>
      </w:pPr>
      <w:r>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 1. ПОКРАЩЕННЯ УМОВ ДЛЯ РОЗВИТКУ ЕКОНОМІКИ,</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ФІНАНСОВІ ТА МАТЕРІАЛЬНІ РЕСУРСИ</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3.1.1. Бюджетна політика</w:t>
      </w:r>
    </w:p>
    <w:p>
      <w:pPr>
        <w:pStyle w:val="Normal"/>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9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15"/>
        <w:gridCol w:w="3853"/>
        <w:gridCol w:w="10726"/>
      </w:tblGrid>
      <w:tr>
        <w:trPr>
          <w:trHeight w:val="615" w:hRule="atLeast"/>
        </w:trPr>
        <w:tc>
          <w:tcPr>
            <w:tcW w:w="61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53"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1650"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53"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Формування збалансованого бюджету міської територіальної громади у відповідності до чинного законодавства.</w:t>
            </w:r>
          </w:p>
        </w:tc>
        <w:tc>
          <w:tcPr>
            <w:tcW w:w="1072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eastAsia="uk-UA"/>
              </w:rPr>
              <w:t>У 2024 році забезпечено формування та прийняття збалансованого бюджету громади з урахуванням у повному обсязі потреби у коштах для соціальних виплат та розрахунків за енергоносії, дотримання жорсткої фінансової дисципліни при використанні коштів бюджету громади.</w:t>
            </w:r>
          </w:p>
        </w:tc>
      </w:tr>
      <w:tr>
        <w:trPr>
          <w:trHeight w:val="6220"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53"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заходів з підтримки фінансової стабільності бюджету громади, зокрема, в умовах воєнного стану.</w:t>
            </w:r>
          </w:p>
        </w:tc>
        <w:tc>
          <w:tcPr>
            <w:tcW w:w="1072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До загального фонду бюджету громади надійшло доходів 3 908,7 млн грн, що становить 101,1 % запланованого показника, в т. ч. доходи без врахування трансфертів склали 3 122,4 млн грн (101,6 %), трансфертів надійшло 786,3 млн грн (98,9 %). Податок на доходи фізичних осіб в обсязі доходів загального фонду склав 63,0 %, всього до бюджету надійшло 1 966,8 млн грн, що становить 99,9 % від уточнених призначень.</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До спеціального фонду бюджету громади за 2024 рік надійшло 276,6 млн грн, що становить 117,9 % планових показників, у т. ч. до бюджету розвитку – 76,4 млн грн. Трансфертів до спеціального фонду надійшло 42,4 млн грн. Від продажу землі надійшло 57,2 млн грн, від відчуження комунального майна – 9,6 млн грн, коштів пайової участі у  розвитку інфраструктури міста - 9,6 млн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 2024 році з бюджету територіальної громади проведено видатки на суму 4 536,0 млн грн, з них видатків загального фонду – 3 290,1 млн грн, спеціального фонду – 1 245,9 млн грн. Використано 771,8 млн грн субвенцій, на освіту – 680,1 млн грн, на підтримку найуразливіших верств населення – 91,7 млн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Власні доходи бюджету спрямовувались на забезпечення якісного функціонування закладів бюджетної сфери. Із загального фонду на фінансування установ соціально-культурної сфери спрямовано 2 197,9 млн грн, з них: на освіту – 1 856,1 млн грн, на охорону здоров’я – 86,2 млн грн, на соціальний захист – 114,8 млн грн, на культуру – 77,1 млн грн, фізичну культуру і спорту – 63,7 млн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Видатки з бюджету розвитку у 2024 році склали 1 124,7 млн грн.</w:t>
            </w:r>
          </w:p>
        </w:tc>
      </w:tr>
      <w:tr>
        <w:trPr>
          <w:trHeight w:val="192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53"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заходів щодо наповнення бюджету Луцької міської територіальної громади достатніми фінансовими ресурсами із врахуванням показників економічного та соціального розвитку та наявної бази оподаткування, розробка заходів щодо додаткових надходжень до бюджету громади.</w:t>
            </w:r>
          </w:p>
        </w:tc>
        <w:tc>
          <w:tcPr>
            <w:tcW w:w="1072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З метою організації роботи щодо забезпечення виконання дохідної частини бюджету, збільшення надходжень, пошуку додаткових джерел для наповнення бюджету налагоджена співпраця між виконавчим комітетом Луцької міської ради та ГУ ДПС у Волинській області в частині мобілізації податків і зборів. Так, департаментом фінансів, бюджету та аудиту Луцької міської ради постійно проводиться робота із виявлення необлікованих платників податку на нерухоме майно, відмінне від земельної ділянки шляхом звірки даних з </w:t>
            </w:r>
            <w:r>
              <w:rPr>
                <w:rFonts w:ascii="Times New Roman" w:hAnsi="Times New Roman"/>
                <w:color w:val="000000"/>
                <w:sz w:val="26"/>
                <w:szCs w:val="26"/>
                <w:lang w:val="uk-UA" w:eastAsia="uk-UA"/>
              </w:rPr>
              <w:t xml:space="preserve">електронної версії Державного реєстру прав та інформації про зареєстрованих </w:t>
            </w:r>
            <w:r>
              <w:rPr>
                <w:rFonts w:ascii="Times New Roman" w:hAnsi="Times New Roman"/>
                <w:color w:val="000000"/>
                <w:sz w:val="26"/>
                <w:szCs w:val="26"/>
                <w:lang w:val="uk-UA"/>
              </w:rPr>
              <w:t>платників податку</w:t>
            </w:r>
            <w:r>
              <w:rPr>
                <w:rFonts w:ascii="Times New Roman" w:hAnsi="Times New Roman"/>
                <w:color w:val="000000"/>
                <w:sz w:val="26"/>
                <w:szCs w:val="26"/>
                <w:lang w:val="uk-UA" w:eastAsia="uk-UA"/>
              </w:rPr>
              <w:t xml:space="preserve"> у </w:t>
            </w:r>
            <w:r>
              <w:rPr>
                <w:rFonts w:ascii="Times New Roman" w:hAnsi="Times New Roman"/>
                <w:color w:val="000000"/>
                <w:sz w:val="26"/>
                <w:szCs w:val="26"/>
                <w:lang w:val="uk-UA"/>
              </w:rPr>
              <w:t>ГУ ДПС у Волинській області. Проводиться інформування мешканців громади про ставки місцевих податків та зборів у медіа.</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звітному періоді проводився моніторинг надходжень до бюджету громади податку на доходи фізичних осіб та вживались заходи, спрямовані на забезпечення додаткових надходжень ПДФО, а саме: проводилася робота із платниками, які мають заборгованість із заробітної плати та ПДФО.</w:t>
            </w:r>
          </w:p>
        </w:tc>
      </w:tr>
      <w:tr>
        <w:trPr>
          <w:trHeight w:val="2917"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53"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Розширення співпраці органів місцевого самоврядування та органів податкової служби, проведення спільної системної роботи щодо покращення платіжної дисципліни, мінімізації ризиків ухилення від сплати податків, недопущення зростання податкового боргу до бюджету громади.</w:t>
            </w:r>
          </w:p>
        </w:tc>
        <w:tc>
          <w:tcPr>
            <w:tcW w:w="1072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284" w:leader="none"/>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2024 році проведено інформаційно-роз'яснювальну роботу із 1 339 суб’єктами господарювання. Було виявлено ознаки порушення порядку оформлення трудових відносин з 324 працівниками у 227 роботодавців. Також виявлено 26 суб'єктів, що здійснювали підприємницьку діяльність без належної державної реєстрації. В результаті співпраці щодо подолання нелегальної зайнятості, за даними ГУ ДПС у Волинській області, 52 роботодавця оформили трудові відносини з 92 працівниками.</w:t>
            </w:r>
          </w:p>
        </w:tc>
      </w:tr>
      <w:tr>
        <w:trPr>
          <w:trHeight w:val="426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53"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Пріоритетність здійснення видатків: на безпеку і оборону, на здійснення заходів правового режиму воєнного стану, соціальні видатки та захищені статті видатків бюджету.</w:t>
            </w:r>
          </w:p>
        </w:tc>
        <w:tc>
          <w:tcPr>
            <w:tcW w:w="1072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Відповідно до Порядку виконання повноважень Державною казначейською службою в особливому режимі в умовах воєнного стану першочергово забезпечуються видатки бюджету на національну безпеку і оборону та на здійснення заходів правового режиму воєнного стану.</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допомогу силам оборони України та патронат з бюджету громади виділено 493,3 млн грн, в тому числі на реалізацію заходів Програми покращення матеріально-технічного забезпечення військових частин та інших військових формувань, проведення заходів територіальної оборони та мобілізаційної підготовки Луцької міської територіальної громади на 2022-2024 роки, Програми забезпечення особистої безпеки громадян та протидії злочинності на 2021-2024 роки та Програми розвитку цивільного захисту Луцької міської територіальної громади на 2021-2025 роки.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Друга черга – видатки на оплату праці працівників бюджетних установ, соціальне забезпечення та інші захищені видатки. </w:t>
            </w:r>
            <w:r>
              <w:rPr>
                <w:rFonts w:cs="Times New Roman" w:ascii="Times New Roman" w:hAnsi="Times New Roman"/>
                <w:color w:val="000000"/>
                <w:sz w:val="26"/>
                <w:szCs w:val="26"/>
                <w:lang w:val="uk-UA" w:eastAsia="ru-RU"/>
              </w:rPr>
              <w:t>Середньомісячна заробітна плата працівника бюджетної сфери у 2024 році складала 11 680 грн, що на 1 380 грн більше, ніж у 2023 році. Заробітну плату працівникам бюджетної сфери було профінансовано в повному обсязі та відповідно до встановлених чинним законодавством умов оплати праці.</w:t>
            </w:r>
          </w:p>
        </w:tc>
      </w:tr>
      <w:tr>
        <w:trPr>
          <w:trHeight w:val="615"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853"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Установлення об’єктивних критеріїв при наданні податкових пільг органами місцевого самоврядування в умовах розширення прав щодо самостійного прийняття ними рішень.</w:t>
            </w:r>
          </w:p>
        </w:tc>
        <w:tc>
          <w:tcPr>
            <w:tcW w:w="1072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 час розгляду звернень про надання податкових пільг, органи місцевого самоврядування керуються статтею 12.3.7 Податкового кодексу України, відповідно до якої не дозволяється сільським, селищним, міським радам встановлювати індивідуальні пільгові ставки місцевих податків та зборів для окремих юридичних осіб та фізичних осіб-підприємців і фізичних осіб або звільняти їх від сплати таких податків та зборів. Також відповідно до статті 30.2 ПКУ підставами для надання податкових пільг є особливості, що характеризують певну групу платників податків, вид їх діяльності, об'єкт оподаткування або характер та суспільне значення здійснюваних ними витрат.</w:t>
            </w:r>
          </w:p>
        </w:tc>
      </w:tr>
      <w:tr>
        <w:trPr>
          <w:trHeight w:val="615"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853" w:type="dxa"/>
            <w:tcBorders>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інформаційних технологій та автоматизація процесів у сфері управління фінансами в інформаційно-аналітичній системі “LOGICA“, систематичне поповнення бази програми “Аналіз доходів бюджету в розрізі платників податків”.</w:t>
            </w:r>
          </w:p>
        </w:tc>
        <w:tc>
          <w:tcPr>
            <w:tcW w:w="10726" w:type="dxa"/>
            <w:tcBorders>
              <w:left w:val="single" w:sz="4" w:space="0" w:color="000000"/>
              <w:bottom w:val="single" w:sz="4" w:space="0" w:color="000000"/>
              <w:right w:val="single" w:sz="4" w:space="0" w:color="000000"/>
            </w:tcBorders>
            <w:shd w:fill="auto" w:val="clear"/>
          </w:tcPr>
          <w:p>
            <w:pPr>
              <w:pStyle w:val="36"/>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Електронний обмін інформацією між Міністерством фінансів України та учасниками бюджетного процесу на місцевому рівні налагоджено відповідно до наказу Міністерства</w:t>
            </w:r>
            <w:r>
              <w:rPr>
                <w:rFonts w:cs="Times New Roman" w:ascii="Times New Roman" w:hAnsi="Times New Roman"/>
                <w:color w:val="000000"/>
                <w:sz w:val="26"/>
                <w:szCs w:val="26"/>
                <w:lang w:val="uk-UA" w:eastAsia="uk-UA"/>
              </w:rPr>
              <w:t xml:space="preserve"> фінансів України від 30.08.2021 № 488 «Про затвердження Порядку обміну інформацією між Міністерством фінансів України та учасниками бюджетного процесу на місцевому рівні». Він регламентує процес відповідного інформаційного обміну (показники та терміни їх надання) через відкритий програмний інтерфейс (API) Інформаційно-аналітичної системи «LOGIKA».</w:t>
            </w:r>
          </w:p>
        </w:tc>
      </w:tr>
    </w:tbl>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spacing w:before="0" w:after="0"/>
        <w:contextualSpacing/>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3.1.2. Управління майном комунальної власності</w:t>
      </w:r>
    </w:p>
    <w:p>
      <w:pPr>
        <w:pStyle w:val="Normal"/>
        <w:spacing w:before="0" w:after="0"/>
        <w:contextualSpacing/>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3"/>
        <w:gridCol w:w="3852"/>
        <w:gridCol w:w="10722"/>
      </w:tblGrid>
      <w:tr>
        <w:trPr>
          <w:trHeight w:val="615" w:hRule="atLeast"/>
        </w:trPr>
        <w:tc>
          <w:tcPr>
            <w:tcW w:w="563"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52"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2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3640" w:hRule="atLeast"/>
        </w:trPr>
        <w:tc>
          <w:tcPr>
            <w:tcW w:w="563"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5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надходження коштів у 2024 році до бюджету Луцької міської територіальної громади:</w:t>
            </w:r>
          </w:p>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від оренди нежитлових приміщень – 5,0 млн грн;</w:t>
            </w:r>
          </w:p>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від відчуження об’єктів міської комунальної власності – 3,0 млн грн;</w:t>
            </w:r>
          </w:p>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від плати за користування окремими елементами благоустрою комунальної власності– 8,0 млн грн.</w:t>
            </w:r>
          </w:p>
        </w:tc>
        <w:tc>
          <w:tcPr>
            <w:tcW w:w="107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napToGrid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За 2024 рік до бюджету Луцької міської територіальної громади надійшло:</w:t>
            </w:r>
          </w:p>
          <w:p>
            <w:pPr>
              <w:pStyle w:val="Normal"/>
              <w:widowControl w:val="false"/>
              <w:snapToGrid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r>
          </w:p>
          <w:p>
            <w:pPr>
              <w:pStyle w:val="Normal"/>
              <w:widowControl w:val="false"/>
              <w:snapToGrid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r>
          </w:p>
          <w:p>
            <w:pPr>
              <w:pStyle w:val="Normal"/>
              <w:widowControl w:val="false"/>
              <w:snapToGrid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r>
          </w:p>
          <w:p>
            <w:pPr>
              <w:pStyle w:val="Normal"/>
              <w:widowControl w:val="false"/>
              <w:snapToGrid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8,6 млн грн від здачі в оренду нерухомого майна;</w:t>
            </w:r>
          </w:p>
          <w:p>
            <w:pPr>
              <w:pStyle w:val="Normal"/>
              <w:widowControl w:val="false"/>
              <w:snapToGrid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snapToGrid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9,7 млн грн від відчуження об’єктів комунальної власності;</w:t>
            </w:r>
          </w:p>
          <w:p>
            <w:pPr>
              <w:pStyle w:val="Normal"/>
              <w:widowControl w:val="false"/>
              <w:snapToGrid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snapToGrid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snapToGrid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12,05 млн грн від сплати за тимчасове користування окремими елементами благоустрою комунальної власності.</w:t>
            </w:r>
          </w:p>
        </w:tc>
      </w:tr>
      <w:tr>
        <w:trPr>
          <w:trHeight w:val="690" w:hRule="atLeast"/>
        </w:trPr>
        <w:tc>
          <w:tcPr>
            <w:tcW w:w="563"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5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Надання в оренду нежитлових приміщень міської комунальної власності та приватизація об’єктів, що належать до майна Луцької міської територіальної громади на конкурентних засадах.</w:t>
            </w:r>
          </w:p>
        </w:tc>
        <w:tc>
          <w:tcPr>
            <w:tcW w:w="107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napToGrid w:val="false"/>
              <w:ind w:firstLine="567"/>
              <w:jc w:val="both"/>
              <w:rPr>
                <w:rFonts w:ascii="Times New Roman" w:hAnsi="Times New Roman"/>
                <w:color w:val="000000"/>
                <w:sz w:val="26"/>
                <w:szCs w:val="26"/>
                <w:lang w:val="uk-UA"/>
              </w:rPr>
            </w:pPr>
            <w:r>
              <w:rPr>
                <w:rFonts w:ascii="Times New Roman" w:hAnsi="Times New Roman"/>
                <w:bCs/>
                <w:color w:val="000000"/>
                <w:sz w:val="26"/>
                <w:szCs w:val="26"/>
                <w:lang w:val="uk-UA"/>
              </w:rPr>
              <w:t>Надання в оренду нежитлових приміщень міської комунальної власності та приватизація об’єктів, що належать</w:t>
            </w:r>
            <w:r>
              <w:rPr>
                <w:rFonts w:ascii="Times New Roman" w:hAnsi="Times New Roman"/>
                <w:color w:val="000000"/>
                <w:sz w:val="26"/>
                <w:szCs w:val="26"/>
                <w:lang w:val="uk-UA"/>
              </w:rPr>
              <w:t xml:space="preserve"> до майна Луцької міської територіальної громади проводиться виключно через електронний майданчик системи </w:t>
            </w:r>
            <w:r>
              <w:rPr>
                <w:rFonts w:cs="Times New Roman" w:ascii="Times New Roman" w:hAnsi="Times New Roman"/>
                <w:color w:val="000000"/>
                <w:sz w:val="26"/>
                <w:szCs w:val="26"/>
                <w:lang w:val="uk-UA"/>
              </w:rPr>
              <w:t>PROZORRO. У 2024 році проведено 28 аукціонів з оренди нежитлових приміщень міської комунальної власності, укладено 61 договір.</w:t>
            </w:r>
          </w:p>
          <w:p>
            <w:pPr>
              <w:pStyle w:val="Normal"/>
              <w:widowControl w:val="false"/>
              <w:snapToGrid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Проведено приватизацію наступних об’єктів комунальної власності шляхом продажу на аукціонах: нежитлове приміщення на вул. Дорошенка, 2-б у м. Луцьку; громадський будинок (котельня) на вул. Фруктовій, 5-а в с. Княгининок; нежитлове приміщення (підвал) на вул. Львівській, 63-а у м. Луцьку; нежитлове приміщення на просп. Волі, 27-а у м. Луцьку; громадський будинок ФАП з громадськими спорудами на вул. Соборній, 108 у с. Княгининок; громадський будинок ФАП з господарськими будівлями на вул. Конякіна, 10 у с. Сирники; нежитлове приміщення на вул. Ковельській, 63 у м. Луцьку. Вартість продажу становить 12,7 тис. грн.</w:t>
            </w:r>
          </w:p>
        </w:tc>
      </w:tr>
      <w:tr>
        <w:trPr>
          <w:trHeight w:val="1052" w:hRule="atLeast"/>
        </w:trPr>
        <w:tc>
          <w:tcPr>
            <w:tcW w:w="563"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5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інформаційної відкритості процесу відчуження та оренди майна комунальної власності.</w:t>
            </w:r>
          </w:p>
        </w:tc>
        <w:tc>
          <w:tcPr>
            <w:tcW w:w="107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Інформація про відчуження майна комунальної власності, надання в оренду розміщена  на офіційному вебсайті Луцької міської ради, в електронній торговій системі та в газеті «Луцький замок».</w:t>
            </w:r>
          </w:p>
        </w:tc>
      </w:tr>
      <w:tr>
        <w:trPr>
          <w:trHeight w:val="453" w:hRule="atLeast"/>
        </w:trPr>
        <w:tc>
          <w:tcPr>
            <w:tcW w:w="563"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5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конкурсів на оформлення права на користування окремими елементами благоустрою комунальної власності для розміщення тимчасових споруд з метою провадження підприємницької діяльності на території громади.</w:t>
            </w:r>
          </w:p>
        </w:tc>
        <w:tc>
          <w:tcPr>
            <w:tcW w:w="1072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Проведено 3 конкурси</w:t>
            </w:r>
            <w:r>
              <w:rPr>
                <w:rFonts w:cs="TimesNewRomanPSMT;Times New Rom" w:ascii="Times New Roman" w:hAnsi="Times New Roman"/>
                <w:color w:val="000000"/>
                <w:sz w:val="26"/>
                <w:szCs w:val="26"/>
                <w:lang w:val="uk-UA"/>
              </w:rPr>
              <w:t xml:space="preserve"> на оформлення права на користування окремими елементами благоустрою комунальної власності для розміщення тимчасових споруд з метою провадження підприємницької діяльності.</w:t>
            </w:r>
          </w:p>
        </w:tc>
      </w:tr>
      <w:tr>
        <w:trPr>
          <w:trHeight w:val="453" w:hRule="atLeast"/>
        </w:trPr>
        <w:tc>
          <w:tcPr>
            <w:tcW w:w="563"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52"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Цільове використання майна територіальної громади та забезпечення проведення своєчасних розрахунків орендарів за використання об’єктів Луцької міської територіальної громади.</w:t>
            </w:r>
          </w:p>
        </w:tc>
        <w:tc>
          <w:tcPr>
            <w:tcW w:w="1072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kern w:val="0"/>
                <w:sz w:val="26"/>
                <w:szCs w:val="26"/>
                <w:lang w:val="uk-UA" w:eastAsia="ru-RU" w:bidi="ar-SA"/>
              </w:rPr>
            </w:pPr>
            <w:r>
              <w:rPr>
                <w:rFonts w:eastAsia="Times New Roman" w:cs="Times New Roman" w:ascii="Times New Roman" w:hAnsi="Times New Roman"/>
                <w:color w:val="000000"/>
                <w:kern w:val="0"/>
                <w:sz w:val="26"/>
                <w:szCs w:val="26"/>
                <w:lang w:val="uk-UA" w:eastAsia="ru-RU" w:bidi="ar-SA"/>
              </w:rPr>
              <w:t>Нерухоме майно Луцької міської територіальної громади, що надано в оренду, використовується за цільовим призначенням, розрахунки з орендарями за його користування проведено в повному обсязі і своєчасно.</w:t>
            </w:r>
          </w:p>
        </w:tc>
      </w:tr>
      <w:tr>
        <w:trPr>
          <w:trHeight w:val="453" w:hRule="atLeast"/>
        </w:trPr>
        <w:tc>
          <w:tcPr>
            <w:tcW w:w="563"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852"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Контроль за використанням матеріальних ресурсів підприємств, установ, організацій та закладів комунальної власності Луцької міської територіальної громади.</w:t>
            </w:r>
          </w:p>
        </w:tc>
        <w:tc>
          <w:tcPr>
            <w:tcW w:w="1072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bCs/>
                <w:color w:val="000000"/>
                <w:sz w:val="26"/>
                <w:szCs w:val="26"/>
                <w:lang w:val="uk-UA"/>
              </w:rPr>
              <w:t xml:space="preserve">Підготовлено 21 рішення міської ради про надання </w:t>
            </w:r>
            <w:r>
              <w:rPr>
                <w:rFonts w:eastAsia="Times New Roman" w:cs="Times New Roman" w:ascii="Times New Roman" w:hAnsi="Times New Roman"/>
                <w:bCs/>
                <w:color w:val="000000"/>
                <w:kern w:val="0"/>
                <w:sz w:val="26"/>
                <w:szCs w:val="26"/>
                <w:lang w:val="uk-UA" w:eastAsia="ru-RU" w:bidi="ar-SA"/>
              </w:rPr>
              <w:t>комунальним підприємствам дозволу на списання основних засобів та надано 59 погоджень на списання майна комунальних підприємств і установ.</w:t>
            </w:r>
          </w:p>
        </w:tc>
      </w:tr>
    </w:tbl>
    <w:p>
      <w:pPr>
        <w:pStyle w:val="Normal"/>
        <w:spacing w:before="0" w:after="0"/>
        <w:contextualSpacing/>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spacing w:before="0" w:after="0"/>
        <w:contextualSpacing/>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3.1.3. Підприємництво та регуляторна діяльність</w:t>
      </w:r>
    </w:p>
    <w:p>
      <w:pPr>
        <w:pStyle w:val="Normal"/>
        <w:spacing w:before="0" w:after="0"/>
        <w:contextualSpacing/>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9"/>
        <w:gridCol w:w="3851"/>
        <w:gridCol w:w="10717"/>
      </w:tblGrid>
      <w:tr>
        <w:trPr>
          <w:trHeight w:val="615" w:hRule="atLeast"/>
        </w:trPr>
        <w:tc>
          <w:tcPr>
            <w:tcW w:w="569"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51"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1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Продовження реалізації проєктів:</w:t>
            </w:r>
          </w:p>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«Підприємливі діти: Луцьк-Люблін», який реалізується у співпраці </w:t>
            </w:r>
            <w:r>
              <w:rPr>
                <w:rFonts w:cs="Times New Roman" w:ascii="Times New Roman" w:hAnsi="Times New Roman"/>
                <w:color w:val="000000"/>
                <w:sz w:val="26"/>
                <w:szCs w:val="26"/>
                <w:lang w:val="uk-UA" w:eastAsia="ru-RU"/>
              </w:rPr>
              <w:t xml:space="preserve">з мерією міста Люблін, громадською організацією «Ефект дитини»,  </w:t>
            </w:r>
            <w:r>
              <w:rPr>
                <w:rFonts w:cs="Times New Roman" w:ascii="Times New Roman" w:hAnsi="Times New Roman"/>
                <w:color w:val="000000"/>
                <w:sz w:val="26"/>
                <w:szCs w:val="26"/>
                <w:lang w:val="uk-UA"/>
              </w:rPr>
              <w:t xml:space="preserve">Університетом імені Марі Кюрі-Склодовської, Волинським національним університетом імені Лесі Українки та передбачає участь дітей віком 6-10 років загальноосвітніх шкіл та дошкільних навчальних закладів для вивчення бізнес-процесів </w:t>
            </w:r>
            <w:r>
              <w:rPr>
                <w:rFonts w:cs="Times New Roman" w:ascii="Times New Roman" w:hAnsi="Times New Roman"/>
                <w:color w:val="000000"/>
                <w:spacing w:val="4"/>
                <w:sz w:val="26"/>
                <w:szCs w:val="26"/>
                <w:lang w:val="uk-UA" w:eastAsia="uk-UA"/>
              </w:rPr>
              <w:t>за максимальної співпраці з успішними локальними підприємствами;</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«Зроблено в Луцьку», який націлений на підтримку місцевих товаровиробників шляхом розміщення позначки «Зроблено в Луцьку» поряд з цінниками в закладах торгівлі Луцької міської територіальної громади;</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«Екологічні продукти для громади» – створення торговельних майданчиків для реалізації власноруч вирощеної сільськогосподарської продукції;</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«Фонд підтримки підприємництва» – продовження роботи фонду підтримки підприємництва для налагодження дієвих механізмів фінансової підтримки МСП</w:t>
            </w:r>
            <w:r>
              <w:rPr>
                <w:rFonts w:cs="Times New Roman" w:ascii="Times New Roman" w:hAnsi="Times New Roman"/>
                <w:color w:val="000000"/>
                <w:sz w:val="26"/>
                <w:szCs w:val="26"/>
                <w:lang w:val="uk-UA"/>
              </w:rPr>
              <w:t>.</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shd w:val="clear" w:color="auto" w:fill="FFFFFF"/>
              <w:ind w:firstLine="567"/>
              <w:jc w:val="both"/>
              <w:rPr>
                <w:rFonts w:ascii="Times New Roman" w:hAnsi="Times New Roman" w:eastAsia="Times New Roman" w:cs="Times New Roman"/>
                <w:color w:val="000000"/>
                <w:sz w:val="26"/>
                <w:szCs w:val="26"/>
                <w:lang w:val="uk-UA" w:eastAsia="uk-UA"/>
              </w:rPr>
            </w:pPr>
            <w:r>
              <w:rPr>
                <w:rFonts w:eastAsia="Times New Roman" w:cs="Times New Roman" w:ascii="Times New Roman" w:hAnsi="Times New Roman"/>
                <w:color w:val="000000"/>
                <w:sz w:val="26"/>
                <w:szCs w:val="26"/>
                <w:lang w:val="uk-UA" w:eastAsia="uk-UA"/>
              </w:rPr>
            </w:r>
          </w:p>
          <w:p>
            <w:pPr>
              <w:pStyle w:val="Normal"/>
              <w:widowControl w:val="false"/>
              <w:shd w:val="clear" w:color="auto" w:fill="FFFFFF"/>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uk-UA"/>
              </w:rPr>
              <w:t xml:space="preserve">Проєкт </w:t>
            </w:r>
            <w:r>
              <w:rPr>
                <w:rFonts w:cs="Times New Roman" w:ascii="Times New Roman" w:hAnsi="Times New Roman"/>
                <w:color w:val="000000"/>
                <w:sz w:val="26"/>
                <w:szCs w:val="26"/>
                <w:lang w:val="uk-UA"/>
              </w:rPr>
              <w:t xml:space="preserve">«Підприємливі діти: Луцьк-Люблін» </w:t>
            </w:r>
            <w:r>
              <w:rPr>
                <w:rFonts w:eastAsia="Times New Roman" w:cs="Times New Roman" w:ascii="Times New Roman" w:hAnsi="Times New Roman"/>
                <w:color w:val="000000"/>
                <w:sz w:val="26"/>
                <w:szCs w:val="26"/>
                <w:lang w:val="uk-UA" w:eastAsia="uk-UA"/>
              </w:rPr>
              <w:t>передбачає проведення комплексних навчально-тренувальних занять, майстер-класів та екскурсійних подорожей, що спрямовані на здобуття учнями, дошкільнятами базових знань ведення підприємницької діяльності, а також розвиток креативного мислення, сміливості та відповідальності у прийнятті рішень, мотивацію на розвиток власного таланту як базису для формування власної бізнес-ідеї дитини. Особливістю є те, що програма проєкту поєднує як теоретичні заняття інтерактивного характеру, так і практичні майстер-класи від бізнес-експертів, а також візити на виробництво бізнес-партнерів проєкту.</w:t>
            </w:r>
          </w:p>
          <w:p>
            <w:pPr>
              <w:pStyle w:val="Normal"/>
              <w:widowControl w:val="false"/>
              <w:shd w:val="clear" w:color="auto" w:fill="FFFFFF"/>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uk-UA"/>
              </w:rPr>
              <w:t xml:space="preserve">У 2024 році в проєкті взяли участь 118 дітей, 21 студент та 11 бізнес-партнерів: СП ТОВ «Модерн-Експо», ПрАТ «ВГП», ПрАТ «Едельвіка», ТОВ «Тигрес», піцерія «Фелічіта», філія АТ «Укрексімбанк» у місті Луцьку, студія декору «Withlove», </w:t>
            </w:r>
            <w:r>
              <w:rPr>
                <w:rFonts w:cs="Times New Roman" w:ascii="Times New Roman" w:hAnsi="Times New Roman"/>
                <w:bCs/>
                <w:color w:val="000000"/>
                <w:sz w:val="26"/>
                <w:szCs w:val="26"/>
                <w:lang w:val="uk-UA" w:eastAsia="ar-SA"/>
              </w:rPr>
              <w:t>творча студія Наталії Журавльової, кулінарна школа в місті Луцьку Владислава Фінкевича, майстер гончарної справи</w:t>
            </w:r>
            <w:r>
              <w:rPr>
                <w:rFonts w:eastAsia="Times New Roman" w:cs="Times New Roman" w:ascii="Times New Roman" w:hAnsi="Times New Roman"/>
                <w:color w:val="000000"/>
                <w:sz w:val="26"/>
                <w:szCs w:val="26"/>
                <w:lang w:val="uk-UA" w:eastAsia="uk-UA"/>
              </w:rPr>
              <w:t xml:space="preserve"> Анатолій Філозоф, </w:t>
            </w:r>
            <w:r>
              <w:rPr>
                <w:rFonts w:cs="Times New Roman" w:ascii="Times New Roman" w:hAnsi="Times New Roman"/>
                <w:color w:val="000000"/>
                <w:sz w:val="26"/>
                <w:szCs w:val="26"/>
                <w:lang w:val="uk-UA"/>
              </w:rPr>
              <w:t>КП «Центр розвитку туризму» («Окольний замок»).</w:t>
            </w:r>
          </w:p>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Діти ознайомлювалися з роботою підприємств, брали участь в майстер-класах, навчалися будувати бізнес-плани та реалізовувати бізнес-ідеї (15 % від зароблених коштів було спрямовано на допомогу ЗСУ).</w:t>
            </w:r>
            <w:r>
              <w:rPr>
                <w:rFonts w:eastAsia="Times New Roman" w:cs="Times New Roman" w:ascii="Times New Roman" w:hAnsi="Times New Roman"/>
                <w:color w:val="000000"/>
                <w:sz w:val="26"/>
                <w:szCs w:val="26"/>
                <w:lang w:val="uk-UA" w:eastAsia="uk-UA"/>
              </w:rPr>
              <w:t xml:space="preserve"> Традиційно проєкт завершився гала-концертом. Усі учасники та партнери отримали відзнаки та подарунки від Луцької міської ради.</w:t>
            </w:r>
          </w:p>
          <w:p>
            <w:pPr>
              <w:pStyle w:val="Normal"/>
              <w:widowControl w:val="false"/>
              <w:ind w:firstLine="567"/>
              <w:jc w:val="both"/>
              <w:rPr>
                <w:rFonts w:ascii="Times New Roman" w:hAnsi="Times New Roman" w:eastAsia="Times New Roman" w:cs="Times New Roman"/>
                <w:color w:val="000000"/>
                <w:sz w:val="26"/>
                <w:szCs w:val="26"/>
                <w:lang w:val="uk-UA" w:eastAsia="uk-UA"/>
              </w:rPr>
            </w:pPr>
            <w:r>
              <w:rPr>
                <w:rFonts w:eastAsia="Times New Roman" w:cs="Times New Roman" w:ascii="Times New Roman" w:hAnsi="Times New Roman"/>
                <w:color w:val="000000"/>
                <w:sz w:val="26"/>
                <w:szCs w:val="26"/>
                <w:lang w:val="uk-UA" w:eastAsia="uk-UA"/>
              </w:rPr>
              <w:t>В цьому році Проєкт став переможцем Третього щорічного Конкурсу історій “Громадянське суспільство, бізнес та влада – кращі практики співпраці” та увійшов  до однойменного Збірника історій, який створено, щоб продемонструвати єдність українського суспільства під час повномасштабної війни, популяризувати тристоронню співпрацю між організаціями громадянського суспільства, бізнесом і владою. Цей Збірник з’явився за результатами співпраці проєкту «Ініціатива секторальної підтримки громадянського суспільства України» з Міністерством культури та інформаційної політики України, Секретаріатом Кабінету Міністрів України, Міністерством розвитку громад, територій та інфраструктури України та Національною соціальною сервісною службою України.</w:t>
            </w:r>
          </w:p>
          <w:p>
            <w:pPr>
              <w:pStyle w:val="NormalWeb"/>
              <w:widowControl w:val="false"/>
              <w:shd w:val="clear" w:color="auto" w:fill="FFFFFF"/>
              <w:spacing w:before="0" w:after="0"/>
              <w:ind w:firstLine="567"/>
              <w:jc w:val="both"/>
              <w:rPr>
                <w:rFonts w:ascii="Times New Roman" w:hAnsi="Times New Roman" w:eastAsia="Times New Roman" w:cs="Times New Roman"/>
                <w:color w:val="000000"/>
                <w:sz w:val="26"/>
                <w:szCs w:val="26"/>
                <w:lang w:val="uk-UA" w:eastAsia="uk-UA"/>
              </w:rPr>
            </w:pPr>
            <w:r>
              <w:rPr>
                <w:rFonts w:eastAsia="Times New Roman" w:cs="Times New Roman" w:ascii="Times New Roman" w:hAnsi="Times New Roman"/>
                <w:color w:val="000000"/>
                <w:sz w:val="26"/>
                <w:szCs w:val="26"/>
                <w:lang w:val="uk-UA" w:eastAsia="uk-UA"/>
              </w:rPr>
              <w:t>За ініціативи Луцької міської ради та в рамках Програми підтримки малого та середнього підприємництва у місті продовжувалася промоційна кампанія, що спрямована на підтримку місцевих виробників. Товари, що виготовлено на локальних виробничих потужностях та реалізовувалися через місцеві торговельні мережі, позначалися спеціальними маркерами «Зроблено в Луцьку». Такі позначки можна побачити на полицях мережі супермаркетів «Салют», «Сім-23. Зручний маркет», «Там-Там», «Наш край», «Сільпо», в торговельних павільйонах «Там-Там міні» тощо.</w:t>
            </w:r>
          </w:p>
          <w:p>
            <w:pPr>
              <w:pStyle w:val="NormalWeb"/>
              <w:widowControl w:val="false"/>
              <w:shd w:val="clear" w:color="auto" w:fill="FFFFFF"/>
              <w:spacing w:before="0" w:after="0"/>
              <w:ind w:firstLine="567"/>
              <w:jc w:val="both"/>
              <w:rPr>
                <w:rFonts w:ascii="Times New Roman" w:hAnsi="Times New Roman" w:eastAsia="Times New Roman" w:cs="Times New Roman"/>
                <w:color w:val="000000"/>
                <w:sz w:val="26"/>
                <w:szCs w:val="26"/>
                <w:lang w:val="uk-UA" w:eastAsia="uk-UA"/>
              </w:rPr>
            </w:pPr>
            <w:r>
              <w:rPr>
                <w:rFonts w:eastAsia="Times New Roman" w:cs="Times New Roman" w:ascii="Times New Roman" w:hAnsi="Times New Roman"/>
                <w:color w:val="000000"/>
                <w:sz w:val="26"/>
                <w:szCs w:val="26"/>
                <w:lang w:val="uk-UA" w:eastAsia="uk-UA"/>
              </w:rPr>
            </w:r>
          </w:p>
          <w:p>
            <w:pPr>
              <w:pStyle w:val="NormalWeb"/>
              <w:widowControl w:val="false"/>
              <w:shd w:val="clear" w:color="auto" w:fill="FFFFFF"/>
              <w:spacing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 м. Луцьку щосуботи та щочетверга працюють два сільськогосподарські ринки на вул. Глушець та на вул. Назарія Яремчука (біля ТЦ «Глобус), де фермери продають свою продукцію. Ярмарки працюють за умови дотримання правил та вимог реалізації продукції відповідно до чинного законодавства.</w:t>
            </w:r>
          </w:p>
          <w:p>
            <w:pPr>
              <w:pStyle w:val="NormalWeb"/>
              <w:widowControl w:val="false"/>
              <w:shd w:val="clear" w:color="auto" w:fill="FFFFFF"/>
              <w:spacing w:before="0" w:after="0"/>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z w:val="26"/>
                <w:szCs w:val="26"/>
                <w:lang w:val="uk-UA" w:eastAsia="uk-UA"/>
              </w:rPr>
              <w:t xml:space="preserve">З метою уникнення стихійної торгівлі, </w:t>
            </w:r>
            <w:r>
              <w:rPr>
                <w:rFonts w:eastAsia="Times New Roman" w:cs="Times New Roman" w:ascii="Times New Roman" w:hAnsi="Times New Roman"/>
                <w:bCs/>
                <w:color w:val="000000"/>
                <w:spacing w:val="4"/>
                <w:sz w:val="26"/>
                <w:szCs w:val="26"/>
                <w:lang w:val="uk-UA" w:eastAsia="ru-RU"/>
              </w:rPr>
              <w:t>реалізація продукції сільськогосподарського виробництва</w:t>
            </w:r>
            <w:r>
              <w:rPr>
                <w:rFonts w:eastAsia="Times New Roman" w:cs="Times New Roman" w:ascii="Times New Roman" w:hAnsi="Times New Roman"/>
                <w:color w:val="000000"/>
                <w:spacing w:val="4"/>
                <w:sz w:val="26"/>
                <w:szCs w:val="26"/>
                <w:lang w:val="uk-UA" w:eastAsia="uk-UA"/>
              </w:rPr>
              <w:t xml:space="preserve"> також </w:t>
            </w:r>
            <w:r>
              <w:rPr>
                <w:rFonts w:eastAsia="Times New Roman" w:cs="Times New Roman" w:ascii="Times New Roman" w:hAnsi="Times New Roman"/>
                <w:color w:val="000000"/>
                <w:sz w:val="26"/>
                <w:szCs w:val="26"/>
                <w:lang w:val="uk-UA" w:eastAsia="uk-UA"/>
              </w:rPr>
              <w:t>здійснюється на спеціально встановлених</w:t>
            </w:r>
            <w:r>
              <w:rPr>
                <w:rFonts w:eastAsia="Times New Roman" w:cs="Times New Roman" w:ascii="Times New Roman" w:hAnsi="Times New Roman"/>
                <w:b/>
                <w:color w:val="000000"/>
                <w:spacing w:val="4"/>
                <w:sz w:val="26"/>
                <w:szCs w:val="26"/>
                <w:lang w:val="uk-UA" w:eastAsia="uk-UA"/>
              </w:rPr>
              <w:t> </w:t>
            </w:r>
            <w:r>
              <w:rPr>
                <w:rFonts w:eastAsia="Times New Roman" w:cs="Times New Roman" w:ascii="Times New Roman" w:hAnsi="Times New Roman"/>
                <w:color w:val="000000"/>
                <w:spacing w:val="4"/>
                <w:sz w:val="26"/>
                <w:szCs w:val="26"/>
                <w:lang w:val="uk-UA" w:eastAsia="uk-UA"/>
              </w:rPr>
              <w:t>торговельних ятках</w:t>
            </w:r>
            <w:r>
              <w:rPr>
                <w:rFonts w:eastAsia="Times New Roman" w:cs="Times New Roman" w:ascii="Times New Roman" w:hAnsi="Times New Roman"/>
                <w:bCs/>
                <w:color w:val="000000"/>
                <w:spacing w:val="4"/>
                <w:sz w:val="26"/>
                <w:szCs w:val="26"/>
                <w:lang w:val="uk-UA" w:eastAsia="ru-RU"/>
              </w:rPr>
              <w:t xml:space="preserve"> (всього 32 шт.) </w:t>
            </w:r>
            <w:r>
              <w:rPr>
                <w:rFonts w:eastAsia="Times New Roman" w:cs="Times New Roman" w:ascii="Times New Roman" w:hAnsi="Times New Roman"/>
                <w:color w:val="000000"/>
                <w:spacing w:val="4"/>
                <w:sz w:val="26"/>
                <w:szCs w:val="26"/>
                <w:lang w:val="uk-UA" w:eastAsia="uk-UA"/>
              </w:rPr>
              <w:t>у різних локаціях міста (</w:t>
            </w:r>
            <w:r>
              <w:rPr>
                <w:rFonts w:eastAsia="Times New Roman" w:cs="Times New Roman" w:ascii="Times New Roman" w:hAnsi="Times New Roman"/>
                <w:color w:val="000000"/>
                <w:sz w:val="26"/>
                <w:szCs w:val="26"/>
                <w:lang w:val="uk-UA" w:eastAsia="uk-UA"/>
              </w:rPr>
              <w:t>просп. Соборності, вул. Львівська, вул. Ковельська, просп. Відродження, вул. Конякіна, вул. Володимирська та вул. Сухомлинського).</w:t>
            </w:r>
          </w:p>
          <w:p>
            <w:pPr>
              <w:pStyle w:val="Normal"/>
              <w:widowControl w:val="false"/>
              <w:ind w:firstLine="567"/>
              <w:jc w:val="both"/>
              <w:rPr/>
            </w:pPr>
            <w:r>
              <w:rPr>
                <w:rFonts w:eastAsia="SimSun" w:cs="Times New Roman" w:ascii="Times New Roman" w:hAnsi="Times New Roman"/>
                <w:color w:val="000000"/>
                <w:sz w:val="26"/>
                <w:szCs w:val="26"/>
                <w:lang w:val="uk-UA"/>
              </w:rPr>
              <w:t>В рамках</w:t>
            </w:r>
            <w:r>
              <w:rPr>
                <w:rFonts w:cs="Times New Roman" w:ascii="Times New Roman" w:hAnsi="Times New Roman"/>
                <w:color w:val="000000"/>
                <w:sz w:val="26"/>
                <w:szCs w:val="26"/>
                <w:lang w:val="uk-UA"/>
              </w:rPr>
              <w:t xml:space="preserve"> «Програми підтримки малого і середнього підприємництва Луцької міської територіальної громади на 2022-2026 роки» створено </w:t>
            </w:r>
            <w:r>
              <w:rPr>
                <w:rStyle w:val="Style13"/>
                <w:rFonts w:cs="Times New Roman" w:ascii="Times New Roman" w:hAnsi="Times New Roman"/>
                <w:b w:val="false"/>
                <w:iCs/>
                <w:color w:val="000000"/>
                <w:sz w:val="26"/>
                <w:szCs w:val="26"/>
                <w:lang w:val="uk-UA"/>
              </w:rPr>
              <w:t>ф</w:t>
            </w:r>
            <w:r>
              <w:rPr>
                <w:rFonts w:cs="Times New Roman" w:ascii="Times New Roman" w:hAnsi="Times New Roman"/>
                <w:color w:val="000000"/>
                <w:sz w:val="26"/>
                <w:szCs w:val="26"/>
                <w:lang w:val="uk-UA"/>
              </w:rPr>
              <w:t>онд підтримки підприємництва Луцької міської територіальної громади, метою роботи якого є формування сприятливих умов для ведення бізнесу та підприємницької діяльності в умовах воєнного стану.</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зв’язку з масованим ракетним ударом російської федерації та ворожим обстрілом територіальної громади 26 серпня 2024 року зазнали значних руйнувань приміщення, де здійснюють господарську діяльність суб’єкти господарювання. На відшкодування витрат пов’язаних із проведенням ремонтних робіт та закупівлю матеріалів з фонду підтримки підприємництва Луцької міської територіальної громади суб’єктам господарювання виділено  173,9 тис. грн.</w:t>
            </w:r>
          </w:p>
        </w:tc>
      </w:tr>
      <w:tr>
        <w:trPr>
          <w:trHeight w:val="699"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Надання погодження суб’єктам господарювання на розміщення тимчасових споруд для пунктів одноразової торгівлі (послуг).</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На території Луцької міської територіальної громади у звітному періоді (відповідно до погоджень) розміщувалось 378 вуличних пунктів торгівлі та сфери надання послуг (в т. ч. з малим терміном розміщення), що забезпечило надходження коштів до бюджету громади в сумі 3 086,9 тис. грн.</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Надавалися послуги мешканцям та гостям міста з таких видів діяльності як: торгівля солодкою ватою, попкорном, кавою, солодощами, квітами, дитячими іграшками тощо, а також надання послуг з прокату електросамокатів, дитячих автомобілів, розміщення літніх майданчиків біля кафе тощо.</w:t>
            </w:r>
          </w:p>
        </w:tc>
      </w:tr>
      <w:tr>
        <w:trPr>
          <w:trHeight w:val="453"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Встановлення режиму роботи об’єктів торгівлі, ресторанного господарства та сфери послуг незалежно від форм власності на території Луцької міської територіальної громади за умови дотримання заходів безпеки під час сигналу «Повітряна тривога», а також комендантської години на період воєнного стану.</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Відповідно до рішення міської ради від 31.08.2022 № 34/55 «Про затвердження Правил додержання тиші в громадських місцях на території Луцької міської територіальної громади», надавалися погодження щодо встановлення режимів роботи об’єктів (закладів).</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 звітний період, відповідно до рішень виконавчого комітету Луцької міської ради, 92 закладам торгівлі, сфери послуг, торгово-розважальним центрам погоджено цілодобові та в межах цілодобових режимів роботи із забороною продажу алкогольних напоїв після 22.00 год. (для продовольчих магазинів) та забороною на винос з 22.00 до 5.00 год. пива (крім безалкогольних) алкогольних, слабоалкогольних напоїв, вин столових (для барів, ресторанів) за умови дотримання комендантської години на період дії воєнного стану. Також 8 закладам торгівлі погоджено денні режими роботи (з 8.00 до 22.00 год.).</w:t>
            </w:r>
          </w:p>
        </w:tc>
      </w:tr>
      <w:tr>
        <w:trPr>
          <w:trHeight w:val="453"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інформаційно-консультаційної підтримки суб’єктів підприємницької діяльності (використання новітніх інтернет-платформ).</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pPr>
            <w:r>
              <w:rPr>
                <w:rFonts w:cs="Times New Roman" w:ascii="Times New Roman" w:hAnsi="Times New Roman"/>
                <w:bCs/>
                <w:color w:val="000000"/>
                <w:sz w:val="26"/>
                <w:szCs w:val="26"/>
                <w:lang w:val="uk-UA"/>
              </w:rPr>
              <w:t>Протягом звітного періоду суб’єкти господарювання могли скористатись сервісами  системи державних закупівель Prozorro (</w:t>
            </w:r>
            <w:hyperlink r:id="rId6">
              <w:r>
                <w:rPr>
                  <w:rFonts w:ascii="Times New Roman" w:hAnsi="Times New Roman"/>
                  <w:color w:val="000000"/>
                  <w:sz w:val="26"/>
                  <w:szCs w:val="26"/>
                  <w:lang w:val="uk-UA"/>
                </w:rPr>
                <w:t xml:space="preserve"> </w:t>
              </w:r>
              <w:r>
                <w:rPr>
                  <w:rFonts w:cs="Times New Roman" w:ascii="Times New Roman" w:hAnsi="Times New Roman"/>
                  <w:color w:val="000000"/>
                  <w:sz w:val="26"/>
                  <w:szCs w:val="26"/>
                  <w:lang w:val="uk-UA"/>
                </w:rPr>
                <w:t>https://smarttender.biz</w:t>
              </w:r>
            </w:hyperlink>
            <w:r>
              <w:rPr>
                <w:rFonts w:cs="Times New Roman" w:ascii="Times New Roman" w:hAnsi="Times New Roman"/>
                <w:color w:val="000000"/>
                <w:sz w:val="26"/>
                <w:szCs w:val="26"/>
                <w:lang w:val="uk-UA"/>
              </w:rPr>
              <w:t>/</w:t>
            </w:r>
            <w:r>
              <w:rPr>
                <w:rFonts w:cs="Times New Roman" w:ascii="Times New Roman" w:hAnsi="Times New Roman"/>
                <w:bCs/>
                <w:color w:val="000000"/>
                <w:sz w:val="26"/>
                <w:szCs w:val="26"/>
                <w:lang w:val="uk-UA"/>
              </w:rPr>
              <w:t>), комунікативної платформи з технічного регулювання в Україні (</w:t>
            </w:r>
            <w:hyperlink r:id="rId7">
              <w:r>
                <w:rPr>
                  <w:rFonts w:cs="Times New Roman" w:ascii="Times New Roman" w:hAnsi="Times New Roman"/>
                  <w:color w:val="000000"/>
                  <w:sz w:val="26"/>
                  <w:szCs w:val="26"/>
                  <w:lang w:val="uk-UA"/>
                </w:rPr>
                <w:t>https://techreg.in.ua/</w:t>
              </w:r>
            </w:hyperlink>
            <w:r>
              <w:rPr>
                <w:rFonts w:cs="Times New Roman" w:ascii="Times New Roman" w:hAnsi="Times New Roman"/>
                <w:bCs/>
                <w:color w:val="000000"/>
                <w:sz w:val="26"/>
                <w:szCs w:val="26"/>
                <w:lang w:val="uk-UA"/>
              </w:rPr>
              <w:t>), національної онлайн-платформи «Дія. Бізнес» Міністерства цифрової трансформації України (</w:t>
            </w:r>
            <w:hyperlink r:id="rId8">
              <w:r>
                <w:rPr>
                  <w:rFonts w:cs="Times New Roman" w:ascii="Times New Roman" w:hAnsi="Times New Roman"/>
                  <w:bCs/>
                  <w:color w:val="000000"/>
                  <w:sz w:val="26"/>
                  <w:szCs w:val="26"/>
                  <w:lang w:val="uk-UA"/>
                </w:rPr>
                <w:t>https://www.export.gov.ua/</w:t>
              </w:r>
            </w:hyperlink>
            <w:r>
              <w:rPr>
                <w:rFonts w:cs="Times New Roman" w:ascii="Times New Roman" w:hAnsi="Times New Roman"/>
                <w:bCs/>
                <w:color w:val="000000"/>
                <w:sz w:val="26"/>
                <w:szCs w:val="26"/>
                <w:lang w:val="uk-UA"/>
              </w:rPr>
              <w:t>), національної платформи малого та середнього бізнесу (</w:t>
            </w:r>
            <w:hyperlink r:id="rId9">
              <w:r>
                <w:rPr>
                  <w:rFonts w:cs="Times New Roman" w:ascii="Times New Roman" w:hAnsi="Times New Roman"/>
                  <w:color w:val="000000"/>
                  <w:sz w:val="26"/>
                  <w:szCs w:val="26"/>
                  <w:lang w:val="uk-UA"/>
                </w:rPr>
                <w:t>https://platforma-msb.org</w:t>
              </w:r>
            </w:hyperlink>
            <w:r>
              <w:rPr>
                <w:rFonts w:cs="Times New Roman" w:ascii="Times New Roman" w:hAnsi="Times New Roman"/>
                <w:color w:val="000000"/>
                <w:sz w:val="26"/>
                <w:szCs w:val="26"/>
                <w:lang w:val="uk-UA"/>
              </w:rPr>
              <w:t>/</w:t>
            </w:r>
            <w:r>
              <w:rPr>
                <w:rFonts w:cs="Times New Roman" w:ascii="Times New Roman" w:hAnsi="Times New Roman"/>
                <w:bCs/>
                <w:color w:val="000000"/>
                <w:sz w:val="26"/>
                <w:szCs w:val="26"/>
                <w:lang w:val="uk-UA"/>
              </w:rPr>
              <w:t>), платформи фахових консультацій MEREZHA (</w:t>
            </w:r>
            <w:hyperlink r:id="rId10">
              <w:r>
                <w:rPr>
                  <w:rFonts w:cs="Times New Roman" w:ascii="Times New Roman" w:hAnsi="Times New Roman"/>
                  <w:color w:val="000000"/>
                  <w:sz w:val="26"/>
                  <w:szCs w:val="26"/>
                  <w:lang w:val="uk-UA"/>
                </w:rPr>
                <w:t>https://www.merezha.ua/</w:t>
              </w:r>
            </w:hyperlink>
            <w:r>
              <w:rPr>
                <w:rFonts w:cs="Times New Roman" w:ascii="Times New Roman" w:hAnsi="Times New Roman"/>
                <w:bCs/>
                <w:color w:val="000000"/>
                <w:sz w:val="26"/>
                <w:szCs w:val="26"/>
                <w:lang w:val="uk-UA"/>
              </w:rPr>
              <w:t>), сайту Ради бізнес-омбудсмена (</w:t>
            </w:r>
            <w:hyperlink r:id="rId11">
              <w:r>
                <w:rPr>
                  <w:rFonts w:cs="Times New Roman" w:ascii="Times New Roman" w:hAnsi="Times New Roman"/>
                  <w:bCs/>
                  <w:color w:val="000000"/>
                  <w:sz w:val="26"/>
                  <w:szCs w:val="26"/>
                  <w:lang w:val="uk-UA"/>
                </w:rPr>
                <w:t>https://boi.org.ua/</w:t>
              </w:r>
            </w:hyperlink>
            <w:r>
              <w:rPr>
                <w:rFonts w:cs="Times New Roman" w:ascii="Times New Roman" w:hAnsi="Times New Roman"/>
                <w:bCs/>
                <w:color w:val="000000"/>
                <w:sz w:val="26"/>
                <w:szCs w:val="26"/>
                <w:lang w:val="uk-UA"/>
              </w:rPr>
              <w:t>) тощо.</w:t>
            </w:r>
          </w:p>
          <w:p>
            <w:pPr>
              <w:pStyle w:val="Normal"/>
              <w:widowControl w:val="false"/>
              <w:ind w:firstLine="567"/>
              <w:jc w:val="both"/>
              <w:rPr/>
            </w:pPr>
            <w:r>
              <w:rPr>
                <w:rFonts w:cs="Times New Roman" w:ascii="Times New Roman" w:hAnsi="Times New Roman"/>
                <w:bCs/>
                <w:color w:val="000000"/>
                <w:sz w:val="26"/>
                <w:szCs w:val="26"/>
                <w:lang w:val="uk-UA"/>
              </w:rPr>
              <w:t>Актуальності відкритих платформ у сприянні реалізації продукції (робіт, послуг) набули соціальні платформи підтримки виробників сільськогосподарської продукції «Відкритий ринок» (</w:t>
            </w:r>
            <w:hyperlink r:id="rId12">
              <w:r>
                <w:rPr>
                  <w:rFonts w:cs="Times New Roman" w:ascii="Times New Roman" w:hAnsi="Times New Roman"/>
                  <w:color w:val="000000"/>
                  <w:sz w:val="26"/>
                  <w:szCs w:val="26"/>
                  <w:lang w:val="uk-UA"/>
                </w:rPr>
                <w:t>https://rynok.in.ua/</w:t>
              </w:r>
            </w:hyperlink>
            <w:r>
              <w:rPr>
                <w:rFonts w:cs="Times New Roman" w:ascii="Times New Roman" w:hAnsi="Times New Roman"/>
                <w:bCs/>
                <w:color w:val="000000"/>
                <w:sz w:val="26"/>
                <w:szCs w:val="26"/>
                <w:lang w:val="uk-UA"/>
              </w:rPr>
              <w:t>), комерційні платформи, групи продажу в соціальних мережах.</w:t>
            </w:r>
          </w:p>
        </w:tc>
      </w:tr>
      <w:tr>
        <w:trPr>
          <w:trHeight w:val="453"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5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613" w:leader="none"/>
              </w:tabs>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Організація та проведення освітніх заходів спрямованих на підвищення фахового рівня, знань та навичок, необхідних для здійснення підприємницької діяльності.</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2024 році проведено 28 заходів з професійної орієнтації учнівської молоді для 1 712 учнів шкіл Луцької громади. Учням надавалися поради щодо правильного вибору професій, класифікації професій за предметом чи характером праці, основних передумов успішної кар’єри та здійснення підприємницької діяльності. Також проводилося тестування для визначення схильності до того, чи іншого виду діяльності (тест Голланда на визначення професійного типу особистості).</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Також для 351 школяра проведено 12 заходів, які передбачали інформування молоді про послуги служби зайнятості, актуальні професії, вимоги до претендента у вакансії, знайомство з роботою офісу «Зроблено в Україні» та з електронними сервісами служби зайнятості для самовизначення та відкриття власної справи.</w:t>
            </w:r>
          </w:p>
        </w:tc>
      </w:tr>
      <w:tr>
        <w:trPr>
          <w:trHeight w:val="453"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заходів щодо забезпечення пріоритетного просування на споживчий ринок міста товарів місцевого виробника шляхом проведення виставок, ярмаркових заходів тощо.</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666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29-30 червня в сел. Рокині відбувся фестиваль національних бойових мистецтв «Дух Незламності». Було забезпечено організацію фудкорту, до участі в якому були залучені суб’єкти господарювання, які здійснюють свою діяльність на території Луцької міської територіальної громади, в т. ч. представники релокованого бізнесу (торгівля рибною продукцією, солодощами, м’ясними виробами, напоями, морозивом тощо).</w:t>
            </w:r>
          </w:p>
        </w:tc>
      </w:tr>
      <w:tr>
        <w:trPr>
          <w:trHeight w:val="453"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Сприяння інтеграції у громаду релокованого бізнесу та надання йому комплексної підтримки.</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Web"/>
              <w:widowControl w:val="false"/>
              <w:shd w:val="clear" w:color="auto" w:fill="FFFFFF"/>
              <w:spacing w:before="0" w:after="0"/>
              <w:ind w:firstLine="567"/>
              <w:jc w:val="both"/>
              <w:rPr>
                <w:rFonts w:ascii="Times New Roman" w:hAnsi="Times New Roman"/>
                <w:color w:val="000000"/>
                <w:sz w:val="26"/>
                <w:szCs w:val="26"/>
                <w:lang w:val="uk-UA"/>
              </w:rPr>
            </w:pPr>
            <w:r>
              <w:rPr>
                <w:rFonts w:ascii="Times New Roman" w:hAnsi="Times New Roman"/>
                <w:color w:val="000000"/>
                <w:spacing w:val="-2"/>
                <w:sz w:val="26"/>
                <w:szCs w:val="26"/>
                <w:lang w:val="uk-UA"/>
              </w:rPr>
              <w:t>Луцьким центром підтримки евакуації та адаптації бізнесу з</w:t>
            </w:r>
            <w:r>
              <w:rPr>
                <w:rFonts w:cs="Times New Roman" w:ascii="Times New Roman" w:hAnsi="Times New Roman"/>
                <w:color w:val="000000"/>
                <w:sz w:val="26"/>
                <w:szCs w:val="26"/>
                <w:lang w:val="uk-UA"/>
              </w:rPr>
              <w:t>дійснювалось інформування релокованих суб’єктів господарювання щодо чинних грантів. У звітному році підприємці отримали перемогу в грантових програмах (конкурс бізнес-ідей «Роби своє» від Благодійного фонду «МХП-Громаді»).</w:t>
            </w:r>
          </w:p>
        </w:tc>
      </w:tr>
      <w:tr>
        <w:trPr>
          <w:trHeight w:val="453"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Взаємодія і забезпечення у сфері споживчого ринку та послуг балансу інтересів і захисту прав споживачів, підприємців та держави на основі удосконалення форм, методів і організації правового регулювання й контролю.</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Протягом року на адресу Головного управління Держпродспоживслужби у Волинській області надійшло 66 звернень громадян стосовно порушень їхніх прав, законних інтересів у сфері дотримання вимог санітарного законодавства та дотримання законодавства про захист прав споживачів (неналежна якість непродовольчих товарів, порушення термінів проведення гарантійного ремонту технічно-складних побутових товарів тощо).</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звітному періоді фахівцями Головного управління здійснено 8 позапланових заходів державного нагляду за дотриманням вимог санітарного законодавства, в т. ч. щодо дотримання рівнів шуму, щодо дотримання законодавства про захист прав споживачів в частині надання житлово-комунальних послуг. Спеціалістами відділу контролю у сфері торгівлі, робіт та послуг надано 465 консультацій споживачам та 75 суб’єктам господарювання, через засоби електронного зв’язку надано 26 консультацій.</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 результатами розгляду скарг та звернень споживачам повернуто коштів на загальну суму 123,5 тис. грн.</w:t>
            </w:r>
          </w:p>
        </w:tc>
      </w:tr>
      <w:tr>
        <w:trPr>
          <w:trHeight w:val="453" w:hRule="atLeast"/>
        </w:trPr>
        <w:tc>
          <w:tcPr>
            <w:tcW w:w="56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851" w:type="dxa"/>
            <w:tcBorders>
              <w:top w:val="single" w:sz="4" w:space="0" w:color="000000"/>
              <w:left w:val="single" w:sz="4" w:space="0" w:color="000000"/>
              <w:bottom w:val="single" w:sz="4" w:space="0" w:color="000000"/>
            </w:tcBorders>
            <w:shd w:fill="auto" w:val="clear"/>
          </w:tcPr>
          <w:p>
            <w:pPr>
              <w:pStyle w:val="Normal"/>
              <w:widowControl w:val="false"/>
              <w:ind w:firstLine="330"/>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виконавчими органами міської ради та комунальними підприємствами державної регуляторної політики: планування, обґрунтування, обговорення та відстеження при прийнятті регуляторних актів.</w:t>
            </w:r>
          </w:p>
        </w:tc>
        <w:tc>
          <w:tcPr>
            <w:tcW w:w="1071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забезпечення виконання Закону України «Про засади державної регуляторної політики у сфері господарської діяльності» протягом 2024 року: підготовлено звіт про здійснення державної регуляторної політики виконавчими органами Луцької міської ради у 2023 році; затверджено плани діяльності з підготовки проєктів регуляторних актів на 2025 рік щодо розробки 12 регуляторних актів; проведено 4 засідання постійної комісії з питань реалізації державної регуляторної політики у виконавчих органах міської ради; прийнято 3 регуляторних акти (рішення виконавчого комітету міської ради від 17.01.2024 № 25-1 «Про затвердження Порядку утримання фасадів будівель і споруд на території історичних ареалів міста Луцька та об’єктів культурної спадщини поза їхніми межами», від 13.03.2024 № 172-1 «Про затвердження Порядку розміщення зовнішньої реклами на території Луцької міської тери</w:t>
            </w:r>
            <w:r>
              <w:rPr>
                <w:rFonts w:ascii="Times New Roman" w:hAnsi="Times New Roman"/>
                <w:color w:val="000000"/>
                <w:sz w:val="26"/>
                <w:szCs w:val="26"/>
                <w:shd w:fill="auto" w:val="clear"/>
                <w:lang w:val="uk-UA"/>
              </w:rPr>
              <w:t>торіальної громади у новій редакції», та від 11.12.2024 № 718-1 «Про затвердження Порядку формування ціни послуги з управління багатоквартирним будинком»).</w:t>
            </w:r>
          </w:p>
          <w:p>
            <w:pPr>
              <w:pStyle w:val="Normal"/>
              <w:widowControl w:val="false"/>
              <w:tabs>
                <w:tab w:val="clear" w:pos="720"/>
                <w:tab w:val="left" w:pos="6660" w:leader="none"/>
              </w:tabs>
              <w:ind w:firstLine="567"/>
              <w:jc w:val="both"/>
              <w:rPr>
                <w:rFonts w:ascii="Times New Roman" w:hAnsi="Times New Roman"/>
                <w:color w:val="000000"/>
                <w:sz w:val="26"/>
                <w:szCs w:val="26"/>
                <w:lang w:val="uk-UA"/>
              </w:rPr>
            </w:pPr>
            <w:r>
              <w:rPr>
                <w:rFonts w:ascii="Times New Roman" w:hAnsi="Times New Roman"/>
                <w:color w:val="000000"/>
                <w:sz w:val="26"/>
                <w:szCs w:val="26"/>
                <w:shd w:fill="auto" w:val="clear"/>
                <w:lang w:val="uk-UA"/>
              </w:rPr>
              <w:t xml:space="preserve">Розпочато регуляторну процедуру </w:t>
            </w:r>
            <w:r>
              <w:rPr>
                <w:rFonts w:ascii="Times New Roman" w:hAnsi="Times New Roman"/>
                <w:color w:val="000000" w:themeColor="text1"/>
                <w:sz w:val="26"/>
                <w:szCs w:val="26"/>
                <w:shd w:fill="auto" w:val="clear"/>
                <w:lang w:val="uk-UA"/>
              </w:rPr>
              <w:t>та проведено її більшість етапів</w:t>
            </w:r>
            <w:r>
              <w:rPr>
                <w:rFonts w:ascii="Times New Roman" w:hAnsi="Times New Roman"/>
                <w:color w:val="000000"/>
                <w:sz w:val="26"/>
                <w:szCs w:val="26"/>
                <w:shd w:fill="auto" w:val="clear"/>
                <w:lang w:val="uk-UA"/>
              </w:rPr>
              <w:t xml:space="preserve"> щодо проєкту регуляторного акта – проєкту рішення міської ради «Про Правила благоустрою Луцької міської територіальної громади».</w:t>
            </w:r>
          </w:p>
          <w:p>
            <w:pPr>
              <w:pStyle w:val="Normal"/>
              <w:widowControl w:val="false"/>
              <w:tabs>
                <w:tab w:val="clear" w:pos="720"/>
                <w:tab w:val="left" w:pos="6660" w:leader="none"/>
              </w:tabs>
              <w:ind w:firstLine="567"/>
              <w:jc w:val="both"/>
              <w:rPr>
                <w:rFonts w:ascii="Times New Roman" w:hAnsi="Times New Roman"/>
                <w:color w:val="000000"/>
                <w:sz w:val="26"/>
                <w:szCs w:val="26"/>
                <w:lang w:val="uk-UA"/>
              </w:rPr>
            </w:pPr>
            <w:bookmarkStart w:id="4" w:name="_GoBack2"/>
            <w:bookmarkEnd w:id="4"/>
            <w:r>
              <w:rPr>
                <w:rFonts w:cs="Times New Roman" w:ascii="Times New Roman" w:hAnsi="Times New Roman"/>
                <w:color w:val="000000"/>
                <w:sz w:val="26"/>
                <w:szCs w:val="26"/>
                <w:shd w:fill="auto" w:val="clear"/>
                <w:lang w:val="uk-UA"/>
              </w:rPr>
              <w:t xml:space="preserve">З метою забезпечення прозорості </w:t>
            </w:r>
            <w:r>
              <w:rPr>
                <w:rFonts w:ascii="Times New Roman" w:hAnsi="Times New Roman"/>
                <w:color w:val="000000"/>
                <w:sz w:val="26"/>
                <w:szCs w:val="26"/>
                <w:shd w:fill="auto" w:val="clear"/>
                <w:lang w:val="uk-UA"/>
              </w:rPr>
              <w:t xml:space="preserve">державної регуляторної політики </w:t>
            </w:r>
            <w:r>
              <w:rPr>
                <w:rFonts w:cs="Times New Roman" w:ascii="Times New Roman" w:hAnsi="Times New Roman"/>
                <w:color w:val="000000"/>
                <w:sz w:val="26"/>
                <w:szCs w:val="26"/>
                <w:shd w:fill="auto" w:val="clear"/>
                <w:lang w:val="uk-UA"/>
              </w:rPr>
              <w:t>на офіційному сайті міської ради в розділ</w:t>
            </w:r>
            <w:r>
              <w:rPr>
                <w:rFonts w:cs="Times New Roman" w:ascii="Times New Roman" w:hAnsi="Times New Roman"/>
                <w:color w:val="000000"/>
                <w:sz w:val="26"/>
                <w:szCs w:val="26"/>
                <w:lang w:val="uk-UA"/>
              </w:rPr>
              <w:t>ах “Регуляторна політика”, “Прозорість влади” – Відкриті дані” розміщено всю необхідну, підготовлену в процесі регуляторної діяльності Л</w:t>
            </w:r>
            <w:r>
              <w:rPr>
                <w:rFonts w:cs="Times New Roman" w:ascii="Times New Roman" w:hAnsi="Times New Roman"/>
                <w:color w:val="000000"/>
                <w:spacing w:val="1"/>
                <w:sz w:val="26"/>
                <w:szCs w:val="26"/>
                <w:lang w:val="uk-UA"/>
              </w:rPr>
              <w:t xml:space="preserve">уцької міської ради та виконавчого комітету, інформацію та документацію. Також, за допомогою </w:t>
            </w:r>
            <w:r>
              <w:rPr>
                <w:rFonts w:eastAsia="NSimSun" w:cs="Times New Roman" w:ascii="Times New Roman" w:hAnsi="Times New Roman"/>
                <w:b w:val="false"/>
                <w:i w:val="false"/>
                <w:caps w:val="false"/>
                <w:smallCaps w:val="false"/>
                <w:color w:val="000000"/>
                <w:spacing w:val="0"/>
                <w:sz w:val="26"/>
                <w:szCs w:val="26"/>
                <w:lang w:val="uk-UA"/>
              </w:rPr>
              <w:t>інструменту е-демократії</w:t>
            </w:r>
            <w:r>
              <w:rPr>
                <w:rFonts w:eastAsia="NSimSun" w:cs="Times New Roman" w:ascii="Times New Roman" w:hAnsi="Times New Roman"/>
                <w:color w:val="000000"/>
                <w:spacing w:val="1"/>
                <w:sz w:val="26"/>
                <w:szCs w:val="26"/>
                <w:lang w:val="uk-UA"/>
              </w:rPr>
              <w:t xml:space="preserve"> «К</w:t>
            </w:r>
            <w:r>
              <w:rPr>
                <w:rFonts w:cs="Times New Roman" w:ascii="Times New Roman" w:hAnsi="Times New Roman"/>
                <w:color w:val="000000"/>
                <w:spacing w:val="1"/>
                <w:sz w:val="26"/>
                <w:szCs w:val="26"/>
                <w:lang w:val="uk-UA"/>
              </w:rPr>
              <w:t xml:space="preserve">онсультації з громадськістю» на платформі електронної демократії </w:t>
            </w:r>
            <w:r>
              <w:rPr>
                <w:rFonts w:eastAsia="NSimSun" w:cs="Times New Roman" w:ascii="Times New Roman" w:hAnsi="Times New Roman"/>
                <w:color w:val="000000"/>
                <w:spacing w:val="1"/>
                <w:sz w:val="26"/>
                <w:szCs w:val="26"/>
                <w:lang w:val="uk-UA"/>
              </w:rPr>
              <w:t>«</w:t>
            </w:r>
            <w:r>
              <w:rPr>
                <w:rFonts w:cs="Times New Roman" w:ascii="Times New Roman" w:hAnsi="Times New Roman"/>
                <w:b w:val="false"/>
                <w:i w:val="false"/>
                <w:caps w:val="false"/>
                <w:smallCaps w:val="false"/>
                <w:color w:val="000000"/>
                <w:spacing w:val="0"/>
                <w:sz w:val="26"/>
                <w:szCs w:val="26"/>
                <w:lang w:val="uk-UA"/>
              </w:rPr>
              <w:t>e-DEM</w:t>
            </w:r>
            <w:r>
              <w:rPr>
                <w:rFonts w:eastAsia="NSimSun" w:cs="Times New Roman" w:ascii="Times New Roman" w:hAnsi="Times New Roman"/>
                <w:b w:val="false"/>
                <w:i w:val="false"/>
                <w:caps w:val="false"/>
                <w:smallCaps w:val="false"/>
                <w:color w:val="000000"/>
                <w:spacing w:val="0"/>
                <w:sz w:val="26"/>
                <w:szCs w:val="26"/>
                <w:lang w:val="uk-UA"/>
              </w:rPr>
              <w:t xml:space="preserve">» </w:t>
            </w:r>
            <w:r>
              <w:rPr>
                <w:rFonts w:cs="Times New Roman" w:ascii="Times New Roman" w:hAnsi="Times New Roman"/>
                <w:color w:val="000000"/>
                <w:spacing w:val="1"/>
                <w:sz w:val="26"/>
                <w:szCs w:val="26"/>
                <w:lang w:val="uk-UA"/>
              </w:rPr>
              <w:t>постійно вивчається думка мешканців громади щодо прийняття окремих нормативно-правових актів.</w:t>
            </w:r>
          </w:p>
        </w:tc>
      </w:tr>
    </w:tbl>
    <w:p>
      <w:pPr>
        <w:pStyle w:val="Normal"/>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widowControl w:val="false"/>
        <w:ind w:firstLine="567"/>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3.1.4. Розвиток агропромислового комплексу</w:t>
      </w:r>
    </w:p>
    <w:p>
      <w:pPr>
        <w:pStyle w:val="Normal"/>
        <w:widowControl w:val="false"/>
        <w:ind w:firstLine="567"/>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9"/>
        <w:gridCol w:w="3821"/>
        <w:gridCol w:w="10737"/>
      </w:tblGrid>
      <w:tr>
        <w:trPr/>
        <w:tc>
          <w:tcPr>
            <w:tcW w:w="5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1268" w:hRule="atLeast"/>
        </w:trPr>
        <w:tc>
          <w:tcPr>
            <w:tcW w:w="57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2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eastAsia="ru-RU"/>
              </w:rPr>
              <w:t>Надання фінансової підтримки агровиробникам громади шляхом р</w:t>
            </w:r>
            <w:r>
              <w:rPr>
                <w:rFonts w:cs="Times New Roman" w:ascii="Times New Roman" w:hAnsi="Times New Roman"/>
                <w:color w:val="000000"/>
                <w:sz w:val="26"/>
                <w:szCs w:val="26"/>
                <w:lang w:val="uk-UA"/>
              </w:rPr>
              <w:t>еалізації заходів Програми розвитку агропромислового комплексу Луцької міської територіальної громади.</w:t>
            </w:r>
          </w:p>
        </w:tc>
        <w:tc>
          <w:tcPr>
            <w:tcW w:w="1073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 метою стимулювання розвитку агропромислового комплексу громади, створення сприятливих умов для провадження господарської діяльності сільськогосподарських підприємств, фермерів та особистих селянських господарств, згідно П</w:t>
            </w:r>
            <w:r>
              <w:rPr>
                <w:rFonts w:ascii="Times New Roman" w:hAnsi="Times New Roman"/>
                <w:color w:val="000000"/>
                <w:sz w:val="26"/>
                <w:szCs w:val="26"/>
                <w:lang w:val="uk-UA"/>
              </w:rPr>
              <w:t xml:space="preserve">рограми </w:t>
            </w:r>
            <w:r>
              <w:rPr>
                <w:rFonts w:cs="Times New Roman" w:ascii="Times New Roman" w:hAnsi="Times New Roman"/>
                <w:color w:val="000000"/>
                <w:sz w:val="26"/>
                <w:szCs w:val="26"/>
                <w:lang w:val="uk-UA"/>
              </w:rPr>
              <w:t xml:space="preserve">розвитку агропромислового комплексу Луцької міської територіальної громади на 2021-2025 роки збільшено в 5 разів суму дотації для власників ОСГ, які утримують три і більше корів; збільшено суму </w:t>
            </w:r>
            <w:r>
              <w:rPr>
                <w:rFonts w:eastAsia="Times New Roman" w:cs="Times New Roman" w:ascii="Times New Roman" w:hAnsi="Times New Roman"/>
                <w:color w:val="000000"/>
                <w:sz w:val="26"/>
                <w:szCs w:val="26"/>
                <w:lang w:val="uk-UA" w:eastAsia="uk-UA"/>
              </w:rPr>
              <w:t>здешевлення вартості наданих послуг із штучного осіменіння корів і телиць, яка</w:t>
            </w:r>
            <w:r>
              <w:rPr>
                <w:rFonts w:cs="Times New Roman" w:ascii="Times New Roman" w:hAnsi="Times New Roman"/>
                <w:color w:val="000000"/>
                <w:sz w:val="26"/>
                <w:szCs w:val="26"/>
                <w:lang w:val="uk-UA"/>
              </w:rPr>
              <w:t xml:space="preserve"> буде становити 50 % від вартості цієї послуги. Також </w:t>
            </w:r>
            <w:r>
              <w:rPr>
                <w:rFonts w:eastAsia="Times New Roman" w:cs="Times New Roman" w:ascii="Times New Roman" w:hAnsi="Times New Roman"/>
                <w:bCs/>
                <w:color w:val="000000"/>
                <w:sz w:val="26"/>
                <w:szCs w:val="26"/>
                <w:lang w:val="uk-UA"/>
              </w:rPr>
              <w:t xml:space="preserve">з бюджету громади проведено виплати на суму 77,2 тис. грн, з них: 41,0 тис. грн </w:t>
            </w:r>
            <w:r>
              <w:rPr>
                <w:rFonts w:eastAsia="Times New Roman" w:cs="Times New Roman" w:ascii="Times New Roman" w:hAnsi="Times New Roman"/>
                <w:bCs/>
                <w:color w:val="000000"/>
                <w:sz w:val="26"/>
                <w:szCs w:val="26"/>
                <w:lang w:val="uk-UA" w:eastAsia="uk-UA"/>
              </w:rPr>
              <w:t xml:space="preserve">– </w:t>
            </w:r>
            <w:r>
              <w:rPr>
                <w:rFonts w:cs="Times New Roman" w:ascii="Times New Roman" w:hAnsi="Times New Roman"/>
                <w:color w:val="000000"/>
                <w:spacing w:val="1"/>
                <w:sz w:val="26"/>
                <w:szCs w:val="26"/>
                <w:lang w:val="uk-UA"/>
              </w:rPr>
              <w:t xml:space="preserve">на виплату дотації за утримання трьох і більше корів (41 корова), 28,6 тис. грн </w:t>
            </w:r>
            <w:r>
              <w:rPr>
                <w:rFonts w:eastAsia="Times New Roman" w:cs="Times New Roman" w:ascii="Times New Roman" w:hAnsi="Times New Roman"/>
                <w:bCs/>
                <w:color w:val="000000"/>
                <w:sz w:val="26"/>
                <w:szCs w:val="26"/>
                <w:lang w:val="uk-UA" w:eastAsia="uk-UA"/>
              </w:rPr>
              <w:t xml:space="preserve">– </w:t>
            </w:r>
            <w:r>
              <w:rPr>
                <w:rFonts w:cs="Times New Roman" w:ascii="Times New Roman" w:hAnsi="Times New Roman"/>
                <w:color w:val="000000"/>
                <w:sz w:val="26"/>
                <w:szCs w:val="26"/>
                <w:lang w:val="uk-UA"/>
              </w:rPr>
              <w:t xml:space="preserve">на виплату дотації за молодняк великої рогатої худоби (24 голови), 7,6 тис. грн </w:t>
            </w:r>
            <w:r>
              <w:rPr>
                <w:rFonts w:eastAsia="Times New Roman" w:cs="Times New Roman" w:ascii="Times New Roman" w:hAnsi="Times New Roman"/>
                <w:bCs/>
                <w:color w:val="000000"/>
                <w:sz w:val="26"/>
                <w:szCs w:val="26"/>
                <w:lang w:val="uk-UA" w:eastAsia="uk-UA"/>
              </w:rPr>
              <w:t>– на здешевлення вартості наданих послуг із штучного осіменіння 32 корів і телиць.</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 метою</w:t>
            </w:r>
            <w:r>
              <w:rPr>
                <w:rFonts w:ascii="Times New Roman" w:hAnsi="Times New Roman"/>
                <w:color w:val="000000"/>
                <w:sz w:val="26"/>
                <w:szCs w:val="26"/>
                <w:lang w:val="uk-UA"/>
              </w:rPr>
              <w:t xml:space="preserve"> надання допомоги фермерам та іншим виробникам сільськогосподарської продукції у здійсненні реєстрації у Державному аграрному реєстрі, подання заяво</w:t>
            </w:r>
            <w:r>
              <w:rPr>
                <w:rFonts w:cs="Times New Roman" w:ascii="Times New Roman" w:hAnsi="Times New Roman"/>
                <w:color w:val="000000"/>
                <w:sz w:val="26"/>
                <w:szCs w:val="26"/>
                <w:lang w:val="uk-UA"/>
              </w:rPr>
              <w:t xml:space="preserve">к на отримання державної фінансової допомоги та відстеження їх руху, в березні 2024 року </w:t>
            </w:r>
            <w:r>
              <w:rPr>
                <w:rFonts w:ascii="Times New Roman" w:hAnsi="Times New Roman"/>
                <w:color w:val="000000"/>
                <w:sz w:val="26"/>
                <w:szCs w:val="26"/>
                <w:lang w:val="uk-UA"/>
              </w:rPr>
              <w:t>введено в дію три нові адміністративні послуги, які надаються адміністраторами ЦНАП та старостами старостинських округів, як інформаційно-консультаційна допомога. Також для отримання цих адміністративних послуг облаштовано вільні робочі місця для відвідувачів в приміщеннях 5 старостатів.</w:t>
            </w:r>
            <w:bookmarkStart w:id="5" w:name="_GoBack3"/>
            <w:bookmarkEnd w:id="5"/>
          </w:p>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В квітні 2024 року пільговим категоріям громадян (всього охоплено 200 домогосподарств) було передано насіння овочів, </w:t>
            </w:r>
            <w:r>
              <w:rPr>
                <w:rFonts w:eastAsia="Arial" w:cs="Times New Roman" w:ascii="Times New Roman" w:hAnsi="Times New Roman"/>
                <w:color w:val="000000"/>
                <w:sz w:val="26"/>
                <w:szCs w:val="26"/>
                <w:lang w:val="uk-UA"/>
              </w:rPr>
              <w:t xml:space="preserve">отримане як благодійна допомога від </w:t>
            </w:r>
            <w:r>
              <w:rPr>
                <w:rFonts w:cs="Times New Roman" w:ascii="Times New Roman" w:hAnsi="Times New Roman"/>
                <w:color w:val="000000"/>
                <w:sz w:val="26"/>
                <w:szCs w:val="26"/>
                <w:lang w:val="uk-UA"/>
              </w:rPr>
              <w:t xml:space="preserve">міжнародних насіннєвих компаній: Enza Zaden, </w:t>
            </w:r>
            <w:r>
              <w:rPr>
                <w:rFonts w:eastAsia="Times New Roman" w:cs="Times New Roman" w:ascii="Times New Roman" w:hAnsi="Times New Roman"/>
                <w:color w:val="000000"/>
                <w:sz w:val="26"/>
                <w:szCs w:val="26"/>
                <w:lang w:val="uk-UA"/>
              </w:rPr>
              <w:t>Osborne Quality Seeds,</w:t>
            </w:r>
            <w:r>
              <w:rPr>
                <w:rFonts w:eastAsia="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Syngenta в рамках ініціативи "НАСІННЯ ПЕРЕМОГИ" проєкту «Згуртовані_громади», який реалізувала Всеукраїнська асоціація громад за підтримки Програми USAID з аграрного та сільського розвитку (АГРО) спільно з органами місцевого самоврядування.</w:t>
            </w:r>
          </w:p>
          <w:p>
            <w:pPr>
              <w:pStyle w:val="Normal"/>
              <w:widowControl w:val="false"/>
              <w:shd w:val="clear" w:color="auto" w:fill="FFFFFF"/>
              <w:tabs>
                <w:tab w:val="clear" w:pos="720"/>
                <w:tab w:val="left" w:pos="90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 метою залучення інвестицій в аграрний сектор громади, відповідно до проєкту Організації Об'єднаних Націй з промислового розвитку (UNIDO) та японської урядової організації, у співпраці з українськими громадськими організаціями, Луцькою міською радою подано перелік з семи експортно-орієнтованих аграріїв Луцької МТГ для участі в початковій стадії проєкту щодо пошуку потенційних партнерів для японського приватного бізнесу.</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iCs/>
                <w:color w:val="000000"/>
                <w:sz w:val="26"/>
                <w:szCs w:val="26"/>
                <w:lang w:val="uk-UA"/>
              </w:rPr>
              <w:t xml:space="preserve">Станом на 01.01.2025 кількість сільськогосподарських товаровиробників, зареєстрованих в громаді, становить 539 осіб (в т. ч. юридичних осіб – 345, фізичних осіб-підприємців – 194), що на 6 % більше </w:t>
            </w:r>
            <w:r>
              <w:rPr>
                <w:rFonts w:cs="Times New Roman" w:ascii="Times New Roman" w:hAnsi="Times New Roman"/>
                <w:color w:val="000000"/>
                <w:sz w:val="26"/>
                <w:szCs w:val="26"/>
                <w:lang w:val="uk-UA"/>
              </w:rPr>
              <w:t xml:space="preserve">ніж станом на 01.01.2024 </w:t>
            </w:r>
            <w:r>
              <w:rPr>
                <w:rFonts w:cs="Times New Roman" w:ascii="Times New Roman" w:hAnsi="Times New Roman"/>
                <w:iCs/>
                <w:color w:val="000000"/>
                <w:sz w:val="26"/>
                <w:szCs w:val="26"/>
                <w:lang w:val="uk-UA"/>
              </w:rPr>
              <w:t>(в т. ч. юридичних осіб – на 5 %, фізичних осіб-підприємців – на 8 %)</w:t>
            </w:r>
            <w:r>
              <w:rPr>
                <w:rFonts w:cs="Times New Roman" w:ascii="Times New Roman" w:hAnsi="Times New Roman"/>
                <w:color w:val="000000"/>
                <w:sz w:val="26"/>
                <w:szCs w:val="26"/>
                <w:lang w:val="uk-UA"/>
              </w:rPr>
              <w:t>, з них з</w:t>
            </w:r>
            <w:r>
              <w:rPr>
                <w:rFonts w:cs="Times New Roman" w:ascii="Times New Roman" w:hAnsi="Times New Roman"/>
                <w:iCs/>
                <w:color w:val="000000"/>
                <w:sz w:val="26"/>
                <w:szCs w:val="26"/>
                <w:lang w:val="uk-UA"/>
              </w:rPr>
              <w:t>а основними видами економічної діяльності:</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iCs/>
                <w:color w:val="000000"/>
                <w:sz w:val="26"/>
                <w:szCs w:val="26"/>
                <w:lang w:val="uk-UA"/>
              </w:rPr>
              <w:t>1) сільське господарство – 272 (в т. ч. юридичних осіб – 194, фізичних осіб-підприємців – 78), що на 8 % більше</w:t>
            </w:r>
            <w:r>
              <w:rPr>
                <w:rFonts w:cs="Times New Roman" w:ascii="Times New Roman" w:hAnsi="Times New Roman"/>
                <w:color w:val="000000"/>
                <w:sz w:val="26"/>
                <w:szCs w:val="26"/>
                <w:lang w:val="uk-UA"/>
              </w:rPr>
              <w:t xml:space="preserve"> ніж станом на 01.01.2024, </w:t>
            </w:r>
            <w:r>
              <w:rPr>
                <w:rFonts w:cs="Times New Roman" w:ascii="Times New Roman" w:hAnsi="Times New Roman"/>
                <w:iCs/>
                <w:color w:val="000000"/>
                <w:sz w:val="26"/>
                <w:szCs w:val="26"/>
                <w:lang w:val="uk-UA"/>
              </w:rPr>
              <w:t>з них:</w:t>
            </w:r>
          </w:p>
          <w:p>
            <w:pPr>
              <w:pStyle w:val="Normal"/>
              <w:widowControl w:val="false"/>
              <w:shd w:val="clear" w:color="auto" w:fill="FFFFFF"/>
              <w:ind w:firstLine="567"/>
              <w:jc w:val="both"/>
              <w:rPr>
                <w:rFonts w:ascii="Times New Roman" w:hAnsi="Times New Roman" w:cs="Times New Roman"/>
                <w:iCs/>
                <w:color w:val="000000"/>
                <w:sz w:val="26"/>
                <w:szCs w:val="26"/>
                <w:lang w:val="uk-UA"/>
              </w:rPr>
            </w:pPr>
            <w:r>
              <w:rPr>
                <w:rFonts w:cs="Times New Roman" w:ascii="Times New Roman" w:hAnsi="Times New Roman"/>
                <w:iCs/>
                <w:color w:val="000000"/>
                <w:sz w:val="26"/>
                <w:szCs w:val="26"/>
                <w:lang w:val="uk-UA"/>
              </w:rPr>
              <w:t>рослинництво – 192 (в т. ч. юридичних осіб – 159, фізичних осіб-підприємців – 33),</w:t>
            </w:r>
          </w:p>
          <w:p>
            <w:pPr>
              <w:pStyle w:val="Normal"/>
              <w:widowControl w:val="false"/>
              <w:shd w:val="clear" w:color="auto" w:fill="FFFFFF"/>
              <w:ind w:firstLine="567"/>
              <w:jc w:val="both"/>
              <w:rPr>
                <w:rFonts w:ascii="Times New Roman" w:hAnsi="Times New Roman" w:cs="Times New Roman"/>
                <w:iCs/>
                <w:color w:val="000000"/>
                <w:sz w:val="26"/>
                <w:szCs w:val="26"/>
                <w:lang w:val="uk-UA"/>
              </w:rPr>
            </w:pPr>
            <w:r>
              <w:rPr>
                <w:rFonts w:cs="Times New Roman" w:ascii="Times New Roman" w:hAnsi="Times New Roman"/>
                <w:iCs/>
                <w:color w:val="000000"/>
                <w:sz w:val="26"/>
                <w:szCs w:val="26"/>
                <w:lang w:val="uk-UA"/>
              </w:rPr>
              <w:t>тваринництво – 70 (в т. ч. юридичних осіб – 25, фізичних осіб-підприємців – 45),</w:t>
            </w:r>
          </w:p>
          <w:p>
            <w:pPr>
              <w:pStyle w:val="Normal"/>
              <w:widowControl w:val="false"/>
              <w:shd w:val="clear" w:color="auto" w:fill="FFFFFF"/>
              <w:ind w:firstLine="567"/>
              <w:jc w:val="both"/>
              <w:rPr>
                <w:rFonts w:ascii="Times New Roman" w:hAnsi="Times New Roman" w:cs="Times New Roman"/>
                <w:iCs/>
                <w:color w:val="000000"/>
                <w:sz w:val="26"/>
                <w:szCs w:val="26"/>
                <w:lang w:val="uk-UA"/>
              </w:rPr>
            </w:pPr>
            <w:r>
              <w:rPr>
                <w:rFonts w:cs="Times New Roman" w:ascii="Times New Roman" w:hAnsi="Times New Roman"/>
                <w:iCs/>
                <w:color w:val="000000"/>
                <w:sz w:val="26"/>
                <w:szCs w:val="26"/>
                <w:lang w:val="uk-UA"/>
              </w:rPr>
              <w:t>змішане сільське господарство – 10 юридичних осіб;</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iCs/>
                <w:color w:val="000000"/>
                <w:sz w:val="26"/>
                <w:szCs w:val="26"/>
                <w:lang w:val="uk-UA"/>
              </w:rPr>
              <w:t>2) рибне господарство – 24 (в т. ч. юридичних осіб – 14, фізичних осіб-підприємців – 10), що на 9 % більше</w:t>
            </w:r>
            <w:r>
              <w:rPr>
                <w:rFonts w:cs="Times New Roman" w:ascii="Times New Roman" w:hAnsi="Times New Roman"/>
                <w:color w:val="000000"/>
                <w:sz w:val="26"/>
                <w:szCs w:val="26"/>
                <w:lang w:val="uk-UA"/>
              </w:rPr>
              <w:t xml:space="preserve"> ніж станом на 01.01.2024;</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iCs/>
                <w:color w:val="000000"/>
                <w:sz w:val="26"/>
                <w:szCs w:val="26"/>
                <w:lang w:val="uk-UA"/>
              </w:rPr>
              <w:t xml:space="preserve">3) переробні галузі АПК – 243 (в т. ч. юридичних осіб – 137, фізичних осіб-підприємців – 106), </w:t>
            </w:r>
            <w:bookmarkStart w:id="6" w:name="_GoBack4"/>
            <w:bookmarkEnd w:id="6"/>
            <w:r>
              <w:rPr>
                <w:rFonts w:cs="Times New Roman" w:ascii="Times New Roman" w:hAnsi="Times New Roman"/>
                <w:iCs/>
                <w:color w:val="000000"/>
                <w:sz w:val="26"/>
                <w:szCs w:val="26"/>
                <w:lang w:val="uk-UA"/>
              </w:rPr>
              <w:t>що на 4 % більше</w:t>
            </w:r>
            <w:r>
              <w:rPr>
                <w:rFonts w:cs="Times New Roman" w:ascii="Times New Roman" w:hAnsi="Times New Roman"/>
                <w:color w:val="000000"/>
                <w:sz w:val="26"/>
                <w:szCs w:val="26"/>
                <w:lang w:val="uk-UA"/>
              </w:rPr>
              <w:t xml:space="preserve"> ніж станом на 01.01.2024</w:t>
            </w:r>
            <w:r>
              <w:rPr>
                <w:rFonts w:cs="Times New Roman" w:ascii="Times New Roman" w:hAnsi="Times New Roman"/>
                <w:iCs/>
                <w:color w:val="000000"/>
                <w:sz w:val="26"/>
                <w:szCs w:val="26"/>
                <w:lang w:val="uk-UA"/>
              </w:rPr>
              <w:t>.</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 даними старостатів станом на 01.01.2025 в сільській місцевості та сел. Рокині кількість особистих селянських господарств (далі – ОСГ), які утримують корів – 260, що на 10 % менше ніж станом на 01.01.2024. Кількість корів, які утримуються в цих ОСГ – 374 голів, що на 11 % менше ніж станом на 01.01.2024.</w:t>
            </w:r>
          </w:p>
          <w:p>
            <w:pPr>
              <w:pStyle w:val="Normal"/>
              <w:widowControl w:val="false"/>
              <w:shd w:val="clear" w:color="auto" w:fill="FFFFFF"/>
              <w:tabs>
                <w:tab w:val="clear" w:pos="720"/>
                <w:tab w:val="left" w:pos="900" w:leader="none"/>
              </w:tabs>
              <w:ind w:firstLine="567"/>
              <w:jc w:val="both"/>
              <w:rPr>
                <w:rFonts w:ascii="Times New Roman" w:hAnsi="Times New Roman" w:cs="Times New Roman"/>
                <w:iCs/>
                <w:color w:val="000000"/>
                <w:sz w:val="26"/>
                <w:szCs w:val="26"/>
                <w:lang w:val="uk-UA"/>
              </w:rPr>
            </w:pPr>
            <w:r>
              <w:rPr>
                <w:rFonts w:cs="Times New Roman" w:ascii="Times New Roman" w:hAnsi="Times New Roman"/>
                <w:iCs/>
                <w:color w:val="000000"/>
                <w:sz w:val="26"/>
                <w:szCs w:val="26"/>
                <w:lang w:val="uk-UA"/>
              </w:rPr>
              <w:t>Станом на 01.01.2025 в міській раді зареєстровано 36 пасік на 1 385 бджолосімей, з них  на території громади розміщено 27 пасік на 892 бджолосім’ї, 9 пасік – за межами громади (493 бджолосім’ї).</w:t>
            </w:r>
          </w:p>
        </w:tc>
      </w:tr>
      <w:tr>
        <w:trPr/>
        <w:tc>
          <w:tcPr>
            <w:tcW w:w="57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2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eastAsia="ru-RU"/>
              </w:rPr>
            </w:pPr>
            <w:r>
              <w:rPr>
                <w:rFonts w:cs="Times New Roman" w:ascii="Times New Roman" w:hAnsi="Times New Roman"/>
                <w:color w:val="000000"/>
                <w:sz w:val="26"/>
                <w:szCs w:val="26"/>
                <w:lang w:val="uk-UA" w:eastAsia="ru-RU"/>
              </w:rPr>
              <w:t>Надання дотаційної підтримки агровиробникам відповідно до Комплексної програми розвитку агропромислового комплексу Волинської області.</w:t>
            </w:r>
          </w:p>
        </w:tc>
        <w:tc>
          <w:tcPr>
            <w:tcW w:w="1073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 виконання розпорядження Волинської обласної військової адміністрації                                  від 26.04.2023 № 178 «Про затвердження Порядку надання та використання коштів, субвенції з обласного бюджету місцевим бюджетам для надання дотації за вирощування молодняка великої рогатої худоби», відповідно до рішень виконавчого комітету міської ради від 18.05.2023 № 288-1 «Про субвенцію з обласного бюджету для надання дотації за вирощування молодняка великої рогатої худоби», від 19.06.2024 № 328-1 «Про реєстр на отримання дотації за молодняк великої рогатої худоби за рахунок коштів субвенції з обласного бюджету», від 06.11.2024 № 614-1 «Про реєстр на отримання дотації за молодняк великої рогатої худоби за рахунок коштів субвенції з обласного бюджету за 2024 рік», опрацьовано 24 заявки членів особистих селянських господарств громади, складено відповідні реєстри та нараховано 36,5 тис. грн дотацій за молодняк великої рогатої худоби, з них виплачено: 7,9 тис. грн коштами субвенції з обласного бюджету та 28,6 тис. грн коштами бюджету громади.</w:t>
            </w:r>
          </w:p>
        </w:tc>
      </w:tr>
      <w:tr>
        <w:trPr/>
        <w:tc>
          <w:tcPr>
            <w:tcW w:w="57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2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eastAsia="ru-RU"/>
              </w:rPr>
              <w:t xml:space="preserve">Інформування </w:t>
            </w:r>
            <w:r>
              <w:rPr>
                <w:rFonts w:cs="Times New Roman" w:ascii="Times New Roman" w:hAnsi="Times New Roman"/>
                <w:color w:val="000000"/>
                <w:sz w:val="26"/>
                <w:szCs w:val="26"/>
                <w:lang w:val="uk-UA"/>
              </w:rPr>
              <w:t xml:space="preserve">сільськогосподарських товаровиробників </w:t>
            </w:r>
            <w:r>
              <w:rPr>
                <w:rFonts w:cs="Times New Roman" w:ascii="Times New Roman" w:hAnsi="Times New Roman"/>
                <w:color w:val="000000"/>
                <w:sz w:val="26"/>
                <w:szCs w:val="26"/>
                <w:lang w:val="uk-UA" w:eastAsia="ru-RU"/>
              </w:rPr>
              <w:t xml:space="preserve">про норми та порядки використання коштів відповідних державних, регіональних та місцевих бюджетних програм, участь у міжнародних грантових програмах, необхідність реєстрації </w:t>
            </w:r>
            <w:r>
              <w:rPr>
                <w:rFonts w:cs="Times New Roman" w:ascii="Times New Roman" w:hAnsi="Times New Roman"/>
                <w:color w:val="000000"/>
                <w:sz w:val="26"/>
                <w:szCs w:val="26"/>
                <w:lang w:val="uk-UA"/>
              </w:rPr>
              <w:t>у Державному аграрному реєстрі</w:t>
            </w:r>
            <w:r>
              <w:rPr>
                <w:rFonts w:cs="Times New Roman" w:ascii="Times New Roman" w:hAnsi="Times New Roman"/>
                <w:color w:val="000000"/>
                <w:sz w:val="26"/>
                <w:szCs w:val="26"/>
                <w:lang w:val="uk-UA" w:eastAsia="ru-RU"/>
              </w:rPr>
              <w:t>, новації законодавства тощо.</w:t>
            </w:r>
          </w:p>
        </w:tc>
        <w:tc>
          <w:tcPr>
            <w:tcW w:w="1073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ind w:firstLine="567"/>
              <w:jc w:val="both"/>
              <w:rPr/>
            </w:pPr>
            <w:r>
              <w:rPr>
                <w:rFonts w:cs="Times New Roman" w:ascii="Times New Roman" w:hAnsi="Times New Roman"/>
                <w:color w:val="000000"/>
                <w:sz w:val="26"/>
                <w:szCs w:val="26"/>
                <w:lang w:val="uk-UA" w:eastAsia="en-US"/>
              </w:rPr>
              <w:t xml:space="preserve">На офіційному сайті міської ради (сторінка «Про місто»/«Агропромисловий комплекс міської територіальної громади»), розміщена інформація про порядок використання коштів бюджету громади для </w:t>
            </w:r>
            <w:r>
              <w:rPr>
                <w:rFonts w:cs="Times New Roman" w:ascii="Times New Roman" w:hAnsi="Times New Roman"/>
                <w:color w:val="000000"/>
                <w:sz w:val="26"/>
                <w:szCs w:val="26"/>
                <w:lang w:val="uk-UA"/>
              </w:rPr>
              <w:t xml:space="preserve">фінансової підтримки </w:t>
            </w:r>
            <w:r>
              <w:rPr>
                <w:rFonts w:ascii="Times New Roman" w:hAnsi="Times New Roman"/>
                <w:color w:val="000000"/>
                <w:sz w:val="26"/>
                <w:szCs w:val="26"/>
                <w:lang w:val="uk-UA"/>
              </w:rPr>
              <w:t>виробників сільськогосподарської продукції</w:t>
            </w:r>
            <w:r>
              <w:rPr>
                <w:rFonts w:cs="Times New Roman" w:ascii="Times New Roman" w:hAnsi="Times New Roman"/>
                <w:color w:val="000000"/>
                <w:sz w:val="26"/>
                <w:szCs w:val="26"/>
                <w:lang w:val="uk-UA"/>
              </w:rPr>
              <w:t xml:space="preserve"> у 2024 році; </w:t>
            </w:r>
            <w:r>
              <w:rPr>
                <w:rFonts w:cs="Times New Roman" w:ascii="Times New Roman" w:hAnsi="Times New Roman"/>
                <w:iCs/>
                <w:color w:val="000000"/>
                <w:sz w:val="26"/>
                <w:szCs w:val="26"/>
                <w:lang w:val="uk-UA" w:eastAsia="en-US"/>
              </w:rPr>
              <w:t xml:space="preserve">оголошення про прийом документів від с/г виробників відповідно до </w:t>
            </w:r>
            <w:r>
              <w:rPr>
                <w:rFonts w:eastAsia="Times New Roman" w:cs="Segoe UI Historic" w:ascii="Times New Roman" w:hAnsi="Times New Roman"/>
                <w:color w:val="000000"/>
                <w:kern w:val="0"/>
                <w:sz w:val="26"/>
                <w:szCs w:val="26"/>
                <w:lang w:val="uk-UA" w:eastAsia="uk-UA" w:bidi="ar-SA"/>
              </w:rPr>
              <w:t xml:space="preserve">порядку використання коштів субвенції з обласного бюджету місцевим бюджетам для надання дотації за вирощування молодняка великої рогатої </w:t>
            </w:r>
            <w:r>
              <w:rPr>
                <w:rFonts w:eastAsia="Times New Roman" w:cs="Times New Roman" w:ascii="Times New Roman" w:hAnsi="Times New Roman"/>
                <w:color w:val="000000"/>
                <w:kern w:val="0"/>
                <w:sz w:val="26"/>
                <w:szCs w:val="26"/>
                <w:lang w:val="uk-UA" w:eastAsia="uk-UA" w:bidi="ar-SA"/>
              </w:rPr>
              <w:t>худоби;</w:t>
            </w: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eastAsia="en-US"/>
              </w:rPr>
              <w:t xml:space="preserve">інформацію про надання: мікрогрантів на розвиток теплиць, садівництва, ягідництва та виноградарства, про відкриття власної справи, </w:t>
            </w:r>
            <w:r>
              <w:rPr>
                <w:rFonts w:cs="Times New Roman" w:ascii="Times New Roman" w:hAnsi="Times New Roman"/>
                <w:iCs/>
                <w:color w:val="000000"/>
                <w:sz w:val="26"/>
                <w:szCs w:val="26"/>
                <w:lang w:val="uk-UA" w:eastAsia="en-US"/>
              </w:rPr>
              <w:t xml:space="preserve">підтримки малим агровиробникам через ДАР, </w:t>
            </w:r>
            <w:r>
              <w:rPr>
                <w:rStyle w:val="Strong"/>
                <w:rFonts w:ascii="Times New Roman" w:hAnsi="Times New Roman"/>
                <w:b w:val="false"/>
                <w:color w:val="000000"/>
                <w:sz w:val="26"/>
                <w:szCs w:val="26"/>
                <w:lang w:val="uk-UA"/>
              </w:rPr>
              <w:t xml:space="preserve">часткової компенсації вартості придбаної техніки, кредитів відповідно до програми «Доступні кредити 5-7-9 %», яка переорієнтована на інвестиційні цілі. Також </w:t>
            </w:r>
            <w:r>
              <w:rPr>
                <w:rStyle w:val="Strong"/>
                <w:rFonts w:ascii="Times New Roman" w:hAnsi="Times New Roman"/>
                <w:b w:val="false"/>
                <w:iCs/>
                <w:color w:val="000000"/>
                <w:sz w:val="26"/>
                <w:szCs w:val="26"/>
                <w:lang w:val="uk-UA" w:eastAsia="en-US"/>
              </w:rPr>
              <w:t>розміщено інформацію про</w:t>
            </w:r>
            <w:r>
              <w:rPr>
                <w:rStyle w:val="Strong"/>
                <w:rFonts w:eastAsia="Calibri" w:ascii="Times New Roman" w:hAnsi="Times New Roman"/>
                <w:b w:val="false"/>
                <w:color w:val="000000"/>
                <w:kern w:val="0"/>
                <w:sz w:val="26"/>
                <w:szCs w:val="26"/>
                <w:lang w:val="uk-UA" w:eastAsia="en-US" w:bidi="ar-SA"/>
              </w:rPr>
              <w:t xml:space="preserve"> співпрацю із міжнародними організаціями, що надають консультаційну та фінансову підтримку аграріям </w:t>
            </w:r>
            <w:r>
              <w:rPr>
                <w:rFonts w:eastAsia="Calibri" w:cs="Times New Roman" w:ascii="Times New Roman" w:hAnsi="Times New Roman"/>
                <w:color w:val="000000"/>
                <w:kern w:val="0"/>
                <w:sz w:val="26"/>
                <w:szCs w:val="26"/>
                <w:lang w:val="uk-UA" w:eastAsia="en-US" w:bidi="ar-SA"/>
              </w:rPr>
              <w:t>тощо.</w:t>
            </w:r>
          </w:p>
          <w:p>
            <w:pPr>
              <w:pStyle w:val="Normal"/>
              <w:widowControl w:val="false"/>
              <w:tabs>
                <w:tab w:val="clear" w:pos="720"/>
                <w:tab w:val="left" w:pos="6954" w:leader="none"/>
              </w:tabs>
              <w:ind w:firstLine="567"/>
              <w:jc w:val="both"/>
              <w:rPr>
                <w:rFonts w:ascii="Times New Roman" w:hAnsi="Times New Roman" w:cs="Times New Roman"/>
                <w:color w:val="000000"/>
                <w:sz w:val="26"/>
                <w:szCs w:val="26"/>
                <w:lang w:val="uk-UA"/>
              </w:rPr>
            </w:pPr>
            <w:r>
              <w:rPr>
                <w:rFonts w:cs="Times New Roman" w:ascii="Times New Roman" w:hAnsi="Times New Roman"/>
                <w:iCs/>
                <w:color w:val="000000"/>
                <w:sz w:val="26"/>
                <w:szCs w:val="26"/>
                <w:lang w:val="uk-UA" w:eastAsia="en-US"/>
              </w:rPr>
              <w:t xml:space="preserve">Водночас </w:t>
            </w:r>
            <w:r>
              <w:rPr>
                <w:rFonts w:cs="Times New Roman" w:ascii="Times New Roman" w:hAnsi="Times New Roman"/>
                <w:bCs/>
                <w:color w:val="000000"/>
                <w:sz w:val="26"/>
                <w:szCs w:val="26"/>
                <w:lang w:val="uk-UA"/>
              </w:rPr>
              <w:t>на сайті міської ради в розділах «Оголошення» та/або «Оперативна інформація», сторінках соціальної мережі Facebook та в групах Viber</w:t>
            </w:r>
            <w:r>
              <w:rPr>
                <w:rFonts w:cs="Times New Roman" w:ascii="Times New Roman" w:hAnsi="Times New Roman"/>
                <w:iCs/>
                <w:color w:val="000000"/>
                <w:sz w:val="26"/>
                <w:szCs w:val="26"/>
                <w:lang w:val="uk-UA" w:eastAsia="en-US"/>
              </w:rPr>
              <w:t xml:space="preserve">  розміщувалась вищезазначена інформація, а також інформація про: необхідність реєстрації в ДАР; державну підтримку для страхування с / г продукції (зернові культури); індивідуальні онлайн-консультації для громади з питань сільського господарства; програму грантів в органічному секторі (збут, скорочення ланцюгів постачання, покращення презентації продукції); </w:t>
            </w:r>
            <w:r>
              <w:rPr>
                <w:rFonts w:eastAsia="Times New Roman" w:cs="Times New Roman" w:ascii="Times New Roman" w:hAnsi="Times New Roman"/>
                <w:color w:val="000000"/>
                <w:kern w:val="0"/>
                <w:sz w:val="26"/>
                <w:szCs w:val="26"/>
                <w:lang w:val="uk-UA" w:eastAsia="uk-UA" w:bidi="ar-SA"/>
              </w:rPr>
              <w:t xml:space="preserve">компенсацію витрат малим агровиробникам на сертифікацію органічного виробництва в 2024 році; програму «Мінеральні добрива для агровиробників на осінню посівну </w:t>
            </w:r>
            <w:r>
              <w:rPr>
                <w:rFonts w:cs="Times New Roman" w:ascii="Times New Roman" w:hAnsi="Times New Roman"/>
                <w:color w:val="000000"/>
                <w:sz w:val="26"/>
                <w:szCs w:val="26"/>
                <w:lang w:val="uk-UA"/>
              </w:rPr>
              <w:t>від USAID АГРО</w:t>
            </w:r>
            <w:r>
              <w:rPr>
                <w:rFonts w:eastAsia="Times New Roman" w:cs="Times New Roman" w:ascii="Times New Roman" w:hAnsi="Times New Roman"/>
                <w:color w:val="000000"/>
                <w:kern w:val="0"/>
                <w:sz w:val="26"/>
                <w:szCs w:val="26"/>
                <w:lang w:val="uk-UA" w:eastAsia="uk-UA" w:bidi="ar-SA"/>
              </w:rPr>
              <w:t xml:space="preserve">»; </w:t>
            </w:r>
            <w:r>
              <w:rPr>
                <w:rFonts w:cs="Times New Roman" w:ascii="Times New Roman" w:hAnsi="Times New Roman"/>
                <w:color w:val="000000"/>
                <w:sz w:val="26"/>
                <w:szCs w:val="26"/>
                <w:lang w:val="uk-UA"/>
              </w:rPr>
              <w:t xml:space="preserve">програми USAID АГРО для розвитку переробки сільського господарства, використання вдосконалених практик, збільшення використання покращених сортів насіння та засобів захисту рослин; </w:t>
            </w:r>
            <w:r>
              <w:rPr>
                <w:rFonts w:eastAsia="Calibri" w:cs="Times New Roman" w:ascii="Times New Roman" w:hAnsi="Times New Roman"/>
                <w:color w:val="000000"/>
                <w:kern w:val="0"/>
                <w:sz w:val="26"/>
                <w:szCs w:val="26"/>
                <w:lang w:val="uk-UA" w:eastAsia="en-US" w:bidi="ar-SA"/>
              </w:rPr>
              <w:t>грант для впровадження або розвитку переробки продукції з впровадженням складових соціальної відповідальності для жінок-фермерок.</w:t>
            </w:r>
          </w:p>
        </w:tc>
      </w:tr>
      <w:tr>
        <w:trPr/>
        <w:tc>
          <w:tcPr>
            <w:tcW w:w="57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2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Залучення агровиробників громади до участі у навчальних семінарах, конференція, круглих столах з питань</w:t>
            </w:r>
            <w:r>
              <w:rPr>
                <w:rFonts w:cs="Times New Roman" w:ascii="Times New Roman" w:hAnsi="Times New Roman"/>
                <w:b/>
                <w:color w:val="000000"/>
                <w:sz w:val="26"/>
                <w:szCs w:val="26"/>
                <w:lang w:val="uk-UA" w:eastAsia="ru-RU"/>
              </w:rPr>
              <w:t xml:space="preserve"> </w:t>
            </w:r>
            <w:r>
              <w:rPr>
                <w:rFonts w:cs="Times New Roman" w:ascii="Times New Roman" w:hAnsi="Times New Roman"/>
                <w:color w:val="000000"/>
                <w:sz w:val="26"/>
                <w:szCs w:val="26"/>
                <w:lang w:val="uk-UA" w:eastAsia="ru-RU"/>
              </w:rPr>
              <w:t>розвитку агропромислового сектору</w:t>
            </w:r>
            <w:r>
              <w:rPr>
                <w:rFonts w:eastAsia="Calibri" w:cs="Times New Roman" w:ascii="Times New Roman" w:hAnsi="Times New Roman"/>
                <w:color w:val="000000"/>
                <w:kern w:val="0"/>
                <w:sz w:val="26"/>
                <w:szCs w:val="26"/>
                <w:lang w:val="uk-UA" w:eastAsia="en-US" w:bidi="ar-SA"/>
              </w:rPr>
              <w:t>.</w:t>
            </w:r>
          </w:p>
        </w:tc>
        <w:tc>
          <w:tcPr>
            <w:tcW w:w="1073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uk-UA" w:bidi="ar-SA"/>
              </w:rPr>
              <w:t xml:space="preserve">У зв’язку з настанням польових робіт, з метою уникнення конфліктних ситуацій між сільськогосподарськими виробниками та пасічниками щодо застосування пестицидів, а також усунення негативного впливу на галузь бджільництва від застосування пестицидів та агрохімікатів, </w:t>
            </w:r>
            <w:r>
              <w:rPr>
                <w:rFonts w:cs="Times New Roman" w:ascii="Times New Roman" w:hAnsi="Times New Roman"/>
                <w:color w:val="000000"/>
                <w:sz w:val="26"/>
                <w:szCs w:val="26"/>
                <w:lang w:val="uk-UA"/>
              </w:rPr>
              <w:t>у березні в Луцькій райдержадміністрації відбулася розширена інформаційна нарада на тему «Профілактика отруєння бджіл, проведення реєстрації та паспортизації пасік», участь у якій взяли представники міської ради та аграрного бізнесу громади.</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uk-UA" w:bidi="ar-SA"/>
              </w:rPr>
              <w:t xml:space="preserve">Крім того, </w:t>
            </w:r>
            <w:r>
              <w:rPr>
                <w:rFonts w:cs="Times New Roman" w:ascii="Times New Roman" w:hAnsi="Times New Roman"/>
                <w:color w:val="000000"/>
                <w:sz w:val="26"/>
                <w:szCs w:val="26"/>
                <w:lang w:val="uk-UA"/>
              </w:rPr>
              <w:t xml:space="preserve">за інформаційної підтримки міської ради </w:t>
            </w:r>
            <w:r>
              <w:rPr>
                <w:rFonts w:eastAsia="Times New Roman" w:cs="Times New Roman" w:ascii="Times New Roman" w:hAnsi="Times New Roman"/>
                <w:color w:val="000000"/>
                <w:kern w:val="0"/>
                <w:sz w:val="26"/>
                <w:szCs w:val="26"/>
                <w:lang w:val="uk-UA" w:eastAsia="uk-UA" w:bidi="ar-SA"/>
              </w:rPr>
              <w:t>аграрії громади долучались до семінарів і навчань щодо вирощування худоби в господарствах населення, правил ідентифікації сільськогосподарських тварин, реєстрації в ДАР, отримання гранту до 36,0 млн грн на будівництво елеваторів, фінансування сегменту малого та середнього бізнесу, пріоритетів співпраці з виробниками с/г продукції, кредитних програм від Ощадбанку, грантових програм від уряду, розвитку сільських територій.</w:t>
            </w:r>
          </w:p>
        </w:tc>
      </w:tr>
    </w:tbl>
    <w:p>
      <w:pPr>
        <w:pStyle w:val="Normal"/>
        <w:widowControl w:val="false"/>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widowControl w:val="false"/>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3.1.5. Інвестиційна діяльність</w:t>
      </w:r>
    </w:p>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tbl>
      <w:tblPr>
        <w:tblW w:w="1519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15"/>
        <w:gridCol w:w="3847"/>
        <w:gridCol w:w="10732"/>
      </w:tblGrid>
      <w:tr>
        <w:trPr>
          <w:trHeight w:val="615" w:hRule="atLeast"/>
        </w:trPr>
        <w:tc>
          <w:tcPr>
            <w:tcW w:w="61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47"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3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4359"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340"/>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t>Завершення «Проєкту реконструкції системи централізованого теплопостачання у м. Луцьк», що реалізується у співпраці з Європейським банком реконструкції та розвитку.</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bCs/>
                <w:color w:val="000000"/>
                <w:kern w:val="0"/>
                <w:sz w:val="26"/>
                <w:szCs w:val="26"/>
                <w:lang w:val="uk-UA" w:eastAsia="uk-UA"/>
              </w:rPr>
              <w:t xml:space="preserve">У 2024 році проєкт успішно завершено (модернізовано ряд котелень: замінено пальники та великі насоси на ряді котелень). </w:t>
            </w:r>
            <w:r>
              <w:rPr>
                <w:rFonts w:cs="Times New Roman" w:ascii="Times New Roman" w:hAnsi="Times New Roman"/>
                <w:bCs/>
                <w:color w:val="000000"/>
                <w:kern w:val="0"/>
                <w:sz w:val="26"/>
                <w:szCs w:val="26"/>
                <w:lang w:val="uk-UA"/>
              </w:rPr>
              <w:t>Загалом отримано 10,0 млн євро кредитних та 4,4 млн євро грантових коштів (включаючи додаткове грантове фінансування від ЄБРР</w:t>
            </w:r>
            <w:r>
              <w:rPr>
                <w:rFonts w:cs="Times New Roman" w:ascii="Times New Roman" w:hAnsi="Times New Roman"/>
                <w:color w:val="000000"/>
                <w:kern w:val="0"/>
                <w:sz w:val="26"/>
                <w:szCs w:val="26"/>
                <w:lang w:val="uk-UA" w:eastAsia="uk-UA"/>
              </w:rPr>
              <w:t xml:space="preserve"> в сумі 400,0 тис. євро, за рахунок чого було </w:t>
            </w:r>
            <w:r>
              <w:rPr>
                <w:rFonts w:cs="Times New Roman" w:ascii="Times New Roman" w:hAnsi="Times New Roman"/>
                <w:bCs/>
                <w:color w:val="000000"/>
                <w:kern w:val="0"/>
                <w:sz w:val="26"/>
                <w:szCs w:val="26"/>
                <w:lang w:val="uk-UA" w:eastAsia="uk-UA"/>
              </w:rPr>
              <w:t>встановлено 20 додаткових індивідуальних теплових пунктів.</w:t>
            </w:r>
            <w:r>
              <w:rPr>
                <w:rFonts w:cs="Times New Roman" w:ascii="Times New Roman" w:hAnsi="Times New Roman"/>
                <w:color w:val="000000"/>
                <w:kern w:val="0"/>
                <w:sz w:val="26"/>
                <w:szCs w:val="26"/>
                <w:lang w:val="uk-UA" w:eastAsia="uk-UA"/>
              </w:rPr>
              <w:t>).</w:t>
            </w:r>
          </w:p>
          <w:p>
            <w:pPr>
              <w:pStyle w:val="Normal"/>
              <w:widowControl w:val="false"/>
              <w:shd w:val="clear" w:color="auto" w:fill="FFFFFF"/>
              <w:ind w:firstLine="567"/>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t>На продовження реалізації проєкту модернізації системи централізованого теплопостачання міста Луцька укладено нові кредитну, грантову та гарантійну угоди з Європейським банком реконструкції та розвитку.</w:t>
            </w:r>
          </w:p>
          <w:p>
            <w:pPr>
              <w:pStyle w:val="Normal"/>
              <w:widowControl w:val="false"/>
              <w:shd w:val="clear" w:color="auto" w:fill="FFFFFF"/>
              <w:ind w:firstLine="567"/>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t>Фінансування другої фази проєкту модернізації централізованого теплопостачання м. Луцька становитиме 15,7 млн євро, з них: 10,5 млн євро кредиту, 4,2 млн євро інвестиційного гранту від Інвестиційної платформи сусідства ЄС та 1,0 млн євро – співфінансування бюджету Луцької територіальної громади. Проєктом передбачена заміна 22,6 км зношених теплових мереж, будівництво твердопаливної котельні, встановлення теплових насосів, влаштування системи моніторингу та дистанційного управління SCADA. На цей час триває відбір фінансового та технічного консультантів.</w:t>
            </w:r>
          </w:p>
        </w:tc>
      </w:tr>
      <w:tr>
        <w:trPr>
          <w:trHeight w:val="102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340"/>
              <w:jc w:val="both"/>
              <w:rPr>
                <w:rFonts w:ascii="Times New Roman" w:hAnsi="Times New Roman" w:cs="Times New Roman"/>
                <w:color w:val="000000"/>
                <w:sz w:val="26"/>
                <w:szCs w:val="26"/>
                <w:lang w:val="uk-UA"/>
              </w:rPr>
            </w:pPr>
            <w:r>
              <w:rPr>
                <w:rFonts w:cs="Times New Roman" w:ascii="Times New Roman" w:hAnsi="Times New Roman"/>
                <w:color w:val="000000"/>
                <w:kern w:val="0"/>
                <w:sz w:val="26"/>
                <w:szCs w:val="26"/>
                <w:lang w:val="uk-UA"/>
              </w:rPr>
              <w:t>З</w:t>
            </w:r>
            <w:r>
              <w:rPr>
                <w:rFonts w:cs="Times New Roman" w:ascii="Times New Roman" w:hAnsi="Times New Roman"/>
                <w:color w:val="000000"/>
                <w:sz w:val="26"/>
                <w:szCs w:val="26"/>
                <w:lang w:val="uk-UA"/>
              </w:rPr>
              <w:t>авершення реалізації проєкту «Оновлення інфраструктури електротранспорту міста Луцька Волинської області» в рамках проєкту «Міський громадський транспорт України I» (післягарантійна прийомка тролейбусів та обладнання).</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Впродовж 2024 року відбувалися післягарантійні прийомки рухомого складу </w:t>
            </w:r>
            <w:r>
              <w:rPr>
                <w:rFonts w:cs="Times New Roman" w:ascii="Times New Roman" w:hAnsi="Times New Roman"/>
                <w:color w:val="000000"/>
                <w:kern w:val="0"/>
                <w:sz w:val="26"/>
                <w:szCs w:val="26"/>
                <w:lang w:val="uk-UA"/>
              </w:rPr>
              <w:t xml:space="preserve">та обладнання в межах </w:t>
            </w:r>
            <w:r>
              <w:rPr>
                <w:rFonts w:cs="Times New Roman" w:ascii="Times New Roman" w:hAnsi="Times New Roman"/>
                <w:bCs/>
                <w:color w:val="000000"/>
                <w:sz w:val="26"/>
                <w:szCs w:val="26"/>
                <w:lang w:val="uk-UA"/>
              </w:rPr>
              <w:t>проєкту, здійснювалися кінцеві розрахунки з постачальником.</w:t>
            </w:r>
          </w:p>
        </w:tc>
      </w:tr>
      <w:tr>
        <w:trPr>
          <w:trHeight w:val="276"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340"/>
              <w:jc w:val="both"/>
              <w:rPr>
                <w:rFonts w:ascii="Times New Roman" w:hAnsi="Times New Roman" w:cs="Times New Roman"/>
                <w:color w:val="000000"/>
                <w:sz w:val="26"/>
                <w:szCs w:val="26"/>
                <w:lang w:val="uk-UA"/>
              </w:rPr>
            </w:pPr>
            <w:r>
              <w:rPr>
                <w:rFonts w:cs="Times New Roman" w:ascii="Times New Roman" w:hAnsi="Times New Roman"/>
                <w:color w:val="000000"/>
                <w:kern w:val="0"/>
                <w:sz w:val="26"/>
                <w:szCs w:val="26"/>
                <w:lang w:val="uk-UA"/>
              </w:rPr>
              <w:t>Придбання 30-ти нових тролейбусів в рамках підпроєкту Луцької міської ради «Оновлення тролейбусного парку м. Луцька». Спільний з Європейським інвестиційним банком проєкт «Міський громадський транспорт України ІІ».</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 рамках субпроєкту «Оновлення тролейбусного парку м. Луцька» з обсягом фінансування від Європейського інвестиційного банку в сумі 6,3 млн євро, від банку отримано остаточне погодження тендерної документації та оголошено тендер на закупівлю рухомого складу за процедурою ЄІБ. Завершується прийом тендерних пропозицій.</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340"/>
              <w:jc w:val="both"/>
              <w:rPr>
                <w:rFonts w:ascii="Times New Roman" w:hAnsi="Times New Roman" w:cs="Times New Roman"/>
                <w:color w:val="000000"/>
                <w:sz w:val="26"/>
                <w:szCs w:val="26"/>
                <w:lang w:val="uk-UA"/>
              </w:rPr>
            </w:pPr>
            <w:r>
              <w:rPr>
                <w:rFonts w:cs="Times New Roman" w:ascii="Times New Roman" w:hAnsi="Times New Roman"/>
                <w:color w:val="000000"/>
                <w:kern w:val="0"/>
                <w:sz w:val="26"/>
                <w:szCs w:val="26"/>
                <w:lang w:val="uk-UA"/>
              </w:rPr>
              <w:t>О</w:t>
            </w:r>
            <w:r>
              <w:rPr>
                <w:rFonts w:cs="Times New Roman" w:ascii="Times New Roman" w:hAnsi="Times New Roman"/>
                <w:color w:val="000000"/>
                <w:sz w:val="26"/>
                <w:szCs w:val="26"/>
                <w:lang w:val="uk-UA"/>
              </w:rPr>
              <w:t xml:space="preserve">птимізація контактної мережі шляхом будівництва відрізку тролейбусної лінії, яка з’єднає мікрорайон підшипникового заводу з вул. Львівською, модернізація поворотних стрілок, встановлення додаткового обладнання в рамках Грантової угоди з </w:t>
            </w:r>
            <w:r>
              <w:rPr>
                <w:rFonts w:cs="Times New Roman" w:ascii="Times New Roman" w:hAnsi="Times New Roman"/>
                <w:color w:val="000000"/>
                <w:kern w:val="0"/>
                <w:sz w:val="26"/>
                <w:szCs w:val="26"/>
                <w:lang w:val="uk-UA"/>
              </w:rPr>
              <w:t>Європейським інвестиційним банком на 155 тис. євро.</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tabs>
                <w:tab w:val="clear" w:pos="720"/>
                <w:tab w:val="left" w:pos="2925" w:leader="none"/>
              </w:tabs>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Підписано Грантову угоду з Європейським інвестиційним банком щодо фінансування у розмірі 155,0 тис. євро для будівництва частини тролейбусної лінії, модернізації поворотних стрілок тощо. У зв’язку з дією постанови Кабінету Міністрів України від 09.06.2021 № 590 “</w:t>
            </w:r>
            <w:r>
              <w:rPr>
                <w:rFonts w:ascii="Times New Roman" w:hAnsi="Times New Roman"/>
                <w:color w:val="000000"/>
                <w:sz w:val="26"/>
                <w:szCs w:val="26"/>
                <w:lang w:val="uk-UA"/>
              </w:rPr>
              <w:t>Про затвердження Порядку виконання повноважень Державною казначейською службою в особливому режимі в умовах воєнного стану</w:t>
            </w:r>
            <w:r>
              <w:rPr>
                <w:rFonts w:cs="Times New Roman" w:ascii="Times New Roman" w:hAnsi="Times New Roman"/>
                <w:color w:val="000000"/>
                <w:kern w:val="0"/>
                <w:sz w:val="26"/>
                <w:szCs w:val="26"/>
                <w:lang w:val="uk-UA"/>
              </w:rPr>
              <w:t>” дія грантової угоди призупинена, можливості фінансування капітальних видатків обмежені.</w:t>
            </w:r>
          </w:p>
          <w:p>
            <w:pPr>
              <w:pStyle w:val="Normal"/>
              <w:widowControl w:val="false"/>
              <w:shd w:val="clear" w:color="auto" w:fill="FFFFFF"/>
              <w:tabs>
                <w:tab w:val="clear" w:pos="720"/>
                <w:tab w:val="left" w:pos="292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kern w:val="0"/>
                <w:sz w:val="26"/>
                <w:szCs w:val="26"/>
                <w:lang w:val="uk-UA"/>
              </w:rPr>
              <w:t xml:space="preserve">Триває </w:t>
            </w:r>
            <w:r>
              <w:rPr>
                <w:rFonts w:cs="Times New Roman" w:ascii="Times New Roman" w:hAnsi="Times New Roman"/>
                <w:color w:val="000000"/>
                <w:sz w:val="26"/>
                <w:szCs w:val="26"/>
                <w:lang w:val="uk-UA"/>
              </w:rPr>
              <w:t>узгодження можливості вибірки грантових коштів Європейського інвестиційного банку</w:t>
            </w:r>
            <w:r>
              <w:rPr>
                <w:rFonts w:cs="Times New Roman" w:ascii="Times New Roman" w:hAnsi="Times New Roman"/>
                <w:color w:val="000000"/>
                <w:kern w:val="0"/>
                <w:sz w:val="26"/>
                <w:szCs w:val="26"/>
                <w:lang w:val="uk-UA"/>
              </w:rPr>
              <w:t>.</w:t>
            </w:r>
          </w:p>
        </w:tc>
      </w:tr>
      <w:tr>
        <w:trPr>
          <w:trHeight w:val="2446"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tabs>
                <w:tab w:val="clear" w:pos="720"/>
                <w:tab w:val="left" w:pos="855" w:leader="none"/>
              </w:tabs>
              <w:ind w:firstLine="340"/>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t>Реалізація проєкту «Модернізація системи водопостачання та водовідведення м. Луцьк» в рамках проєкту «Програма розвитку муніципальної інфраструктури України».</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kern w:val="0"/>
                <w:sz w:val="26"/>
                <w:szCs w:val="26"/>
                <w:shd w:fill="auto" w:val="clear"/>
                <w:lang w:val="uk-UA"/>
              </w:rPr>
              <w:t>В рамках проєкту за</w:t>
            </w:r>
            <w:r>
              <w:rPr>
                <w:rFonts w:ascii="Times New Roman" w:hAnsi="Times New Roman"/>
                <w:bCs/>
                <w:color w:val="000000"/>
                <w:kern w:val="0"/>
                <w:sz w:val="26"/>
                <w:szCs w:val="26"/>
                <w:shd w:fill="auto" w:val="clear"/>
                <w:lang w:val="uk-UA"/>
              </w:rPr>
              <w:t xml:space="preserve">гальною вартістю </w:t>
            </w:r>
            <w:r>
              <w:rPr>
                <w:rFonts w:ascii="Times New Roman" w:hAnsi="Times New Roman"/>
                <w:color w:val="000000"/>
                <w:kern w:val="0"/>
                <w:sz w:val="26"/>
                <w:szCs w:val="26"/>
                <w:shd w:fill="auto" w:val="clear"/>
                <w:lang w:val="uk-UA"/>
              </w:rPr>
              <w:t xml:space="preserve">13,9 млн євро </w:t>
            </w:r>
            <w:r>
              <w:rPr>
                <w:rFonts w:cs="Times New Roman" w:ascii="Times New Roman" w:hAnsi="Times New Roman"/>
                <w:color w:val="000000"/>
                <w:kern w:val="0"/>
                <w:sz w:val="26"/>
                <w:szCs w:val="26"/>
                <w:shd w:fill="auto" w:val="clear"/>
                <w:lang w:val="uk-UA"/>
              </w:rPr>
              <w:t>виготовлено проєктно-кошторисну документацію водогонів в с. Боратин до Гнідавської станції водопідготовки та на вул. Карпенка-Карого від Дубнівської станції водопідготовки,</w:t>
            </w:r>
            <w:r>
              <w:rPr>
                <w:rFonts w:cs="Times New Roman" w:ascii="Times New Roman" w:hAnsi="Times New Roman"/>
                <w:bCs/>
                <w:color w:val="000000"/>
                <w:kern w:val="0"/>
                <w:sz w:val="26"/>
                <w:szCs w:val="26"/>
                <w:shd w:fill="auto" w:val="clear"/>
                <w:lang w:val="uk-UA"/>
              </w:rPr>
              <w:t xml:space="preserve"> отримано експертний висновок та дозвіл на виконання будівельних робіт.</w:t>
            </w:r>
          </w:p>
          <w:p>
            <w:pPr>
              <w:pStyle w:val="Normal"/>
              <w:widowControl w:val="false"/>
              <w:ind w:firstLine="567"/>
              <w:jc w:val="both"/>
              <w:rPr>
                <w:rFonts w:ascii="Times New Roman" w:hAnsi="Times New Roman"/>
                <w:color w:val="000000"/>
                <w:sz w:val="26"/>
                <w:szCs w:val="26"/>
                <w:shd w:fill="auto" w:val="clear"/>
                <w:lang w:val="uk-UA"/>
              </w:rPr>
            </w:pPr>
            <w:r>
              <w:rPr>
                <w:rFonts w:cs="Times New Roman" w:ascii="Times New Roman" w:hAnsi="Times New Roman"/>
                <w:bCs/>
                <w:color w:val="000000"/>
                <w:kern w:val="0"/>
                <w:sz w:val="26"/>
                <w:szCs w:val="26"/>
                <w:shd w:fill="auto" w:val="clear"/>
                <w:lang w:val="uk-UA"/>
              </w:rPr>
              <w:t>Завершено придбання лабораторного обладнання, частково придбано автомобільне обладнання (трактори). Триває тендер на придбання спеціального автотранспорту. Триває обрання переможця в межах компоненту «Реконструкція каналізаційних очисних споруд м. Луцьк з добудовою блоку біоенергетичної переробки та утилізації відходів»</w:t>
            </w:r>
            <w:r>
              <w:rPr>
                <w:rFonts w:cs="Times New Roman" w:ascii="Times New Roman" w:hAnsi="Times New Roman"/>
                <w:bCs/>
                <w:color w:val="000000"/>
                <w:kern w:val="0"/>
                <w:sz w:val="26"/>
                <w:szCs w:val="26"/>
                <w:shd w:fill="auto" w:val="clear"/>
                <w:lang w:val="uk-UA" w:eastAsia="ru-RU"/>
              </w:rPr>
              <w:t>.</w:t>
            </w:r>
          </w:p>
        </w:tc>
      </w:tr>
      <w:tr>
        <w:trPr>
          <w:trHeight w:val="45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340"/>
              <w:jc w:val="both"/>
              <w:rPr>
                <w:rFonts w:ascii="Times New Roman" w:hAnsi="Times New Roman" w:cs="Times New Roman"/>
                <w:color w:val="000000"/>
                <w:sz w:val="26"/>
                <w:szCs w:val="26"/>
                <w:lang w:val="uk-UA"/>
              </w:rPr>
            </w:pPr>
            <w:r>
              <w:rPr>
                <w:rFonts w:cs="Times New Roman" w:ascii="Times New Roman" w:hAnsi="Times New Roman"/>
                <w:color w:val="000000"/>
                <w:kern w:val="0"/>
                <w:sz w:val="26"/>
                <w:szCs w:val="26"/>
                <w:lang w:val="uk-UA"/>
              </w:rPr>
              <w:t>Реалізація грантового проєкту «Конденсаційна рекуперація тепла з димових газів – Луцьк 5 МВт» («Condensing Heat Recovery From Flue Gas – Lutsk 5 MW»).</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Standard"/>
              <w:widowControl w:val="false"/>
              <w:tabs>
                <w:tab w:val="clear" w:pos="720"/>
                <w:tab w:val="left" w:pos="840" w:leader="none"/>
              </w:tabs>
              <w:snapToGrid w:val="false"/>
              <w:ind w:firstLine="567"/>
              <w:jc w:val="both"/>
              <w:rPr>
                <w:rFonts w:ascii="Times New Roman" w:hAnsi="Times New Roman"/>
                <w:color w:val="000000"/>
                <w:sz w:val="26"/>
                <w:szCs w:val="26"/>
                <w:shd w:fill="auto" w:val="clear"/>
                <w:lang w:val="uk-UA"/>
              </w:rPr>
            </w:pPr>
            <w:r>
              <w:rPr>
                <w:rFonts w:cs="Times New Roman" w:ascii="Times New Roman" w:hAnsi="Times New Roman"/>
                <w:color w:val="000000"/>
                <w:sz w:val="26"/>
                <w:szCs w:val="26"/>
                <w:shd w:fill="auto" w:val="clear"/>
                <w:lang w:val="uk-UA" w:eastAsia="ru-RU"/>
              </w:rPr>
              <w:t>Завершено тендер на вибір технічного консультанта та визначено переможця, який спільно зі спеціалістами ДКП «Луцьктепло» працює над розробкою тендерної документації проєкту.</w:t>
            </w:r>
          </w:p>
        </w:tc>
      </w:tr>
      <w:tr>
        <w:trPr>
          <w:trHeight w:val="45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t>Продовження впровадження «Проєкту енергетичної безпеки», за фінансування Агентства США з міжнародного розвитку (USAID).</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ind w:firstLine="567"/>
              <w:jc w:val="both"/>
              <w:rPr/>
            </w:pPr>
            <w:r>
              <w:rPr>
                <w:rFonts w:cs="Times New Roman" w:ascii="Times New Roman" w:hAnsi="Times New Roman"/>
                <w:color w:val="000000"/>
                <w:kern w:val="0"/>
                <w:sz w:val="26"/>
                <w:szCs w:val="26"/>
                <w:lang w:val="uk-UA"/>
              </w:rPr>
              <w:t xml:space="preserve">В межах «Проєкту енергетичної безпеки» в якості міжнародної технічної допомоги </w:t>
            </w:r>
            <w:r>
              <w:rPr>
                <w:rStyle w:val="111"/>
                <w:rFonts w:cs="Times New Roman" w:ascii="Times New Roman" w:hAnsi="Times New Roman"/>
                <w:b w:val="false"/>
                <w:color w:val="000000"/>
                <w:kern w:val="0"/>
                <w:sz w:val="26"/>
                <w:szCs w:val="26"/>
                <w:lang w:val="uk-UA" w:eastAsia="ru-RU"/>
              </w:rPr>
              <w:t>у 2024 році отримано 2 когенераційні установки, 15 теплообмінників, 25 насосів для 12 ЦТП та 5 котелень, 5,2 км труб для модернізації та інше обладнання. Загальна сума безповоротної допомоги від USAID становила близько 50,0 млн грн.</w:t>
            </w:r>
          </w:p>
        </w:tc>
      </w:tr>
      <w:tr>
        <w:trPr>
          <w:trHeight w:val="453"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847" w:type="dxa"/>
            <w:tcBorders>
              <w:left w:val="single" w:sz="4" w:space="0" w:color="000000"/>
              <w:bottom w:val="single" w:sz="4" w:space="0" w:color="000000"/>
            </w:tcBorders>
            <w:shd w:fill="auto" w:val="clear"/>
          </w:tcPr>
          <w:p>
            <w:pPr>
              <w:pStyle w:val="Normal"/>
              <w:widowControl w:val="false"/>
              <w:shd w:val="clear" w:color="auto" w:fill="FFFFFF"/>
              <w:ind w:firstLine="340"/>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t>Поширення інформації про інвестиційний потенціал Луцької міської територіальної громади через сайт міської ради, соціальні мережі, місцеві, всеукраїнські та іноземні медіа.</w:t>
            </w:r>
          </w:p>
        </w:tc>
        <w:tc>
          <w:tcPr>
            <w:tcW w:w="1073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bCs/>
                <w:color w:val="000000"/>
                <w:kern w:val="0"/>
                <w:sz w:val="26"/>
                <w:szCs w:val="26"/>
                <w:lang w:val="uk-UA"/>
              </w:rPr>
              <w:t>На офіційному сайті міської ради у розділі «Про місто/Економіка/Інвестору» регулярно оновлюється інформація щодо потенційних інвестиційних об’єктів приватної та комунальної власності, карта інвестиційних об’єктів, база вільних земельних ділянок, вільних виробничих площ. Відповідна інформація також поширюється на офіційній сторінці департаменту економічної політики у мережі «Фейсбук», в розділі новин сайту та у місцевих медіа.</w:t>
            </w:r>
          </w:p>
        </w:tc>
      </w:tr>
      <w:tr>
        <w:trPr>
          <w:trHeight w:val="453"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847" w:type="dxa"/>
            <w:tcBorders>
              <w:left w:val="single" w:sz="4" w:space="0" w:color="000000"/>
              <w:bottom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t>Розробка концепції індустріального парку в Луцькій міській територіальній громаді.</w:t>
            </w:r>
          </w:p>
        </w:tc>
        <w:tc>
          <w:tcPr>
            <w:tcW w:w="10732"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Створено відповідну робочу групу та затверджено її склад. На засіданні колегіального органу обговорювалося питання створення індустріального парку з енергетичним кластером, який орієнтуватиметься на збільшення автономності громади від зовнішніх джерел електроживлення.</w:t>
            </w:r>
          </w:p>
        </w:tc>
      </w:tr>
      <w:tr>
        <w:trPr>
          <w:trHeight w:val="45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340"/>
              <w:jc w:val="both"/>
              <w:rPr>
                <w:rFonts w:ascii="Times New Roman" w:hAnsi="Times New Roman" w:cs="Times New Roman"/>
                <w:color w:val="000000"/>
                <w:sz w:val="26"/>
                <w:szCs w:val="26"/>
                <w:lang w:val="uk-UA"/>
              </w:rPr>
            </w:pPr>
            <w:r>
              <w:rPr>
                <w:rFonts w:cs="Times New Roman" w:ascii="Times New Roman" w:hAnsi="Times New Roman"/>
                <w:color w:val="000000"/>
                <w:kern w:val="0"/>
                <w:sz w:val="26"/>
                <w:szCs w:val="26"/>
                <w:lang w:val="uk-UA"/>
              </w:rPr>
              <w:t xml:space="preserve">Проведення конкурсів </w:t>
            </w:r>
            <w:bookmarkStart w:id="7" w:name="_Hlk120705514"/>
            <w:r>
              <w:rPr>
                <w:rFonts w:cs="Times New Roman" w:ascii="Times New Roman" w:hAnsi="Times New Roman"/>
                <w:color w:val="000000"/>
                <w:kern w:val="0"/>
                <w:sz w:val="26"/>
                <w:szCs w:val="26"/>
                <w:lang w:val="uk-UA"/>
              </w:rPr>
              <w:t>Бюджету участі Луцької міської територіальної громади та Бюджету участі сільських територій громади</w:t>
            </w:r>
            <w:bookmarkEnd w:id="7"/>
            <w:r>
              <w:rPr>
                <w:rFonts w:cs="Times New Roman" w:ascii="Times New Roman" w:hAnsi="Times New Roman"/>
                <w:color w:val="000000"/>
                <w:kern w:val="0"/>
                <w:sz w:val="26"/>
                <w:szCs w:val="26"/>
                <w:lang w:val="uk-UA"/>
              </w:rPr>
              <w:t>, реалізація проєктів-переможців конкурсів 2021 та 2023 років.</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napToGrid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Проведено два конкурси </w:t>
            </w:r>
            <w:r>
              <w:rPr>
                <w:rFonts w:cs="Times New Roman" w:ascii="Times New Roman" w:hAnsi="Times New Roman"/>
                <w:color w:val="000000"/>
                <w:kern w:val="0"/>
                <w:sz w:val="26"/>
                <w:szCs w:val="26"/>
                <w:lang w:val="uk-UA" w:eastAsia="ru-RU"/>
              </w:rPr>
              <w:t>«Бюджет участі 4.5.0» Луцької міської територіальної громади, основним пріоритетом яких є</w:t>
            </w:r>
            <w:r>
              <w:rPr>
                <w:rFonts w:cs="Times New Roman" w:ascii="Times New Roman" w:hAnsi="Times New Roman"/>
                <w:color w:val="000000"/>
                <w:sz w:val="26"/>
                <w:szCs w:val="26"/>
                <w:lang w:val="uk-UA"/>
              </w:rPr>
              <w:t xml:space="preserve"> підтримка Сил безпеки й оборони України, забезпечення функціонування цивільної інфраструктури та підтримка цивільного населення в умовах воєнного часу. Переможцями стали 32 проєкти, переважна більшість з яких була спрямована на комплектування підрозділів та формувань Сил безпеки й оборони України. Дрони DJI Mavic 3 та 3T, FPV, тепловізійні приціли та ПНБ, засоби РЕБ, системи захисту від протипіхотних мін передавалося військовим частин</w:t>
            </w:r>
            <w:r>
              <w:rPr>
                <w:rFonts w:cs="Times New Roman" w:ascii="Times New Roman" w:hAnsi="Times New Roman"/>
                <w:strike w:val="false"/>
                <w:dstrike w:val="false"/>
                <w:color w:val="000000"/>
                <w:sz w:val="26"/>
                <w:szCs w:val="26"/>
                <w:shd w:fill="auto" w:val="clear"/>
                <w:lang w:val="uk-UA"/>
              </w:rPr>
              <w:t>ам та рятувальним загонам ДСНС України.</w:t>
            </w:r>
          </w:p>
        </w:tc>
      </w:tr>
      <w:tr>
        <w:trPr>
          <w:trHeight w:val="45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t>Відновлення роботи Луцької дитячої залізниці.</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napToGrid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kern w:val="0"/>
                <w:sz w:val="26"/>
                <w:szCs w:val="26"/>
                <w:lang w:val="uk-UA"/>
              </w:rPr>
              <w:t>На території Луцької дитячої залізниці, яка була передана у власність громади, встановлено систему відеонагляду, облаштоване освітлення території та підключено охорону.</w:t>
            </w:r>
          </w:p>
          <w:p>
            <w:pPr>
              <w:pStyle w:val="Normal"/>
              <w:widowControl w:val="false"/>
              <w:snapToGrid w:val="false"/>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rPr>
              <w:t>Проведено ряд опитувань громадської думки щодо подальшого розвитку об’єкта та прилеглої території для формування остаточної концепції ревіталізації дитячої залізниці.</w:t>
            </w:r>
          </w:p>
        </w:tc>
      </w:tr>
      <w:tr>
        <w:trPr>
          <w:trHeight w:val="45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12.</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567"/>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t>Реконструкція комунального закладу «Луцька загальноосвітня школа І-ІІІ ступенів № 13» (корпус 2) на вул. Чернишевського, 29 в м. Луцьку Волинської області у співпраці з Європейським інвестиційним банком та ПРООН (UNDP).</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t>У 2024 році проведено тендер на визначення переможця для виконання відповідних робіт, підписано договір з підрядником та розпочато будівельні роботи.</w:t>
            </w:r>
          </w:p>
        </w:tc>
      </w:tr>
      <w:tr>
        <w:trPr>
          <w:trHeight w:val="45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13.</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567"/>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t>Реалізація проєкту «Створення багатофункціонального простору для бізнесу в місті Луцьку» в рамках програми «Підтримка швидкого економічного відновлення українських муніципалітетів» у співпраці з Програмою розвитку Організації Об’єднаних Націй «ПРООН», урядом Німеччини та GIZ.</w:t>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В рамках спільного з ПРООН проєкту </w:t>
            </w:r>
            <w:r>
              <w:rPr>
                <w:rFonts w:ascii="Times New Roman" w:hAnsi="Times New Roman"/>
                <w:color w:val="000000"/>
                <w:sz w:val="26"/>
                <w:szCs w:val="26"/>
                <w:lang w:val="uk-UA"/>
              </w:rPr>
              <w:t>«Створення багатофункціонального простору для бізнесу в місті Луцьку» в межах програми</w:t>
            </w:r>
            <w:r>
              <w:rPr>
                <w:rFonts w:cs="Times New Roman" w:ascii="Times New Roman" w:hAnsi="Times New Roman"/>
                <w:color w:val="000000"/>
                <w:sz w:val="26"/>
                <w:szCs w:val="26"/>
                <w:lang w:val="uk-UA"/>
              </w:rPr>
              <w:t xml:space="preserve"> «Підтримка швидкого економічного відновлення українських муніципалітетів» </w:t>
            </w:r>
            <w:r>
              <w:rPr>
                <w:rFonts w:cs="Times New Roman" w:ascii="Times New Roman" w:hAnsi="Times New Roman"/>
                <w:color w:val="000000"/>
                <w:kern w:val="0"/>
                <w:sz w:val="26"/>
                <w:szCs w:val="26"/>
                <w:lang w:val="uk-UA"/>
              </w:rPr>
              <w:t>протягом 2024 року тривали роботи з реставрації приміщення колишнього кінотеатру «Батьківщина» на вул. П’ятницька Гірка, 2.</w:t>
            </w:r>
          </w:p>
          <w:p>
            <w:pPr>
              <w:pStyle w:val="Normal"/>
              <w:widowControl w:val="false"/>
              <w:ind w:firstLine="567"/>
              <w:jc w:val="both"/>
              <w:rPr>
                <w:rFonts w:ascii="Times New Roman" w:hAnsi="Times New Roman" w:cs="Times New Roman"/>
                <w:color w:val="000000"/>
                <w:kern w:val="0"/>
                <w:sz w:val="26"/>
                <w:szCs w:val="26"/>
                <w:lang w:val="uk-UA"/>
              </w:rPr>
            </w:pPr>
            <w:r>
              <w:rPr>
                <w:rFonts w:cs="Times New Roman" w:ascii="Times New Roman" w:hAnsi="Times New Roman"/>
                <w:color w:val="000000"/>
                <w:kern w:val="0"/>
                <w:sz w:val="26"/>
                <w:szCs w:val="26"/>
                <w:lang w:val="uk-UA"/>
              </w:rPr>
              <w:t>Отримано грантове фінансування у сумі 900 159,4 дол. США. Відкриття бізнес-хабу планується весною 2025 року.</w:t>
            </w:r>
          </w:p>
        </w:tc>
      </w:tr>
      <w:tr>
        <w:trPr>
          <w:trHeight w:val="453"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14.</w:t>
            </w:r>
          </w:p>
        </w:tc>
        <w:tc>
          <w:tcPr>
            <w:tcW w:w="3847"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ind w:firstLine="567"/>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t>Пошук потенційних інвесторів та міжнародної технічної допомоги.</w:t>
            </w:r>
          </w:p>
          <w:p>
            <w:pPr>
              <w:pStyle w:val="Normal"/>
              <w:widowControl w:val="false"/>
              <w:shd w:val="clear" w:color="auto" w:fill="FFFFFF"/>
              <w:ind w:firstLine="567"/>
              <w:jc w:val="both"/>
              <w:rPr>
                <w:rFonts w:ascii="Times New Roman" w:hAnsi="Times New Roman" w:cs="Times New Roman"/>
                <w:bCs/>
                <w:color w:val="000000"/>
                <w:kern w:val="0"/>
                <w:sz w:val="26"/>
                <w:szCs w:val="26"/>
                <w:lang w:val="uk-UA"/>
              </w:rPr>
            </w:pPr>
            <w:r>
              <w:rPr>
                <w:rFonts w:cs="Times New Roman" w:ascii="Times New Roman" w:hAnsi="Times New Roman"/>
                <w:bCs/>
                <w:color w:val="000000"/>
                <w:kern w:val="0"/>
                <w:sz w:val="26"/>
                <w:szCs w:val="26"/>
                <w:lang w:val="uk-UA"/>
              </w:rPr>
            </w:r>
          </w:p>
        </w:tc>
        <w:tc>
          <w:tcPr>
            <w:tcW w:w="1073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Проводиться активний моніторинг міжнародних фінансових організацій та державних ініціатив з метою подання відповідних заявок для отримання грантового фінансування.</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3.1.6. Розвиток туризму</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7" w:type="dxa"/>
        <w:jc w:val="center"/>
        <w:tblInd w:w="0" w:type="dxa"/>
        <w:tblLayout w:type="fixed"/>
        <w:tblCellMar>
          <w:top w:w="55" w:type="dxa"/>
          <w:left w:w="108" w:type="dxa"/>
          <w:bottom w:w="55" w:type="dxa"/>
          <w:right w:w="108" w:type="dxa"/>
        </w:tblCellMar>
        <w:tblLook w:firstRow="1" w:noVBand="1" w:lastRow="0" w:firstColumn="1" w:lastColumn="0" w:noHBand="0" w:val="04a0"/>
      </w:tblPr>
      <w:tblGrid>
        <w:gridCol w:w="546"/>
        <w:gridCol w:w="3874"/>
        <w:gridCol w:w="10717"/>
      </w:tblGrid>
      <w:tr>
        <w:trPr/>
        <w:tc>
          <w:tcPr>
            <w:tcW w:w="546"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74"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17"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4650"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Fonts w:cs="Times New Roman" w:ascii="Times New Roman" w:hAnsi="Times New Roman"/>
                <w:color w:val="000000"/>
                <w:sz w:val="26"/>
                <w:szCs w:val="26"/>
                <w:lang w:val="uk-UA"/>
              </w:rPr>
              <w:t>П</w:t>
            </w:r>
            <w:r>
              <w:rPr>
                <w:rStyle w:val="Style13"/>
                <w:rFonts w:cs="Times New Roman" w:ascii="Times New Roman" w:hAnsi="Times New Roman"/>
                <w:b w:val="false"/>
                <w:color w:val="000000"/>
                <w:sz w:val="26"/>
                <w:szCs w:val="26"/>
                <w:lang w:val="uk-UA"/>
              </w:rPr>
              <w:t>опуляризація бренду Луцька, проведення інформаційно-промоційної кампанії у Луцьку, регіоні, Україні та сусідніх країнах, спрямованої на популяризацію міста як туристичної дестинації.</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eastAsia="Times New Roman" w:ascii="Times New Roman" w:hAnsi="Times New Roman"/>
                <w:b w:val="false"/>
                <w:color w:val="000000"/>
                <w:spacing w:val="-4"/>
                <w:kern w:val="0"/>
                <w:sz w:val="26"/>
                <w:szCs w:val="26"/>
                <w:lang w:val="uk-UA" w:eastAsia="uk-UA" w:bidi="ar-SA"/>
              </w:rPr>
              <w:t>Реалізовано ІІ етап Луцької літературної резиденції «Місто натхнення», присвяченого з’їзду європейських монархів у Луцьку 1429 року, як однієї з головних брендо- і туристоутворюючих для нашої громади подій. Впродовж десяти днів у м. Луцьку гостювали і працювали відомі українські письменниці Ірен Роздобудько та Ольга Купріян. Фіналом цьогорічної резиденції стануть два твори, дорослий і дитячий, в яких Луцьк стане місцем подій, героєм чи містом персонажів.</w:t>
            </w:r>
          </w:p>
          <w:p>
            <w:pPr>
              <w:pStyle w:val="Normal"/>
              <w:widowControl w:val="false"/>
              <w:ind w:firstLine="567"/>
              <w:jc w:val="both"/>
              <w:rPr/>
            </w:pPr>
            <w:r>
              <w:rPr>
                <w:rStyle w:val="Strong"/>
                <w:rFonts w:ascii="Times New Roman" w:hAnsi="Times New Roman"/>
                <w:b w:val="false"/>
                <w:color w:val="000000"/>
                <w:spacing w:val="-4"/>
                <w:sz w:val="26"/>
                <w:szCs w:val="26"/>
                <w:lang w:val="uk-UA" w:eastAsia="uk-UA"/>
              </w:rPr>
              <w:t xml:space="preserve">В рамках </w:t>
            </w:r>
            <w:r>
              <w:rPr>
                <w:rStyle w:val="Strong"/>
                <w:rFonts w:ascii="Times New Roman" w:hAnsi="Times New Roman"/>
                <w:b w:val="false"/>
                <w:color w:val="000000"/>
                <w:spacing w:val="-4"/>
                <w:sz w:val="26"/>
                <w:szCs w:val="26"/>
                <w:lang w:val="uk-UA" w:eastAsia="uk-UA" w:bidi="ar-SA"/>
              </w:rPr>
              <w:t xml:space="preserve">Луцької літературної резиденції було видано та презентовано книгу «Вежа через О», яка стала результатом проєкту Луцької міської ради та творчої агенції «Баляндраси». У м. Луцьку презентацію відвідало більше 150 чоловік. В Києві книгу презентовано в книгарні «Сенс на Хрещатику» (захід відвідало близько 200 чоловік) та у рамках подій ХІІ Книжкового арсеналу (презентацію відвідало близько 1500 чоловік). </w:t>
            </w:r>
            <w:r>
              <w:rPr>
                <w:rStyle w:val="Strong"/>
                <w:rFonts w:eastAsia="Times New Roman" w:ascii="Times New Roman" w:hAnsi="Times New Roman"/>
                <w:b w:val="false"/>
                <w:color w:val="000000"/>
                <w:spacing w:val="-4"/>
                <w:kern w:val="0"/>
                <w:sz w:val="26"/>
                <w:szCs w:val="26"/>
                <w:lang w:val="uk-UA" w:eastAsia="uk-UA" w:bidi="ar-SA"/>
              </w:rPr>
              <w:t>Крім цього книга «Вежа через О» з’явилась у списку найкращих книг 2024 року, оприлюдненому українським PEN Ukraine</w:t>
            </w:r>
            <w:r>
              <w:rPr>
                <w:rStyle w:val="Strong"/>
                <w:rFonts w:ascii="Times New Roman" w:hAnsi="Times New Roman"/>
                <w:b w:val="false"/>
                <w:color w:val="000000"/>
                <w:spacing w:val="-4"/>
                <w:sz w:val="26"/>
                <w:szCs w:val="26"/>
                <w:lang w:val="uk-UA" w:eastAsia="uk-UA" w:bidi="ar-SA"/>
              </w:rPr>
              <w:t xml:space="preserve">; </w:t>
            </w:r>
            <w:r>
              <w:rPr>
                <w:rStyle w:val="Strong"/>
                <w:rFonts w:eastAsia="Times New Roman" w:ascii="Times New Roman" w:hAnsi="Times New Roman"/>
                <w:b w:val="false"/>
                <w:color w:val="000000"/>
                <w:spacing w:val="-4"/>
                <w:kern w:val="0"/>
                <w:sz w:val="26"/>
                <w:szCs w:val="26"/>
                <w:lang w:val="uk-UA" w:eastAsia="uk-UA" w:bidi="ar-SA"/>
              </w:rPr>
              <w:t> організовано літературний вечір з поетесою, головною редакторкою і співзасновницею «Видавництва Старого Лева», Мар’яною Савкою та актором театру і кіно Остапом Вакулюком; організовано презентацію книги Любові Загоровської «Таборові діти».</w:t>
            </w:r>
          </w:p>
          <w:p>
            <w:pPr>
              <w:pStyle w:val="Normal"/>
              <w:widowControl w:val="false"/>
              <w:ind w:firstLine="567"/>
              <w:jc w:val="both"/>
              <w:rPr/>
            </w:pPr>
            <w:r>
              <w:rPr>
                <w:rStyle w:val="Strong"/>
                <w:rFonts w:eastAsia="Times New Roman" w:ascii="Times New Roman" w:hAnsi="Times New Roman"/>
                <w:b w:val="false"/>
                <w:color w:val="000000"/>
                <w:spacing w:val="-4"/>
                <w:kern w:val="0"/>
                <w:sz w:val="26"/>
                <w:szCs w:val="26"/>
                <w:lang w:val="uk-UA" w:eastAsia="uk-UA" w:bidi="ar-SA"/>
              </w:rPr>
              <w:t>Управління розпочало реалізацію проєкту «Почесні амбасадори / амбасадорки Луцька». На засіданні комісії з відбору амбасадорів / амбасадорок Луцька було обрано 12 кандидатів, які, використовуючи свій авторитет і професійні знання, сприятимуть створенню та підтриманню позитивного іміджу та престижу м. Луцька і Луцької міської територіальної громади, їх внутрішній та зовнішній промоції.</w:t>
            </w:r>
          </w:p>
          <w:p>
            <w:pPr>
              <w:pStyle w:val="Normal"/>
              <w:widowControl w:val="false"/>
              <w:ind w:firstLine="567"/>
              <w:jc w:val="both"/>
              <w:rPr/>
            </w:pPr>
            <w:r>
              <w:rPr>
                <w:rStyle w:val="Strong"/>
                <w:rFonts w:eastAsia="Times New Roman" w:ascii="Times New Roman" w:hAnsi="Times New Roman"/>
                <w:b w:val="false"/>
                <w:color w:val="000000"/>
                <w:spacing w:val="-4"/>
                <w:kern w:val="0"/>
                <w:sz w:val="26"/>
                <w:szCs w:val="26"/>
                <w:lang w:val="uk-UA" w:eastAsia="uk-UA" w:bidi="ar-SA"/>
              </w:rPr>
              <w:t>В рамках проєкту «Стрітк</w:t>
            </w:r>
            <w:r>
              <w:rPr>
                <w:rStyle w:val="Strong"/>
                <w:rFonts w:eastAsia="Times New Roman" w:ascii="Times New Roman" w:hAnsi="Times New Roman"/>
                <w:b w:val="false"/>
                <w:color w:val="000000"/>
                <w:spacing w:val="-4"/>
                <w:kern w:val="0"/>
                <w:sz w:val="26"/>
                <w:szCs w:val="26"/>
                <w:lang w:val="uk-UA" w:bidi="ar-SA"/>
              </w:rPr>
              <w:t>од» проведено банерну виставку «Герої наших вулиць» з метою популяризації імен Героїв, які загинули у російсько-українській війні.</w:t>
            </w:r>
          </w:p>
          <w:p>
            <w:pPr>
              <w:pStyle w:val="Normal"/>
              <w:widowControl w:val="false"/>
              <w:ind w:firstLine="567"/>
              <w:jc w:val="both"/>
              <w:rPr/>
            </w:pPr>
            <w:r>
              <w:rPr>
                <w:rFonts w:cs="Times New Roman" w:ascii="Times New Roman" w:hAnsi="Times New Roman"/>
                <w:color w:val="000000"/>
                <w:sz w:val="26"/>
                <w:szCs w:val="26"/>
                <w:lang w:val="uk-UA"/>
              </w:rPr>
              <w:t xml:space="preserve">В рамках реалізації проєкту </w:t>
            </w:r>
            <w:r>
              <w:rPr>
                <w:rStyle w:val="Strong"/>
                <w:rFonts w:eastAsia="Times New Roman" w:ascii="Times New Roman" w:hAnsi="Times New Roman"/>
                <w:b w:val="false"/>
                <w:color w:val="000000"/>
                <w:kern w:val="0"/>
                <w:sz w:val="26"/>
                <w:szCs w:val="26"/>
                <w:lang w:val="uk-UA" w:bidi="ar-SA"/>
              </w:rPr>
              <w:t>«</w:t>
            </w:r>
            <w:r>
              <w:rPr>
                <w:rFonts w:cs="Times New Roman" w:ascii="Times New Roman" w:hAnsi="Times New Roman"/>
                <w:color w:val="000000"/>
                <w:sz w:val="26"/>
                <w:szCs w:val="26"/>
                <w:lang w:val="uk-UA"/>
              </w:rPr>
              <w:t>Луцький кликун</w:t>
            </w:r>
            <w:r>
              <w:rPr>
                <w:rStyle w:val="Strong"/>
                <w:rFonts w:eastAsia="Times New Roman" w:ascii="Times New Roman" w:hAnsi="Times New Roman"/>
                <w:b w:val="false"/>
                <w:color w:val="000000"/>
                <w:kern w:val="0"/>
                <w:sz w:val="26"/>
                <w:szCs w:val="26"/>
                <w:lang w:val="uk-UA" w:bidi="ar-SA"/>
              </w:rPr>
              <w:t>»</w:t>
            </w:r>
            <w:r>
              <w:rPr>
                <w:rFonts w:cs="Times New Roman" w:ascii="Times New Roman" w:hAnsi="Times New Roman"/>
                <w:color w:val="000000"/>
                <w:sz w:val="26"/>
                <w:szCs w:val="26"/>
                <w:lang w:val="uk-UA"/>
              </w:rPr>
              <w:t xml:space="preserve">: </w:t>
            </w:r>
            <w:r>
              <w:rPr>
                <w:rStyle w:val="Strong"/>
                <w:rFonts w:ascii="Times New Roman" w:hAnsi="Times New Roman"/>
                <w:b w:val="false"/>
                <w:color w:val="000000"/>
                <w:spacing w:val="-4"/>
                <w:sz w:val="26"/>
                <w:szCs w:val="26"/>
                <w:lang w:val="uk-UA" w:eastAsia="uk-UA" w:bidi="ar-SA"/>
              </w:rPr>
              <w:t>розроблено інтерактивну мапу луцьких кликунів, рестораном «Cafe de Vino</w:t>
            </w:r>
            <w:r>
              <w:rPr>
                <w:rStyle w:val="Strong"/>
                <w:rFonts w:eastAsia="Times New Roman" w:ascii="Times New Roman" w:hAnsi="Times New Roman"/>
                <w:b w:val="false"/>
                <w:color w:val="000000"/>
                <w:spacing w:val="-4"/>
                <w:kern w:val="0"/>
                <w:sz w:val="26"/>
                <w:szCs w:val="26"/>
                <w:lang w:val="uk-UA" w:eastAsia="uk-UA" w:bidi="ar-SA"/>
              </w:rPr>
              <w:t>» вста</w:t>
            </w:r>
            <w:r>
              <w:rPr>
                <w:rStyle w:val="Strong"/>
                <w:rFonts w:ascii="Times New Roman" w:hAnsi="Times New Roman"/>
                <w:b w:val="false"/>
                <w:color w:val="000000"/>
                <w:spacing w:val="-4"/>
                <w:sz w:val="26"/>
                <w:szCs w:val="26"/>
                <w:lang w:val="uk-UA" w:eastAsia="uk-UA" w:bidi="ar-SA"/>
              </w:rPr>
              <w:t>новлено нову скульптуру кликуна.</w:t>
            </w:r>
          </w:p>
          <w:p>
            <w:pPr>
              <w:pStyle w:val="Normal"/>
              <w:widowControl w:val="false"/>
              <w:ind w:firstLine="567"/>
              <w:jc w:val="both"/>
              <w:rPr/>
            </w:pPr>
            <w:r>
              <w:rPr>
                <w:rStyle w:val="Strong"/>
                <w:rFonts w:ascii="Times New Roman" w:hAnsi="Times New Roman"/>
                <w:b w:val="false"/>
                <w:color w:val="000000"/>
                <w:spacing w:val="-4"/>
                <w:sz w:val="26"/>
                <w:szCs w:val="26"/>
                <w:lang w:val="uk-UA" w:bidi="ar-SA"/>
              </w:rPr>
              <w:t xml:space="preserve">Розроблено дизайн та виготовлено: нову лінійку промоційної продукції </w:t>
            </w:r>
            <w:r>
              <w:rPr>
                <w:rStyle w:val="Strong"/>
                <w:rFonts w:eastAsia="Times New Roman" w:ascii="Times New Roman" w:hAnsi="Times New Roman"/>
                <w:b w:val="false"/>
                <w:color w:val="000000"/>
                <w:kern w:val="0"/>
                <w:sz w:val="26"/>
                <w:szCs w:val="26"/>
                <w:lang w:val="uk-UA" w:bidi="ar-SA"/>
              </w:rPr>
              <w:t>«</w:t>
            </w:r>
            <w:r>
              <w:rPr>
                <w:rStyle w:val="Strong"/>
                <w:rFonts w:ascii="Times New Roman" w:hAnsi="Times New Roman"/>
                <w:b w:val="false"/>
                <w:color w:val="000000"/>
                <w:spacing w:val="-4"/>
                <w:sz w:val="26"/>
                <w:szCs w:val="26"/>
                <w:lang w:val="uk-UA" w:bidi="ar-SA"/>
              </w:rPr>
              <w:t>Луцьк. Тут твій затишок, твоє світло, твоє тепло</w:t>
            </w:r>
            <w:r>
              <w:rPr>
                <w:rStyle w:val="Strong"/>
                <w:rFonts w:eastAsia="Times New Roman" w:ascii="Times New Roman" w:hAnsi="Times New Roman"/>
                <w:b w:val="false"/>
                <w:color w:val="000000"/>
                <w:kern w:val="0"/>
                <w:sz w:val="26"/>
                <w:szCs w:val="26"/>
                <w:lang w:val="uk-UA" w:bidi="ar-SA"/>
              </w:rPr>
              <w:t xml:space="preserve">» </w:t>
            </w:r>
            <w:r>
              <w:rPr>
                <w:rStyle w:val="Strong"/>
                <w:rFonts w:eastAsia="Times New Roman" w:ascii="Times New Roman" w:hAnsi="Times New Roman"/>
                <w:b w:val="false"/>
                <w:color w:val="000000"/>
                <w:spacing w:val="-4"/>
                <w:kern w:val="0"/>
                <w:sz w:val="26"/>
                <w:szCs w:val="26"/>
                <w:lang w:val="uk-UA" w:bidi="ar-SA"/>
              </w:rPr>
              <w:t xml:space="preserve">(пакети – 500 шт., шкарпетки – 200 пар, свічки – 100 наборів, закладки – 1 000 шт., листівки – 600 шт., наліпки – 100 шт.); </w:t>
            </w:r>
            <w:r>
              <w:rPr>
                <w:rStyle w:val="Strong"/>
                <w:rFonts w:ascii="Times New Roman" w:hAnsi="Times New Roman"/>
                <w:b w:val="false"/>
                <w:color w:val="000000"/>
                <w:spacing w:val="-4"/>
                <w:sz w:val="26"/>
                <w:szCs w:val="26"/>
                <w:lang w:val="uk-UA" w:bidi="ar-SA"/>
              </w:rPr>
              <w:t xml:space="preserve">промоційну продукцію для презентації Луцька на відкритті Офісу Луцька в Брюсселі; </w:t>
            </w:r>
            <w:r>
              <w:rPr>
                <w:rStyle w:val="Strong"/>
                <w:rFonts w:eastAsia="Times New Roman" w:ascii="Times New Roman" w:hAnsi="Times New Roman"/>
                <w:b w:val="false"/>
                <w:color w:val="000000"/>
                <w:spacing w:val="-4"/>
                <w:kern w:val="0"/>
                <w:sz w:val="26"/>
                <w:szCs w:val="26"/>
                <w:lang w:val="uk-UA" w:bidi="ar-SA"/>
              </w:rPr>
              <w:t>дизайн візуальної складової дня міста Луцька, до розробки якого цьогоріч було залучено Кафедру дизайну ВНУ імені Лесі Українки факультету культури і мистецтв; різдвяно-новорічну айдентику для поліграфії та соціальних мереж.</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КП «Центру розвитку туризму» (Музейний простір «Окольний замок», «Центр туристичної інформації») розроблені мапи Луцька із зазначеними туристичними об’єктами.</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Збільшений асортимент та розроблена нова сувенірна продукція для туристів різного соціального статку, яка реалізується в сувенірних крамницях</w:t>
            </w:r>
            <w:r>
              <w:rPr>
                <w:rFonts w:cs="Times New Roman" w:ascii="Times New Roman" w:hAnsi="Times New Roman"/>
                <w:color w:val="000000"/>
                <w:sz w:val="26"/>
                <w:szCs w:val="26"/>
                <w:lang w:val="uk-UA"/>
              </w:rPr>
              <w:t>. Розроблені та удосконалені туристичні маршрути, екскурсії, квести у місті Луцьку та Луцькій МТГ для українських і для іноземних туристів (англійською, польською мовами).</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В Музейному просторі «Окольний замок» та «Центрі туристичної інформації» сформовано осередки, де активно підтримуються </w:t>
            </w:r>
            <w:r>
              <w:rPr>
                <w:rFonts w:cs="Times New Roman" w:ascii="Times New Roman" w:hAnsi="Times New Roman"/>
                <w:iCs/>
                <w:color w:val="000000"/>
                <w:sz w:val="26"/>
                <w:szCs w:val="26"/>
                <w:lang w:val="uk-UA"/>
              </w:rPr>
              <w:t>наукові, освітні, волонтерські, мистецькі проєкти.</w:t>
            </w:r>
            <w:r>
              <w:rPr>
                <w:rFonts w:cs="Times New Roman" w:ascii="Times New Roman" w:hAnsi="Times New Roman"/>
                <w:color w:val="000000"/>
                <w:sz w:val="26"/>
                <w:szCs w:val="26"/>
                <w:lang w:val="uk-UA"/>
              </w:rPr>
              <w:t xml:space="preserve"> Зокрема, у звітному періоді відбулися наступні заходи: презентація книги Дмитра Антонюка «Замки і резиденції в Україні», презентація книги «501 факт, який треба знати… з історії України», зустріч з авторами Анною та Андрієм Шимановськими (видавництво Старого Лева), презентація книги Олени Чернінької «Лемберґ: мамцю, ну не плач» (у співпраці з Видавництвом Старого Лева); презентація книг Анни Гороженко в рамках авторського проєкту «Діалоги про українське бароко»; фотовиставка «Луцьк очима історика» Андрія Павляшика, зустріч-розмова із істориком, військовиком </w:t>
            </w:r>
            <w:r>
              <w:rPr>
                <w:rFonts w:cs="Times New Roman" w:ascii="Times New Roman" w:hAnsi="Times New Roman"/>
                <w:iCs/>
                <w:color w:val="000000"/>
                <w:sz w:val="26"/>
                <w:szCs w:val="26"/>
                <w:lang w:val="uk-UA"/>
              </w:rPr>
              <w:t>Сергієм Годлевським</w:t>
            </w:r>
            <w:r>
              <w:rPr>
                <w:rFonts w:cs="Times New Roman" w:ascii="Times New Roman" w:hAnsi="Times New Roman"/>
                <w:color w:val="000000"/>
                <w:sz w:val="26"/>
                <w:szCs w:val="26"/>
                <w:lang w:val="uk-UA"/>
              </w:rPr>
              <w:t xml:space="preserve"> та інші.</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74" w:type="dxa"/>
            <w:tcBorders>
              <w:left w:val="single" w:sz="2" w:space="0" w:color="000000"/>
              <w:bottom w:val="single" w:sz="2" w:space="0" w:color="000000"/>
            </w:tcBorders>
            <w:shd w:fill="auto" w:val="clear"/>
          </w:tcPr>
          <w:p>
            <w:pPr>
              <w:pStyle w:val="Standard"/>
              <w:widowControl w:val="false"/>
              <w:tabs>
                <w:tab w:val="clear" w:pos="720"/>
                <w:tab w:val="left" w:pos="855" w:leader="none"/>
              </w:tabs>
              <w:ind w:firstLine="567"/>
              <w:jc w:val="both"/>
              <w:rPr/>
            </w:pPr>
            <w:r>
              <w:rPr>
                <w:rStyle w:val="Style13"/>
                <w:rFonts w:cs="Times New Roman" w:ascii="Times New Roman" w:hAnsi="Times New Roman"/>
                <w:b w:val="false"/>
                <w:color w:val="000000"/>
                <w:sz w:val="26"/>
                <w:szCs w:val="26"/>
                <w:lang w:val="uk-UA"/>
              </w:rPr>
              <w:t>Розвиток й удосконалення туристичної інфраструктури.</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eastAsia="Times New Roman" w:ascii="Times New Roman" w:hAnsi="Times New Roman"/>
                <w:b w:val="false"/>
                <w:color w:val="000000"/>
                <w:spacing w:val="-4"/>
                <w:kern w:val="0"/>
                <w:sz w:val="26"/>
                <w:szCs w:val="26"/>
                <w:lang w:val="uk-UA" w:bidi="ar-SA"/>
              </w:rPr>
              <w:t>Розроблено туристичну карту Луцької міської територіальної громади, до якої увійшли приєднані до Луцька громади з їх туристичними об’єктами.</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 xml:space="preserve">Спільно з ГО «Історична платформа» </w:t>
            </w:r>
            <w:r>
              <w:rPr>
                <w:rStyle w:val="Strong"/>
                <w:rFonts w:eastAsia="Times New Roman" w:ascii="Times New Roman" w:hAnsi="Times New Roman"/>
                <w:b w:val="false"/>
                <w:color w:val="000000"/>
                <w:spacing w:val="-4"/>
                <w:kern w:val="0"/>
                <w:sz w:val="26"/>
                <w:szCs w:val="26"/>
                <w:lang w:val="uk-UA" w:bidi="ar-SA"/>
              </w:rPr>
              <w:t xml:space="preserve">розпочато реалізацію </w:t>
            </w:r>
            <w:r>
              <w:rPr>
                <w:rStyle w:val="Strong"/>
                <w:rFonts w:eastAsia="Times New Roman" w:ascii="Times New Roman" w:hAnsi="Times New Roman"/>
                <w:b w:val="false"/>
                <w:color w:val="000000"/>
                <w:kern w:val="0"/>
                <w:sz w:val="26"/>
                <w:szCs w:val="26"/>
                <w:lang w:val="uk-UA" w:bidi="ar-SA"/>
              </w:rPr>
              <w:t xml:space="preserve">проєкту «Стріткод». Була зібрана інформація для табличок з назвами вулиць, на яких буде зазначений QR-код, що відкриває інформацію про людину, на честь якої названа вулиця. </w:t>
            </w:r>
            <w:r>
              <w:rPr>
                <w:rStyle w:val="Strong"/>
                <w:rFonts w:eastAsia="Times New Roman" w:ascii="Times New Roman" w:hAnsi="Times New Roman"/>
                <w:b w:val="false"/>
                <w:color w:val="000000"/>
                <w:spacing w:val="-4"/>
                <w:kern w:val="0"/>
                <w:sz w:val="26"/>
                <w:szCs w:val="26"/>
                <w:lang w:val="uk-UA" w:bidi="ar-SA"/>
              </w:rPr>
              <w:t>У партнерстві з ВНУ ім. Лесі Українки зібрано та верифіковано інформацію про особистостей, чиїми імена названі дані вулиці. Уже з’явилась перша таблиця на вул. Олега Куцина. Далі, у кілька етапів, будуть встановлені й інші таблиці на ще близько 30-ти вулицях.</w:t>
            </w:r>
          </w:p>
          <w:p>
            <w:pPr>
              <w:pStyle w:val="Normal"/>
              <w:widowControl w:val="false"/>
              <w:ind w:firstLine="567"/>
              <w:jc w:val="both"/>
              <w:rPr/>
            </w:pPr>
            <w:r>
              <w:rPr>
                <w:rStyle w:val="Strong"/>
                <w:rFonts w:eastAsia="Times New Roman" w:ascii="Times New Roman" w:hAnsi="Times New Roman"/>
                <w:b w:val="false"/>
                <w:color w:val="000000"/>
                <w:spacing w:val="-4"/>
                <w:kern w:val="0"/>
                <w:sz w:val="26"/>
                <w:szCs w:val="26"/>
                <w:lang w:val="uk-UA" w:bidi="ar-SA"/>
              </w:rPr>
              <w:t>Оновлено інформаційні стенди «Що зробити у Луцьку?», які розміщуються на Театральному майдані Луцька, з додаванням ще одного елемента – дзеркала «Луцьк – це я».</w:t>
            </w:r>
          </w:p>
          <w:p>
            <w:pPr>
              <w:pStyle w:val="Normal"/>
              <w:widowControl w:val="false"/>
              <w:ind w:firstLine="567"/>
              <w:jc w:val="both"/>
              <w:rPr/>
            </w:pPr>
            <w:r>
              <w:rPr>
                <w:rFonts w:cs="Times New Roman" w:ascii="Times New Roman" w:hAnsi="Times New Roman"/>
                <w:color w:val="000000"/>
                <w:sz w:val="26"/>
                <w:szCs w:val="26"/>
                <w:lang w:val="uk-UA"/>
              </w:rPr>
              <w:t xml:space="preserve">У Музейному просторі «Окольний замок» доповнено експозиційні зали музею,  інтерактивне смарт-табло доповнено історичними матеріалами та перекладено інформацію на англійську мову, розроблено та впроваджено аудіо гід (через </w:t>
            </w:r>
            <w:r>
              <w:rPr>
                <w:rStyle w:val="Strong"/>
                <w:rFonts w:eastAsia="Times New Roman" w:ascii="Times New Roman" w:hAnsi="Times New Roman"/>
                <w:b w:val="false"/>
                <w:color w:val="000000"/>
                <w:kern w:val="0"/>
                <w:sz w:val="26"/>
                <w:szCs w:val="26"/>
                <w:lang w:val="uk-UA" w:bidi="ar-SA"/>
              </w:rPr>
              <w:t>QR-код)</w:t>
            </w:r>
            <w:r>
              <w:rPr>
                <w:rFonts w:cs="Times New Roman" w:ascii="Times New Roman" w:hAnsi="Times New Roman"/>
                <w:b/>
                <w:color w:val="000000"/>
                <w:sz w:val="26"/>
                <w:szCs w:val="26"/>
                <w:lang w:val="uk-UA"/>
              </w:rPr>
              <w:t>,</w:t>
            </w:r>
            <w:r>
              <w:rPr>
                <w:rFonts w:cs="Times New Roman" w:ascii="Times New Roman" w:hAnsi="Times New Roman"/>
                <w:color w:val="000000"/>
                <w:sz w:val="26"/>
                <w:szCs w:val="26"/>
                <w:lang w:val="uk-UA"/>
              </w:rPr>
              <w:t xml:space="preserve"> розроблено низку нових тематичних та театралізованих екскурсій.</w:t>
            </w:r>
          </w:p>
        </w:tc>
      </w:tr>
      <w:tr>
        <w:trPr>
          <w:trHeight w:val="945"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Створення конкурентоспроможних туристичних продуктів.</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Ведеться співпраця із закладами харчування у напрямку створення нових гастрономічних продуктів. Також організовано поїздки на лавандові поля Волинської Голландії та бренду натуральної косметики «Purity», підприємство з виробництва текстилю та одягу «Edelvika» для включення цих об’єктів у туристичні маршрути.</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КП «Центру розвитку туризму» удосконалено та додатково створено комплекс туристичних послуг для задоволення потреб туриста з організації відвідування об’єктів культури громади, а саме: костюмована музична екскурсія «Панна, Дружина, Матір: три виміри життя жінки ХVІ – ХVІІ століть», костюмована екскурсія «Луцькі міщани ХVІ – ХVІІ століть: фрагменти життєписів на тлі історії міста», костюмована екскурсія «Сюжети із історії Луцька: визначальні сторінки минувшини», екскурсія «Святині Луцька», екскурсія до «Музею-скансену Рокині і лавандового поля», екскурсія до «Древнього Жидичинського монастиря та лавандового поля «Purity», екскурсія «Волинська Голландія», екскурсія «Мурали – мистецтво нашого міста», екскурсія «Місто Лесиного дитинства», «Оглядова екскурсія старим містом», «Оглядова екскурсія на території Луцького замку», оновлена гастрономічна екскурсія «Давній і сучасний Луцьк».</w:t>
            </w:r>
          </w:p>
        </w:tc>
      </w:tr>
      <w:tr>
        <w:trPr>
          <w:trHeight w:val="782"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ascii="Times New Roman" w:hAnsi="Times New Roman"/>
                <w:b w:val="false"/>
                <w:color w:val="000000"/>
                <w:sz w:val="26"/>
                <w:szCs w:val="26"/>
                <w:lang w:val="uk-UA"/>
              </w:rPr>
              <w:t>Поглиблення зв’язків з містами-партнерами у галузі туризму, зокрема промоції громади.</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ascii="Times New Roman" w:hAnsi="Times New Roman"/>
                <w:b w:val="false"/>
                <w:color w:val="000000"/>
                <w:sz w:val="26"/>
                <w:szCs w:val="26"/>
                <w:lang w:val="uk-UA" w:bidi="ar-SA"/>
              </w:rPr>
              <w:t>Відбувся візит до партнерського краю Ліппе (Федеративна Республіка Німеччина) для відзначення річниці встановлення побратимських відносин із містами Ходзеж (Республіка Польща) та Каунас (Литовська Республіка), на якому було презентовано туристичний потенціал Луцька.</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Забезпечення участі у міжнародних програмах і проєктах з розвитку туризму, організація міжнародної співпраці у сфері туризму.</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Організовано презентацію польсько-української поетичної збірки шістьох українських поеток у перекладі відомих польських письменників «Nie zabrałam ze sobą radości» («Не забрала з собою радості»).</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 xml:space="preserve">КП «Центру розвитку туризму» в Окольному замку було проведено зустріч із докторкою інженерно-архітектурних наук Варшавської політехніки Кларою Канторович-Вулковською, яка презентувала доповідь на тему: «Суспільна діяльність єзуїтів та архітектура колегіумів». Також в стінах замку відбувалися зйомки короткометражних дитячих фільмів для міжнародного кіножурналу «Байки», </w:t>
            </w:r>
            <w:r>
              <w:rPr>
                <w:rFonts w:cs="Times New Roman" w:ascii="Times New Roman" w:hAnsi="Times New Roman"/>
                <w:color w:val="000000"/>
                <w:sz w:val="26"/>
                <w:szCs w:val="26"/>
                <w:lang w:val="uk-UA"/>
              </w:rPr>
              <w:t>зустріч з Братством куркових стрільців ім. Яна Канти міста Люблін (Bractwo Strzelców Kurkowych Św. Jana Kantego w Lublinie).</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КП «Центр розвитку туризму» був учасником міжнародного проєкту «Підприємливі діти: Луцьк – Люблін» який діяв у межах «Програми підтримка малого і середнього підприємства Луцької міської територіальної громади 2022-2026 роки».</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Розвиток та поглиблення співпраці місцевої влади, громадськості та туристичного бізнесу.</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До відзначення 600-ї річниці з'їзду європейських монархів у 2029 році спільно з гідами міста обговорено співпрацю із концептуальними закладами Луцька, які пропонують повноцінний туристичний продукт: інтер’єр, страви, легенди.</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КП «Центру розвитку туризму» було підписано меморандум співпраці для формування спільного туристичного маршруту із лавандовою фермою «Purity» та Zhydychyn Centrer. В результаті було організовано низки поїздок новим туристичним маршрутом: «Древній Жидичинський монастир та лавандове поле «Purity». В межах співпраці, також, було втілено продаж натуральної косметики «Purity в крамниці «Центру туристичної інформації».</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Підписаний меморандум співпраці із CityCard Lutsk, результатом якого була організація за допомогою системи АСООП та пластикових карток для проїзду в міському транспорті благодійного розіграшу для лучан та гостей міста з відвідування Музейного простору «Окольний замок».</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Підписано меморандум співпраці із ГО «Елеос-Волинь» та КП «Медичний центр реабілітації учасників бойових дій Луцької міської територіальної громади», в результаті якого було організовано спільний  проєкт «Вільні люди» у Музейному просторі «Окольний замок», фото-виставка картин (в техніці флю-арт), що написані військовими та ветеранами, які відновлювалися в Медичному центрі.</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Підписано меморандум співпраці із Волинським академічним театром ляльок, результатом якого було проведення показу вистав у Музейному просторі «Окольний замок» «Пригоди принца і принцеси» та організація безкоштовної екскурсії з директором театру, де лучани та гості міста мали можливість дізнатись історію театру, зазирнути за лаштунки Театру ляльок.</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 xml:space="preserve">В межах меморандуму про співпрацю в галузі освіти, науки, культури та мистецтва із Луцьким національним технічним університетом та Волинським національним університетом імені Лесі Українки, до Дня Вишиванки було проведено: презентацію колекції одягу та аксесуарів з елементами ручної вишивки відомого бренду Shulyk design, Grace Model House  та Технічного фахового коледжу ЛНТУ, Всеукраїнську науково-практичну конференцію ВНУ «Видатні українці: Олена Пчілка»; низку освітніх, наукових зустрічей, презентацій наукових видань  викладачів, науковців вищих навчальних закладів </w:t>
            </w:r>
            <w:r>
              <w:rPr>
                <w:rStyle w:val="Strong"/>
                <w:rFonts w:eastAsia="Times New Roman" w:ascii="Times New Roman" w:hAnsi="Times New Roman"/>
                <w:color w:val="000000"/>
                <w:kern w:val="0"/>
                <w:sz w:val="26"/>
                <w:szCs w:val="26"/>
                <w:lang w:val="uk-UA" w:bidi="ar-SA"/>
              </w:rPr>
              <w:t>(</w:t>
            </w:r>
            <w:r>
              <w:rPr>
                <w:rFonts w:ascii="Times New Roman" w:hAnsi="Times New Roman"/>
                <w:color w:val="000000"/>
                <w:sz w:val="26"/>
                <w:szCs w:val="26"/>
                <w:lang w:val="uk-UA"/>
              </w:rPr>
              <w:t>творча зустріч із доктором історичних наук, професором кафедри всесвітньої історії ВНУ імені Лесі Українки, Олегом Разиграєвим на тему: «Світ за ґратами. Пенітенціарна система на Волині та в Галичині у 1918–1939 роках»; зустріч-розмова із доктором філологічних наук, професором, завідувачем кафедри теорії літератури та зарубіжної літератури ВНУ імені Лесі Українки Сергієм Романовим на тему: «Лесині міста. Ларисині місця», лекція кандидатки історичних наук ВНУ імені Лесі Українки, етнологині Алли Дмитренко на тему: «Великдень по-волинськи» тощо)</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Упровадження Луцького стандарту гостинності серед закладів гостинності.</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Fonts w:cs="Times New Roman" w:ascii="Times New Roman" w:hAnsi="Times New Roman"/>
                <w:color w:val="000000"/>
                <w:sz w:val="26"/>
                <w:szCs w:val="26"/>
                <w:lang w:val="uk-UA"/>
              </w:rPr>
              <w:t xml:space="preserve">Підготовлено буклет «Луцький стандарт гостинності», який буде розповсюджуватись серед представників бізнесу, учасників ринку </w:t>
            </w:r>
            <w:r>
              <w:rPr>
                <w:rStyle w:val="Style25"/>
                <w:rFonts w:cs="Times New Roman" w:ascii="Times New Roman" w:hAnsi="Times New Roman"/>
                <w:color w:val="000000"/>
                <w:sz w:val="26"/>
                <w:szCs w:val="26"/>
                <w:u w:val="none"/>
                <w:lang w:val="uk-UA"/>
              </w:rPr>
              <w:t>HoReCa луцької громади, туристичних операторів і представників органів влади з метою підвищення рівня обслуговування відвідувачів у закладах харчування та розміщення.</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Поліпшення іміджу Луцька та громади як туристичного центру та центру для проведення бізнес-подій.</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bidi="ar-SA"/>
              </w:rPr>
            </w:pPr>
            <w:r>
              <w:rPr>
                <w:rFonts w:cs="Times New Roman" w:ascii="Times New Roman" w:hAnsi="Times New Roman"/>
                <w:color w:val="000000"/>
                <w:sz w:val="26"/>
                <w:szCs w:val="26"/>
                <w:lang w:val="uk-UA" w:bidi="ar-SA"/>
              </w:rPr>
              <w:t>У звітному періоді тривала активна робота над іміджем та видимістю Луцька в Україні та закордоном. Зокрема, презентувавши книгу «Вежа через О» у Луцьку та Києві, наше місто гучно прозвучало та представило себе як місце, де є все для проведення заходів та бізнес-подій – від укриття до активної інтелектуальної аудиторії.</w:t>
            </w:r>
          </w:p>
          <w:p>
            <w:pPr>
              <w:pStyle w:val="Normal"/>
              <w:widowControl w:val="false"/>
              <w:ind w:firstLine="567"/>
              <w:jc w:val="both"/>
              <w:rPr/>
            </w:pPr>
            <w:r>
              <w:rPr>
                <w:rStyle w:val="Strong"/>
                <w:rFonts w:eastAsia="Times New Roman" w:ascii="Times New Roman" w:hAnsi="Times New Roman"/>
                <w:b w:val="false"/>
                <w:color w:val="000000"/>
                <w:spacing w:val="-4"/>
                <w:kern w:val="0"/>
                <w:sz w:val="26"/>
                <w:szCs w:val="26"/>
                <w:lang w:val="uk-UA" w:eastAsia="uk-UA" w:bidi="ar-SA"/>
              </w:rPr>
              <w:t>З ініціативи «Центру гуманітарних досліджень» (м. Київ) та за організаційної підтримки управління туризму та промоції міста як наукова резиденція вперше у Луцьку працювала міждисциплінарна літня Школа Гуманітарних Досліджень імені Омеляна Пріцака «Людина. Становлення» для молодих та досвідчених дослідників з усієї України, які працюють у галузях історії, філософії, теології, літературознавства та культурології. Школа стала продовженням практики проведення в м. Луцьку креативних резиденцій з метою промоції міста, переосмислення його просторів, створення нових сенсів, а також мобільності митців та науковців.</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bidi="ar-SA"/>
              </w:rPr>
              <w:t xml:space="preserve">Музейний простір «Окольний замок» підтримував проведення низки заходів та бізнес-подій шляхом </w:t>
            </w:r>
            <w:r>
              <w:rPr>
                <w:rFonts w:ascii="Times New Roman" w:hAnsi="Times New Roman"/>
                <w:color w:val="000000"/>
                <w:sz w:val="26"/>
                <w:szCs w:val="26"/>
                <w:lang w:val="uk-UA"/>
              </w:rPr>
              <w:t xml:space="preserve">надання конференційної зали та укриття. </w:t>
            </w:r>
            <w:r>
              <w:rPr>
                <w:rFonts w:cs="Times New Roman" w:ascii="Times New Roman" w:hAnsi="Times New Roman"/>
                <w:color w:val="000000"/>
                <w:sz w:val="26"/>
                <w:szCs w:val="26"/>
                <w:lang w:val="uk-UA" w:bidi="ar-SA"/>
              </w:rPr>
              <w:t xml:space="preserve">Зокрема, фестиваль </w:t>
            </w:r>
            <w:r>
              <w:rPr>
                <w:rFonts w:ascii="Times New Roman" w:hAnsi="Times New Roman"/>
                <w:color w:val="000000"/>
                <w:sz w:val="26"/>
                <w:szCs w:val="26"/>
                <w:lang w:val="uk-UA"/>
              </w:rPr>
              <w:t xml:space="preserve">LEGIO Historica, благодійний концерт Maryna Krut із камерним оркестром, </w:t>
            </w:r>
            <w:r>
              <w:rPr>
                <w:rFonts w:cs="Times New Roman" w:ascii="Times New Roman" w:hAnsi="Times New Roman"/>
                <w:color w:val="000000"/>
                <w:sz w:val="26"/>
                <w:szCs w:val="26"/>
                <w:lang w:val="uk-UA"/>
              </w:rPr>
              <w:t>літературний фестиваль «Фронтера», LUTSK FOOD FEST, зустрічі із міжнародними гостями, партнерами, амбасадорами, делегаціями Луцької міської ради, засідання виїзних комітетів та робочих зустрічей Народних депутатів України.</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Підписано меморандуми співпраці із ПРАТ «Універмаг «Луцьк», Ribas Rooms Lutsk для проведення спільних івентів, зустрічей у конференц-залі Музейного простору «Окольний замок».</w:t>
            </w:r>
          </w:p>
        </w:tc>
      </w:tr>
      <w:tr>
        <w:trPr>
          <w:trHeight w:val="809"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Підвищення якості обслуговування туристів (в тому числі й людей з інвалідністю).</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ascii="Times New Roman" w:hAnsi="Times New Roman"/>
                <w:b w:val="false"/>
                <w:color w:val="000000"/>
                <w:sz w:val="26"/>
                <w:szCs w:val="26"/>
                <w:lang w:val="uk-UA" w:bidi="ar-SA"/>
              </w:rPr>
              <w:t>Ведеться робота із закладами розміщення щодо пристосування їх до потреб людей з інвалідністю. У</w:t>
            </w:r>
            <w:r>
              <w:rPr>
                <w:rStyle w:val="Strong"/>
                <w:rFonts w:eastAsia="Times New Roman" w:ascii="Times New Roman" w:hAnsi="Times New Roman"/>
                <w:b w:val="false"/>
                <w:color w:val="000000"/>
                <w:kern w:val="0"/>
                <w:sz w:val="26"/>
                <w:szCs w:val="26"/>
                <w:lang w:val="uk-UA" w:bidi="ar-SA"/>
              </w:rPr>
              <w:t xml:space="preserve"> Музейному просторі «Окольний замок» та «Центрі туристичної інформації» було проведено сертифіковане навчання працівників через Дія.Освіта освітнього серіалу Держава без бар’єрів, створені додаткові умови для відвідування відділів КП «Центр розвитку туризму» людьми із інвалідністю.</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Розвиток зеленого туризму в громаді.</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З метою розвитку болотно-водних ландшафтів, зеленого туризму та популяризації екологічних туристичних маршрутів у місті була розроблена концепція рекреаційної зони «Гнідавське болото» Луцької міської територіальної громади.</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14.</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Забезпечення доступності (повної або часткової) туристичних об'єктів для людей з інвалідністю.</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Розпочато роботу над картою доступності об’єктів туристичної інфраструктури. Для цього створили гугл-форму для заповнення представниками сфери гостинності й культури з метою проведення збору інформації про стан доступності закладів для людей з різними нозологіями.</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15.</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Оптимізація туристичних потоків і збільшення кількості туристів.</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Fonts w:cs="Times New Roman" w:ascii="Times New Roman" w:hAnsi="Times New Roman"/>
                <w:color w:val="000000"/>
                <w:sz w:val="26"/>
                <w:szCs w:val="26"/>
                <w:lang w:val="uk-UA"/>
              </w:rPr>
              <w:t>Оцінка кількості туристів здійснюється на основі даних щодо кількості відвідувачів музеїв, центру туристичної інформації та Луцького замку. У 2024 році м</w:t>
            </w:r>
            <w:r>
              <w:rPr>
                <w:rFonts w:cs="Times New Roman" w:ascii="Times New Roman" w:hAnsi="Times New Roman"/>
                <w:color w:val="000000"/>
                <w:sz w:val="26"/>
                <w:szCs w:val="26"/>
                <w:lang w:val="uk-UA" w:bidi="ar-SA"/>
              </w:rPr>
              <w:t xml:space="preserve">узейний простір «Окольний замок» відвідало 12 103 чол., </w:t>
            </w:r>
            <w:r>
              <w:rPr>
                <w:rStyle w:val="Strong"/>
                <w:rFonts w:eastAsia="Times New Roman" w:ascii="Times New Roman" w:hAnsi="Times New Roman"/>
                <w:b w:val="false"/>
                <w:color w:val="000000"/>
                <w:kern w:val="0"/>
                <w:sz w:val="26"/>
                <w:szCs w:val="26"/>
                <w:lang w:val="uk-UA" w:bidi="ar-SA"/>
              </w:rPr>
              <w:t>КП «Центр розвитку туризму»</w:t>
            </w:r>
            <w:r>
              <w:rPr>
                <w:rFonts w:cs="Times New Roman" w:ascii="Times New Roman" w:hAnsi="Times New Roman"/>
                <w:color w:val="000000"/>
                <w:sz w:val="26"/>
                <w:szCs w:val="26"/>
                <w:lang w:val="uk-UA" w:bidi="ar-SA"/>
              </w:rPr>
              <w:t xml:space="preserve"> – 7 470 чол.</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КП «Центр розвитку туризму» було розроблено та впроваджено англійською та польською мовами нові екскурсії містом, працівниками Музейного простору «Окольний замок» досліджено нові теми з історії древнього міста, їх результати використано в  тематичних, театралізованих екскурсіях. Доповнено матеріали смарт-табло, перекладено матеріали для закордонних туристів іноземними мовами.</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16.</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Збільшення прибутковості галузі туризму.</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Туристичний збір за 2024 рік склав 1 792,4 тис. грн, що на 185,5 тис. грн більше, ніж за 2023 рік.</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Працівниками КП «Центру розвитку туризму» спільно із КП «Луцький зоопарк» впроваджено продаж Є-квитка (єдиного квитка для туристів).</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 xml:space="preserve">Аналіз фінансово-господарської діяльності КП «Центр розвитку туризму» за 9 місяців 2024 року показав, що </w:t>
            </w:r>
            <w:r>
              <w:rPr>
                <w:rFonts w:ascii="Times New Roman" w:hAnsi="Times New Roman"/>
                <w:color w:val="000000"/>
                <w:sz w:val="26"/>
                <w:szCs w:val="26"/>
                <w:lang w:val="uk-UA"/>
              </w:rPr>
              <w:t>загальний дохід підприємства від реалізації товарів, робіт та послуг склав 1 232,0 тис. грн (за 9 міс. 2023 року – 1 273,5 тис. грн), з яких: 597,0 тис. грн – дохід від купівлі товару в мистецьких крамницях, 794,2 тис. грн – дохід від проведення екскурсій містом та музейним простором «Окольний замок».</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tc>
        <w:tc>
          <w:tcPr>
            <w:tcW w:w="3874" w:type="dxa"/>
            <w:tcBorders>
              <w:left w:val="single" w:sz="2" w:space="0" w:color="000000"/>
              <w:bottom w:val="single" w:sz="2"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Додатково</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pPr>
            <w:r>
              <w:rPr>
                <w:rStyle w:val="Strong"/>
                <w:rFonts w:eastAsia="Times New Roman" w:cs="Times New Roman" w:ascii="Times New Roman" w:hAnsi="Times New Roman"/>
                <w:b w:val="false"/>
                <w:color w:val="000000"/>
                <w:kern w:val="0"/>
                <w:sz w:val="26"/>
                <w:szCs w:val="26"/>
                <w:lang w:val="uk-UA" w:eastAsia="zh-CN" w:bidi="ar-SA"/>
              </w:rPr>
              <w:t xml:space="preserve">Проведено наступні заходи: </w:t>
            </w:r>
            <w:r>
              <w:rPr>
                <w:rStyle w:val="Strong"/>
                <w:rFonts w:eastAsia="Times New Roman" w:ascii="Times New Roman" w:hAnsi="Times New Roman"/>
                <w:b w:val="false"/>
                <w:color w:val="000000"/>
                <w:kern w:val="0"/>
                <w:sz w:val="26"/>
                <w:szCs w:val="26"/>
                <w:lang w:val="uk-UA" w:bidi="ar-SA"/>
              </w:rPr>
              <w:t>майстерклас, презентації із створення писанок «Луцька писанка», завдяки якому було зібрано 3 000 грн, які були направлені на збір для 3-го батальйону 54-ї ОМБР ім. Гетьмана Івана Мазепи на DJI Mavic та батареї для Matrice 30T.</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В рамках презентації та продажу книг письменниці Ірен Роздобудько під час Луцької літературної резиденції було передано 2 000 грн для підрозділу патрульної поліції «ХИЖАК» на наземну станцію для FPV дронів.</w:t>
            </w:r>
          </w:p>
          <w:p>
            <w:pPr>
              <w:pStyle w:val="Normal"/>
              <w:widowControl w:val="false"/>
              <w:ind w:firstLine="567"/>
              <w:jc w:val="both"/>
              <w:rPr/>
            </w:pPr>
            <w:r>
              <w:rPr>
                <w:rStyle w:val="Strong"/>
                <w:rFonts w:eastAsia="Times New Roman" w:ascii="Times New Roman" w:hAnsi="Times New Roman"/>
                <w:b w:val="false"/>
                <w:color w:val="000000"/>
                <w:kern w:val="0"/>
                <w:sz w:val="26"/>
                <w:szCs w:val="26"/>
                <w:lang w:val="uk-UA" w:bidi="ar-SA"/>
              </w:rPr>
              <w:t>На благодійному аукціоні від видавництва «Комора» за 60 700 гривень було продано ексклюзивний мистецький артефакт «Сопілковий лот» від Луцької літературної резиденції «Місто натхнення». Він був спеціально виготовлений до презентації перевидання книги Оксани Забужко «Казка про калинову сопілку». Цей лот став частиною загального «Великого калинового збору», що в результаті зібрав 200,0 тис. грн для потреб Жіночого Ветеранського Руху та лікарні Охматдит.</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3.1.7. Охорона історико-культурної спадщини</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46"/>
        <w:gridCol w:w="3874"/>
        <w:gridCol w:w="10717"/>
      </w:tblGrid>
      <w:tr>
        <w:trPr/>
        <w:tc>
          <w:tcPr>
            <w:tcW w:w="546"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74" w:type="dxa"/>
            <w:tcBorders>
              <w:top w:val="single" w:sz="2" w:space="0" w:color="000000"/>
              <w:left w:val="single" w:sz="2" w:space="0" w:color="000000"/>
              <w:bottom w:val="single" w:sz="2"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17"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74" w:type="dxa"/>
            <w:tcBorders>
              <w:left w:val="single" w:sz="2" w:space="0" w:color="000000"/>
              <w:bottom w:val="single" w:sz="2" w:space="0" w:color="000000"/>
            </w:tcBorders>
            <w:shd w:fill="auto" w:val="clear"/>
          </w:tcPr>
          <w:p>
            <w:pPr>
              <w:pStyle w:val="Standard"/>
              <w:widowControl w:val="false"/>
              <w:ind w:firstLine="358"/>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моніторингу та інвентаризації пам’яток.</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Відповідно до Порядку обліку об’єктів культурної спадщини та Плану проведення моніторингу об’єктів культурної спадщини в Луцькій міській територіальній громаді на 2024 рік у підзвітному періоді проведено моніторинг 82 об’єктів культурної спадщини на території м. Луцька та с. Буків, с. Забороль, с. Городок, с. Одеради, с. Сьомаки. Здійснено фотофіксацію, складено відповідні інформаційні довідки. Результати виконаної роботи щоквартально надаються департаменту культури, молоді та спорту Волинської обласної військової адміністрації.</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74" w:type="dxa"/>
            <w:tcBorders>
              <w:left w:val="single" w:sz="2" w:space="0" w:color="000000"/>
              <w:bottom w:val="single" w:sz="2" w:space="0" w:color="000000"/>
            </w:tcBorders>
            <w:shd w:fill="auto" w:val="clear"/>
          </w:tcPr>
          <w:p>
            <w:pPr>
              <w:pStyle w:val="Standard"/>
              <w:widowControl w:val="false"/>
              <w:tabs>
                <w:tab w:val="clear" w:pos="720"/>
                <w:tab w:val="left" w:pos="85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Інформування власників пам’яток про обов’язок укладання охоронних договорів.</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 час проведення постійного та періодичного моніторингу об’єктів культурної спадщини проводилася роз’яснювальна робота стосовно необхідності власникам та користувачам укласти охоронні договори відповідно до частини 1 статті 23 Закону України «Про охорону культурної спадщини» та Порядку укладання охоронних договорів. Всього протягом 2024 року було укладено 20 таких договорів.</w:t>
            </w:r>
          </w:p>
        </w:tc>
      </w:tr>
      <w:tr>
        <w:trPr>
          <w:trHeight w:val="619"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74" w:type="dxa"/>
            <w:tcBorders>
              <w:left w:val="single" w:sz="2" w:space="0" w:color="000000"/>
              <w:bottom w:val="single" w:sz="2"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Підготовка розпоряджень та приписів щодо охорони пам'яток місцевого значення.</w:t>
            </w:r>
          </w:p>
        </w:tc>
        <w:tc>
          <w:tcPr>
            <w:tcW w:w="10717" w:type="dxa"/>
            <w:tcBorders>
              <w:left w:val="single" w:sz="2" w:space="0" w:color="000000"/>
              <w:bottom w:val="single" w:sz="2" w:space="0" w:color="000000"/>
              <w:right w:val="single" w:sz="2"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w:t>
            </w:r>
            <w:r>
              <w:rPr>
                <w:rFonts w:ascii="Times New Roman" w:hAnsi="Times New Roman"/>
                <w:b/>
                <w:bCs/>
                <w:color w:val="000000"/>
                <w:sz w:val="26"/>
                <w:szCs w:val="26"/>
                <w:lang w:val="uk-UA"/>
              </w:rPr>
              <w:t xml:space="preserve"> </w:t>
            </w:r>
            <w:r>
              <w:rPr>
                <w:rFonts w:ascii="Times New Roman" w:hAnsi="Times New Roman"/>
                <w:color w:val="000000"/>
                <w:sz w:val="26"/>
                <w:szCs w:val="26"/>
                <w:lang w:val="uk-UA"/>
              </w:rPr>
              <w:t>2024 році відділом охорони культурної спадщини був виданий припис на заборону проведення будівельних робіт на пам’ятці архітектури місцевого значення «Житловий будинок» кін. ХІХ – поч. ХХ ст. за адресою: м. Луцьк, вул. Лесі Українки, 7.</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Відповідно до пункту 7 частини другої статті 6 Закону України «Про охорону культурної спадщини» про надання висновків щодо відповідних програм та проєктів містобудівних, архітектурних і ландшафтних перетворень, меліоративних, шляхових, земляних робіт на пам'ятках місцевого значення, історико-культурних заповідних територіях та в зонах їх охорони, на охоронюваних археологічних територіях, в історичних ареалах населених місць, а також програм та проєктів, реалізація яких може позначитися на стані об'єктів культурної спадщини, для збереження історичного середовища міста Луцька та дотримання режимів використання зон охорони, надано:</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170 висновків щодо погодження документації із землеустрою на земельні ділянки та інформацію про режимоутворюючі об’єкти, розташовані в межах історичних ареалів, зон регулювання забудови та зон охорони археологічного культурного шару, затверджених наказом Міністерства культури та інформаційної політики України від 01.04.2021 № 242.</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13 висновків щодо можливості реалізації проєктів містобудівних перетворень.</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 час погодження землевпорядної документації повідомляється про необхідність археологічного нагляду перед початком будівельних робіт.</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Відповідно до Порядку утримання фасадів будівель і споруд на території історичних ареалів міста Луцька та об’єктів культурної спадщини поза їхніми межами, затвердженого виконавчим комітетом Луцької міської ради від 17.01.2024 № 25-1, надано 17 висновків щодо опорядження фасадів будівель.</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74" w:type="dxa"/>
            <w:tcBorders>
              <w:left w:val="single" w:sz="2" w:space="0" w:color="000000"/>
              <w:bottom w:val="single" w:sz="2"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Подання пропозицій щодо занесення об'єктів культурної спадщини до Державного реєстру нерухомих пам'яток України, внесення змін до нього.</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Надані пропозиції для органу охорони культурної спадщини вищого рівня, за результатом яких наказом Міністерства культури та інформаційної політики України від 19.04.2024 № 295, до Державного реєстру нерухомих пам’яток України було внесено 65 об’єктів культурної спадщини.</w:t>
            </w:r>
          </w:p>
        </w:tc>
      </w:tr>
      <w:tr>
        <w:trPr>
          <w:trHeight w:val="453" w:hRule="atLeast"/>
        </w:trPr>
        <w:tc>
          <w:tcPr>
            <w:tcW w:w="546" w:type="dxa"/>
            <w:tcBorders>
              <w:left w:val="single" w:sz="2" w:space="0" w:color="000000"/>
              <w:bottom w:val="single" w:sz="2"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74" w:type="dxa"/>
            <w:tcBorders>
              <w:left w:val="single" w:sz="2" w:space="0" w:color="000000"/>
              <w:bottom w:val="single" w:sz="2" w:space="0" w:color="000000"/>
            </w:tcBorders>
            <w:shd w:fill="auto" w:val="clear"/>
          </w:tcPr>
          <w:p>
            <w:pPr>
              <w:pStyle w:val="Standard"/>
              <w:widowControl w:val="false"/>
              <w:ind w:firstLine="567"/>
              <w:jc w:val="both"/>
              <w:rPr/>
            </w:pPr>
            <w:r>
              <w:rPr>
                <w:rStyle w:val="Style13"/>
                <w:rFonts w:cs="Times New Roman" w:ascii="Times New Roman" w:hAnsi="Times New Roman"/>
                <w:b w:val="false"/>
                <w:color w:val="000000"/>
                <w:sz w:val="26"/>
                <w:szCs w:val="26"/>
                <w:lang w:val="uk-UA"/>
              </w:rPr>
              <w:t>Організація досліджень об'єктів культурної спадщини.</w:t>
            </w:r>
          </w:p>
        </w:tc>
        <w:tc>
          <w:tcPr>
            <w:tcW w:w="10717" w:type="dxa"/>
            <w:tcBorders>
              <w:left w:val="single" w:sz="2" w:space="0" w:color="000000"/>
              <w:bottom w:val="single" w:sz="2" w:space="0" w:color="000000"/>
              <w:right w:val="single" w:sz="2"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 рамках реалізації державно-приватного партнерства щодо проєкту «Реставрація з пристосуванням та управління нежитловим приміщенням, що розташоване за адресою вул. Кафедральна, 4 у м. Луцьку» консорціумом «Любарт ЛТД ТА Рібас Хотелс Груп» було проведено комплексні дослідження пам’ятки архітектури місцевого значення «Гостинний двір», охоронний № 2380-Вл, за адресою: м. Луцьк, вул. Кафедральна, 4 в частині надання технічних висновків, досліджень стінопису на виявлення монументальних декорацій в інтер’єрі будівлі та проведенні обстежень фасадів будівлі.</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3.1.8. Проєктна діяльність та співпраця з міжнародними інституціями</w:t>
      </w:r>
    </w:p>
    <w:p>
      <w:pPr>
        <w:pStyle w:val="Normal"/>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14"/>
        <w:gridCol w:w="3915"/>
        <w:gridCol w:w="10604"/>
      </w:tblGrid>
      <w:tr>
        <w:trPr>
          <w:trHeight w:val="615" w:hRule="atLeast"/>
        </w:trPr>
        <w:tc>
          <w:tcPr>
            <w:tcW w:w="614"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915"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60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61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915" w:type="dxa"/>
            <w:tcBorders>
              <w:top w:val="single" w:sz="4" w:space="0" w:color="000000"/>
              <w:left w:val="single" w:sz="4" w:space="0" w:color="000000"/>
              <w:bottom w:val="single" w:sz="4" w:space="0" w:color="000000"/>
            </w:tcBorders>
            <w:shd w:fill="auto" w:val="clear"/>
          </w:tcPr>
          <w:p>
            <w:pPr>
              <w:pStyle w:val="211"/>
              <w:widowControl w:val="false"/>
              <w:tabs>
                <w:tab w:val="clear" w:pos="720"/>
                <w:tab w:val="left" w:pos="54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Організаційний супровід під час прийомів іноземних делегацій і дипломатичних представників у Луцькій міській раді, участь у підготовці та проведенні міжнародних зустрічей, що організовують виконавчі органи Луцької міської ради, забезпечення участі офіційних делегацій Луцької міської територіальної громади у міжнародних заходах за кордоном відповідно до офіційних запрошень: тематичні конференції, форуми, виставки, офіційні заходи з нагоди державних свят і локальних подій тощо.</w:t>
            </w:r>
          </w:p>
        </w:tc>
        <w:tc>
          <w:tcPr>
            <w:tcW w:w="1060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kern w:val="0"/>
                <w:sz w:val="26"/>
                <w:szCs w:val="26"/>
                <w:lang w:val="uk-UA" w:bidi="ar-SA"/>
              </w:rPr>
              <w:t>Забезпечено організаційний супровід офіційних заходів міжнародного характеру, а саме:</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зустріч міського голови Ігоря Поліщука з представниками фірми TEKOM Innovations, Республіка Польща (09.01.2024);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зустріч міського голови Ігоря Поліщука з представниками Генерального консульства РП в Луцьку (23.01.2024);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зустріч міського голови Ігоря Поліщука з представником Посольства Швейцарії в Україні (13.03.2024);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робочий візит офіційної делегації Луцької міської ради до міста Сараєво, Боснія і Герцеговина, з метою участі в нетворкінговій зустрічі Мережі демократичної стійкості Шведського міжнародного центру місцевої демократії (08-11.04.2024);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зустріч заступника міського голови Ірини Чебелюк із представниками Генерального консульства РП в Луцьку (16.04.2024);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зустріч міського голови Ігоря Поліщука з керівником американських благодійних організацій (19.04.2024);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зустріч заступника міського голови Ірини Чебелюк з представниками ТОВ «Європейський екологічний центр “Кревокс</w:t>
            </w:r>
            <w:bookmarkStart w:id="8" w:name="__DdeLink__527_771753515"/>
            <w:r>
              <w:rPr>
                <w:rFonts w:eastAsia="Times New Roman" w:cs="Times New Roman" w:ascii="Times New Roman" w:hAnsi="Times New Roman"/>
                <w:color w:val="000000"/>
                <w:kern w:val="0"/>
                <w:sz w:val="26"/>
                <w:szCs w:val="26"/>
                <w:lang w:val="uk-UA" w:bidi="ar-SA"/>
              </w:rPr>
              <w:t>”</w:t>
            </w:r>
            <w:bookmarkEnd w:id="8"/>
            <w:r>
              <w:rPr>
                <w:rFonts w:eastAsia="Times New Roman" w:cs="Times New Roman" w:ascii="Times New Roman" w:hAnsi="Times New Roman"/>
                <w:color w:val="000000"/>
                <w:kern w:val="0"/>
                <w:sz w:val="26"/>
                <w:szCs w:val="26"/>
                <w:lang w:val="uk-UA" w:bidi="ar-SA"/>
              </w:rPr>
              <w:t>», Республіка Польща (10.05.2024);</w:t>
            </w:r>
          </w:p>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kern w:val="0"/>
                <w:sz w:val="26"/>
                <w:szCs w:val="26"/>
                <w:lang w:val="uk-UA" w:bidi="ar-SA"/>
              </w:rPr>
              <w:t>- робочий візит офіційної делегації Луцької міської ради до Королівства Бельгії з метою відкриття Офісу Луцька при Європейському комітеті регіонів в м. Брюссель та участі в Європейському саміті міст і регіонів у м. Монс (18-19.03.2024);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робочий візит міського голови Ігоря Поліщука до міста Берлін, ФРН, з метою участі в Конференції з питань відновлення України (11-12.06.2024);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робочий візит офіційної делегації Луцької міської ради до міста Швайнфурт, ФРН, з метою участі у благодійному заході, присвяченому збору коштів на гуманітарні потреби Луцької громади, та робочих зустрічах з представниками адміністрації міста Швайнфурт (05-06.07.2024);</w:t>
            </w:r>
          </w:p>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kern w:val="0"/>
                <w:sz w:val="26"/>
                <w:szCs w:val="26"/>
                <w:lang w:val="uk-UA" w:bidi="ar-SA"/>
              </w:rPr>
              <w:t>- онлайн-зустріч міського голови Ігоря Поліщука з представниками Корейського агентства міжнародного співробітництва (KOICA) (23.07.2024);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організаційний супровід поїздки 20 дітей із сімей військовослужбовців Луцької громади до міста Таураґе, Литовська Республіка, з метою відпочинку в літньому таборі (05-11.08.2024);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зустріч заступника міського голови Ірини Чебелюк із делегацією громади Вінцер, ФРН (08.08.2024);</w:t>
            </w:r>
          </w:p>
          <w:p>
            <w:pPr>
              <w:pStyle w:val="Normal"/>
              <w:widowControl w:val="false"/>
              <w:ind w:firstLine="567"/>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 робочий візит міського голови Ігоря Поліщука до міста Вюрцбург, ФРН, із метою підписання Угоди про побратимство та до міста Швайнфурт, ФРН, із метою обговорення поглиблення двостороннього співробітництва (02-05.12.2024);</w:t>
            </w:r>
          </w:p>
          <w:p>
            <w:pPr>
              <w:pStyle w:val="Normal"/>
              <w:widowControl w:val="false"/>
              <w:ind w:firstLine="567"/>
              <w:jc w:val="both"/>
              <w:rPr/>
            </w:pPr>
            <w:r>
              <w:rPr>
                <w:rFonts w:eastAsia="Times New Roman" w:cs="Times New Roman" w:ascii="Times New Roman" w:hAnsi="Times New Roman"/>
                <w:color w:val="000000"/>
                <w:kern w:val="0"/>
                <w:sz w:val="26"/>
                <w:szCs w:val="26"/>
                <w:lang w:val="uk-UA" w:bidi="ar-SA"/>
              </w:rPr>
              <w:t xml:space="preserve">- зустріч заступника міського голови Ірини Чебелюк з </w:t>
            </w:r>
            <w:r>
              <w:rPr>
                <w:rStyle w:val="Appleconvertedspace"/>
                <w:rFonts w:eastAsia="Times New Roman" w:cs="Times New Roman" w:ascii="Times New Roman" w:hAnsi="Times New Roman"/>
                <w:iCs/>
                <w:color w:val="000000"/>
                <w:kern w:val="0"/>
                <w:sz w:val="26"/>
                <w:szCs w:val="26"/>
                <w:lang w:val="uk-UA" w:bidi="ar-SA"/>
              </w:rPr>
              <w:t>німецькими волонтерами (27.12.2024) та інші.</w:t>
            </w:r>
          </w:p>
        </w:tc>
      </w:tr>
      <w:tr>
        <w:trPr>
          <w:trHeight w:val="615" w:hRule="atLeast"/>
        </w:trPr>
        <w:tc>
          <w:tcPr>
            <w:tcW w:w="61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915"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Ефективна реалізація заходів проєктів міжнародної технічної допомоги з метою досягнення цілей проєктів відповідно до грантових договорів, партнерських угод і міських цільових програм, зокрема Проєкту </w:t>
            </w:r>
            <w:r>
              <w:rPr>
                <w:rFonts w:cs="Times New Roman" w:ascii="Times New Roman" w:hAnsi="Times New Roman"/>
                <w:color w:val="000000"/>
                <w:spacing w:val="-1"/>
                <w:sz w:val="26"/>
                <w:szCs w:val="26"/>
                <w:lang w:val="uk-UA" w:eastAsia="uk-UA"/>
              </w:rPr>
              <w:t>«</w:t>
            </w:r>
            <w:r>
              <w:rPr>
                <w:rFonts w:cs="Times New Roman" w:ascii="Times New Roman" w:hAnsi="Times New Roman"/>
                <w:color w:val="000000"/>
                <w:spacing w:val="-4"/>
                <w:sz w:val="26"/>
                <w:szCs w:val="26"/>
                <w:lang w:val="uk-UA" w:eastAsia="uk-UA"/>
              </w:rPr>
              <w:t>Спільний пошук нових рішень у комунальному господарстві: поводження з органічними відходами у Луцькій міській територіальній громаді</w:t>
            </w:r>
            <w:r>
              <w:rPr>
                <w:rFonts w:cs="Times New Roman" w:ascii="Times New Roman" w:hAnsi="Times New Roman"/>
                <w:bCs/>
                <w:color w:val="000000"/>
                <w:spacing w:val="-1"/>
                <w:sz w:val="26"/>
                <w:szCs w:val="26"/>
                <w:lang w:val="uk-UA" w:eastAsia="uk-UA"/>
              </w:rPr>
              <w:t>»</w:t>
            </w:r>
            <w:r>
              <w:rPr>
                <w:rFonts w:cs="Times New Roman" w:ascii="Times New Roman" w:hAnsi="Times New Roman"/>
                <w:color w:val="000000"/>
                <w:sz w:val="26"/>
                <w:szCs w:val="26"/>
                <w:lang w:val="uk-UA"/>
              </w:rPr>
              <w:t xml:space="preserve"> (</w:t>
            </w:r>
            <w:r>
              <w:rPr>
                <w:rFonts w:cs="Times New Roman" w:ascii="Times New Roman" w:hAnsi="Times New Roman"/>
                <w:bCs/>
                <w:color w:val="000000"/>
                <w:sz w:val="26"/>
                <w:szCs w:val="26"/>
                <w:lang w:val="uk-UA"/>
              </w:rPr>
              <w:t xml:space="preserve">Програма </w:t>
            </w:r>
            <w:r>
              <w:rPr>
                <w:rFonts w:cs="Times New Roman" w:ascii="Times New Roman" w:hAnsi="Times New Roman"/>
                <w:color w:val="000000"/>
                <w:spacing w:val="-1"/>
                <w:sz w:val="26"/>
                <w:szCs w:val="26"/>
                <w:lang w:val="uk-UA" w:eastAsia="uk-UA"/>
              </w:rPr>
              <w:t>«Сталий розвиток громад через партнерські проєкти</w:t>
            </w:r>
            <w:r>
              <w:rPr>
                <w:rFonts w:cs="Times New Roman" w:ascii="Times New Roman" w:hAnsi="Times New Roman"/>
                <w:bCs/>
                <w:color w:val="000000"/>
                <w:spacing w:val="-1"/>
                <w:sz w:val="26"/>
                <w:szCs w:val="26"/>
                <w:lang w:val="uk-UA" w:eastAsia="uk-UA"/>
              </w:rPr>
              <w:t xml:space="preserve"> </w:t>
            </w:r>
            <w:r>
              <w:rPr>
                <w:rFonts w:cs="Times New Roman" w:ascii="Times New Roman" w:hAnsi="Times New Roman"/>
                <w:bCs/>
                <w:color w:val="000000"/>
                <w:spacing w:val="-2"/>
                <w:sz w:val="26"/>
                <w:szCs w:val="26"/>
                <w:lang w:val="uk-UA"/>
              </w:rPr>
              <w:t xml:space="preserve">– </w:t>
            </w:r>
            <w:r>
              <w:rPr>
                <w:rFonts w:cs="Times New Roman" w:ascii="Times New Roman" w:hAnsi="Times New Roman"/>
                <w:bCs/>
                <w:color w:val="000000"/>
                <w:sz w:val="26"/>
                <w:szCs w:val="26"/>
                <w:lang w:val="uk-UA"/>
              </w:rPr>
              <w:t>NAKOPA 2020</w:t>
            </w:r>
            <w:r>
              <w:rPr>
                <w:rFonts w:cs="Times New Roman" w:ascii="Times New Roman" w:hAnsi="Times New Roman"/>
                <w:bCs/>
                <w:color w:val="000000"/>
                <w:spacing w:val="-1"/>
                <w:sz w:val="26"/>
                <w:szCs w:val="26"/>
                <w:lang w:val="uk-UA" w:eastAsia="uk-UA"/>
              </w:rPr>
              <w:t>»</w:t>
            </w:r>
            <w:r>
              <w:rPr>
                <w:rFonts w:cs="Times New Roman" w:ascii="Times New Roman" w:hAnsi="Times New Roman"/>
                <w:bCs/>
                <w:color w:val="000000"/>
                <w:sz w:val="26"/>
                <w:szCs w:val="26"/>
                <w:lang w:val="uk-UA"/>
              </w:rPr>
              <w:t xml:space="preserve"> за підтримки Федерального міністерства економічного співробітництва і розвитку ФРН</w:t>
            </w:r>
            <w:r>
              <w:rPr>
                <w:rFonts w:cs="Times New Roman" w:ascii="Times New Roman" w:hAnsi="Times New Roman"/>
                <w:color w:val="000000"/>
                <w:sz w:val="26"/>
                <w:szCs w:val="26"/>
                <w:lang w:val="uk-UA"/>
              </w:rPr>
              <w:t>). Основні заходи: закупівля та встановлення обладнання для очищення фільтрату на полігоні ТПВ у с. Брище.</w:t>
            </w:r>
          </w:p>
        </w:tc>
        <w:tc>
          <w:tcPr>
            <w:tcW w:w="1060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76" w:leader="none"/>
              </w:tabs>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pacing w:val="-3"/>
                <w:kern w:val="0"/>
                <w:sz w:val="26"/>
                <w:szCs w:val="26"/>
                <w:lang w:val="uk-UA" w:bidi="ar-SA"/>
              </w:rPr>
              <w:t xml:space="preserve">Завершено реалізацію проєкту «Спільний пошук нових рішень у комунальному господарстві: поводження з органічними відходами у Луцькій міській територіальній громаді». Основним заходом проєкту стало </w:t>
            </w:r>
            <w:r>
              <w:rPr>
                <w:rFonts w:eastAsia="Times New Roman" w:cs="Times New Roman" w:ascii="Times New Roman" w:hAnsi="Times New Roman"/>
                <w:color w:val="000000"/>
                <w:kern w:val="0"/>
                <w:sz w:val="26"/>
                <w:szCs w:val="26"/>
                <w:lang w:val="uk-UA" w:bidi="ar-SA"/>
              </w:rPr>
              <w:t xml:space="preserve">встановлення станції очистки фільтрату на полігоні ТПВ у с. Брище. Обладнання забезпечує двоступеневу очистку фільтрату за технологією зворотнього осмосу. У 2024 році реалізовано такі заходи проєкту: виготовлено промоційну продукцію проєкту, яку було роздано переможцям онлайн-вікторини про екологічні цінності ЄС з нагоди Дня Європи; проведено аудит проєкту; </w:t>
            </w:r>
            <w:r>
              <w:rPr>
                <w:rFonts w:eastAsia="Times New Roman" w:cs="Times New Roman" w:ascii="Times New Roman" w:hAnsi="Times New Roman"/>
                <w:color w:val="000000"/>
                <w:spacing w:val="-3"/>
                <w:kern w:val="0"/>
                <w:sz w:val="26"/>
                <w:szCs w:val="26"/>
                <w:lang w:val="uk-UA" w:bidi="ar-SA"/>
              </w:rPr>
              <w:t>подано фінальні звіти грантодавцю.</w:t>
            </w:r>
          </w:p>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kern w:val="0"/>
                <w:sz w:val="26"/>
                <w:szCs w:val="26"/>
                <w:lang w:val="uk-UA" w:bidi="ar-SA"/>
              </w:rPr>
              <w:t xml:space="preserve">У 2024 році розпочато реалізацію проєкту </w:t>
            </w:r>
            <w:r>
              <w:rPr>
                <w:rFonts w:eastAsia="Times New Roman" w:cs="Times New Roman" w:ascii="Times New Roman" w:hAnsi="Times New Roman"/>
                <w:color w:val="000000"/>
                <w:spacing w:val="-1"/>
                <w:kern w:val="0"/>
                <w:sz w:val="26"/>
                <w:szCs w:val="26"/>
                <w:lang w:val="uk-UA" w:bidi="ar-SA"/>
              </w:rPr>
              <w:t>«</w:t>
            </w:r>
            <w:r>
              <w:rPr>
                <w:rFonts w:eastAsia="Times New Roman" w:cs="Times New Roman" w:ascii="Times New Roman" w:hAnsi="Times New Roman"/>
                <w:color w:val="000000"/>
                <w:kern w:val="0"/>
                <w:sz w:val="26"/>
                <w:szCs w:val="26"/>
                <w:lang w:val="uk-UA" w:bidi="ar-SA"/>
              </w:rPr>
              <w:t>Розвиваємо STEM-освіту разом: інноваційне навчання в Ліппе та Луцьку</w:t>
            </w:r>
            <w:r>
              <w:rPr>
                <w:rFonts w:eastAsia="Times New Roman" w:cs="Times New Roman" w:ascii="Times New Roman" w:hAnsi="Times New Roman"/>
                <w:color w:val="000000"/>
                <w:spacing w:val="-1"/>
                <w:kern w:val="0"/>
                <w:sz w:val="26"/>
                <w:szCs w:val="26"/>
                <w:lang w:val="uk-UA" w:bidi="ar-SA"/>
              </w:rPr>
              <w:t xml:space="preserve">». </w:t>
            </w:r>
            <w:r>
              <w:rPr>
                <w:rFonts w:eastAsia="Times New Roman" w:cs="Times New Roman" w:ascii="Times New Roman" w:hAnsi="Times New Roman"/>
                <w:color w:val="000000"/>
                <w:spacing w:val="-3"/>
                <w:kern w:val="0"/>
                <w:sz w:val="26"/>
                <w:szCs w:val="26"/>
                <w:lang w:val="uk-UA" w:bidi="ar-SA"/>
              </w:rPr>
              <w:t xml:space="preserve">Головний партнер: Край Ліппе, Федеративна Республіка Німеччина. Партнер: Виконавчий комітет Луцької міської ради. Донор: Уряд Федеративної Республіки Німеччина через Федеральне міністерство економічного співробітництва та розвитку, яке представлене неприбутковим ТОВ </w:t>
            </w:r>
            <w:r>
              <w:rPr>
                <w:rFonts w:eastAsia="Times New Roman" w:cs="Times New Roman" w:ascii="Times New Roman" w:hAnsi="Times New Roman"/>
                <w:color w:val="000000"/>
                <w:spacing w:val="-1"/>
                <w:kern w:val="0"/>
                <w:sz w:val="26"/>
                <w:szCs w:val="26"/>
                <w:lang w:val="uk-UA" w:bidi="ar-SA"/>
              </w:rPr>
              <w:t>«</w:t>
            </w:r>
            <w:r>
              <w:rPr>
                <w:rFonts w:eastAsia="Times New Roman" w:cs="Times New Roman" w:ascii="Times New Roman" w:hAnsi="Times New Roman"/>
                <w:color w:val="000000"/>
                <w:spacing w:val="-3"/>
                <w:kern w:val="0"/>
                <w:sz w:val="26"/>
                <w:szCs w:val="26"/>
                <w:lang w:val="uk-UA" w:bidi="ar-SA"/>
              </w:rPr>
              <w:t>Engagement Global</w:t>
            </w:r>
            <w:r>
              <w:rPr>
                <w:rFonts w:eastAsia="Times New Roman" w:cs="Times New Roman" w:ascii="Times New Roman" w:hAnsi="Times New Roman"/>
                <w:color w:val="000000"/>
                <w:spacing w:val="-1"/>
                <w:kern w:val="0"/>
                <w:sz w:val="26"/>
                <w:szCs w:val="26"/>
                <w:lang w:val="uk-UA" w:bidi="ar-SA"/>
              </w:rPr>
              <w:t>» </w:t>
            </w:r>
            <w:r>
              <w:rPr>
                <w:rFonts w:eastAsia="Times New Roman" w:cs="Times New Roman" w:ascii="Times New Roman" w:hAnsi="Times New Roman"/>
                <w:color w:val="000000"/>
                <w:spacing w:val="-3"/>
                <w:kern w:val="0"/>
                <w:sz w:val="26"/>
                <w:szCs w:val="26"/>
                <w:lang w:val="uk-UA" w:bidi="ar-SA"/>
              </w:rPr>
              <w:t xml:space="preserve">/ Сервісною службою </w:t>
            </w:r>
            <w:r>
              <w:rPr>
                <w:rFonts w:eastAsia="Times New Roman" w:cs="Times New Roman" w:ascii="Times New Roman" w:hAnsi="Times New Roman"/>
                <w:color w:val="000000"/>
                <w:spacing w:val="-1"/>
                <w:kern w:val="0"/>
                <w:sz w:val="26"/>
                <w:szCs w:val="26"/>
                <w:lang w:val="uk-UA" w:bidi="ar-SA"/>
              </w:rPr>
              <w:t>«</w:t>
            </w:r>
            <w:r>
              <w:rPr>
                <w:rFonts w:eastAsia="Times New Roman" w:cs="Times New Roman" w:ascii="Times New Roman" w:hAnsi="Times New Roman"/>
                <w:color w:val="000000"/>
                <w:spacing w:val="-3"/>
                <w:kern w:val="0"/>
                <w:sz w:val="26"/>
                <w:szCs w:val="26"/>
                <w:lang w:val="uk-UA" w:bidi="ar-SA"/>
              </w:rPr>
              <w:t>Міста в єдиному світі</w:t>
            </w:r>
            <w:r>
              <w:rPr>
                <w:rFonts w:eastAsia="Times New Roman" w:cs="Times New Roman" w:ascii="Times New Roman" w:hAnsi="Times New Roman"/>
                <w:color w:val="000000"/>
                <w:spacing w:val="-1"/>
                <w:kern w:val="0"/>
                <w:sz w:val="26"/>
                <w:szCs w:val="26"/>
                <w:lang w:val="uk-UA" w:bidi="ar-SA"/>
              </w:rPr>
              <w:t>» в межах Програми</w:t>
            </w:r>
            <w:r>
              <w:rPr>
                <w:rFonts w:eastAsia="Times New Roman" w:cs="Times New Roman" w:ascii="Times New Roman" w:hAnsi="Times New Roman"/>
                <w:color w:val="000000"/>
                <w:spacing w:val="-3"/>
                <w:kern w:val="0"/>
                <w:sz w:val="26"/>
                <w:szCs w:val="26"/>
                <w:lang w:val="uk-UA" w:bidi="ar-SA"/>
              </w:rPr>
              <w:t xml:space="preserve"> </w:t>
            </w:r>
            <w:r>
              <w:rPr>
                <w:rFonts w:eastAsia="Times New Roman" w:cs="Times New Roman" w:ascii="Times New Roman" w:hAnsi="Times New Roman"/>
                <w:color w:val="000000"/>
                <w:spacing w:val="-1"/>
                <w:kern w:val="0"/>
                <w:sz w:val="26"/>
                <w:szCs w:val="26"/>
                <w:lang w:val="uk-UA" w:bidi="ar-SA"/>
              </w:rPr>
              <w:t>«Сталий муніципальний розвиток через партнерські проєкти</w:t>
            </w:r>
            <w:r>
              <w:rPr>
                <w:rFonts w:eastAsia="Times New Roman" w:cs="Times New Roman" w:ascii="Times New Roman" w:hAnsi="Times New Roman"/>
                <w:color w:val="000000"/>
                <w:spacing w:val="-3"/>
                <w:kern w:val="0"/>
                <w:sz w:val="26"/>
                <w:szCs w:val="26"/>
                <w:lang w:val="uk-UA" w:bidi="ar-SA"/>
              </w:rPr>
              <w:t xml:space="preserve"> </w:t>
            </w:r>
            <w:r>
              <w:rPr>
                <w:rFonts w:eastAsia="Times New Roman" w:cs="Times New Roman" w:ascii="Times New Roman" w:hAnsi="Times New Roman"/>
                <w:color w:val="000000"/>
                <w:spacing w:val="-2"/>
                <w:kern w:val="0"/>
                <w:sz w:val="26"/>
                <w:szCs w:val="26"/>
                <w:lang w:val="uk-UA" w:bidi="ar-SA"/>
              </w:rPr>
              <w:t>(</w:t>
            </w:r>
            <w:r>
              <w:rPr>
                <w:rFonts w:eastAsia="Times New Roman" w:cs="Times New Roman" w:ascii="Times New Roman" w:hAnsi="Times New Roman"/>
                <w:color w:val="000000"/>
                <w:spacing w:val="-3"/>
                <w:kern w:val="0"/>
                <w:sz w:val="26"/>
                <w:szCs w:val="26"/>
                <w:lang w:val="uk-UA" w:bidi="ar-SA"/>
              </w:rPr>
              <w:t>NAKOPA)</w:t>
            </w:r>
            <w:r>
              <w:rPr>
                <w:rFonts w:eastAsia="Times New Roman" w:cs="Times New Roman" w:ascii="Times New Roman" w:hAnsi="Times New Roman"/>
                <w:color w:val="000000"/>
                <w:spacing w:val="-1"/>
                <w:kern w:val="0"/>
                <w:sz w:val="26"/>
                <w:szCs w:val="26"/>
                <w:lang w:val="uk-UA" w:bidi="ar-SA"/>
              </w:rPr>
              <w:t xml:space="preserve">». </w:t>
            </w:r>
            <w:r>
              <w:rPr>
                <w:rFonts w:eastAsia="Times New Roman" w:cs="Times New Roman" w:ascii="Times New Roman" w:hAnsi="Times New Roman"/>
                <w:color w:val="000000"/>
                <w:kern w:val="0"/>
                <w:sz w:val="26"/>
                <w:szCs w:val="26"/>
                <w:lang w:val="uk-UA" w:bidi="ar-SA"/>
              </w:rPr>
              <w:t xml:space="preserve">Основними заходами проєкту є закупівля обладнання для облаштування навчальних кабінетів фізики, хімії та біології, робототехніки, інноваційних технологій, шиття та вишивання, фото/відеостудії, конференцзалу з метою </w:t>
            </w:r>
            <w:r>
              <w:rPr>
                <w:rFonts w:eastAsia="Times New Roman" w:cs="Times New Roman" w:ascii="Times New Roman" w:hAnsi="Times New Roman"/>
                <w:color w:val="000000"/>
                <w:spacing w:val="-1"/>
                <w:kern w:val="0"/>
                <w:sz w:val="26"/>
                <w:szCs w:val="26"/>
                <w:lang w:val="uk-UA" w:bidi="ar-SA"/>
              </w:rPr>
              <w:t>покращення матеріально-технічної бази системи STEM-освіти в Луцькій міській територіальній громаді</w:t>
            </w:r>
            <w:r>
              <w:rPr>
                <w:rFonts w:eastAsia="Times New Roman" w:cs="Times New Roman" w:ascii="Times New Roman" w:hAnsi="Times New Roman"/>
                <w:color w:val="000000"/>
                <w:kern w:val="0"/>
                <w:sz w:val="26"/>
                <w:szCs w:val="26"/>
                <w:lang w:val="uk-UA" w:bidi="ar-SA"/>
              </w:rPr>
              <w:t xml:space="preserve">. </w:t>
            </w:r>
            <w:r>
              <w:rPr>
                <w:rFonts w:eastAsia="Times New Roman" w:cs="Times New Roman" w:ascii="Times New Roman" w:hAnsi="Times New Roman"/>
                <w:color w:val="000000"/>
                <w:spacing w:val="-1"/>
                <w:kern w:val="0"/>
                <w:sz w:val="26"/>
                <w:szCs w:val="26"/>
                <w:lang w:val="uk-UA" w:bidi="ar-SA"/>
              </w:rPr>
              <w:t xml:space="preserve">У 2024 році реалізовано такі заходи проєкту: </w:t>
            </w:r>
            <w:r>
              <w:rPr>
                <w:rFonts w:eastAsia="Times New Roman" w:cs="Times New Roman" w:ascii="Times New Roman" w:hAnsi="Times New Roman"/>
                <w:color w:val="000000"/>
                <w:kern w:val="0"/>
                <w:sz w:val="26"/>
                <w:szCs w:val="26"/>
                <w:lang w:val="uk-UA" w:bidi="ar-SA"/>
              </w:rPr>
              <w:t xml:space="preserve">підписано Угоду про партнерську співпрацю щодо реалізації проєкту; здійснено державну реєстрацію проєкту в Секретаріаті Кабінету Міністрів України; збільшено загальний бюджет проєкту з 249 346,00 євро до 283 546,00 євро в частинах гранту та співфінансування громади; </w:t>
            </w:r>
            <w:r>
              <w:rPr>
                <w:rFonts w:eastAsia="Times New Roman" w:cs="Times New Roman" w:ascii="Times New Roman" w:hAnsi="Times New Roman"/>
                <w:color w:val="000000"/>
                <w:spacing w:val="-1"/>
                <w:kern w:val="0"/>
                <w:sz w:val="26"/>
                <w:szCs w:val="26"/>
                <w:lang w:val="uk-UA" w:bidi="ar-SA"/>
              </w:rPr>
              <w:t xml:space="preserve">частково підготовлено технічну документацію для закупівлі послуг і товарів, необхідних для облаштування навчальних кабінетів у межах реалізації проєкту; </w:t>
            </w:r>
            <w:r>
              <w:rPr>
                <w:rFonts w:eastAsia="Times New Roman" w:cs="Times New Roman" w:ascii="Times New Roman" w:hAnsi="Times New Roman"/>
                <w:color w:val="000000"/>
                <w:kern w:val="0"/>
                <w:sz w:val="26"/>
                <w:szCs w:val="26"/>
                <w:lang w:val="uk-UA" w:bidi="ar-SA"/>
              </w:rPr>
              <w:t>проведено консультації із вчителями закладів загальної середньої освіти Луцька з метою виявлення їхніх потреб та очікувань щодо організації STEM-навчання.</w:t>
            </w:r>
          </w:p>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kern w:val="0"/>
                <w:sz w:val="26"/>
                <w:szCs w:val="26"/>
                <w:lang w:val="uk-UA" w:bidi="ar-SA"/>
              </w:rPr>
              <w:t xml:space="preserve">Також у 2024 році розпочато реалізацію проєкту «Дике життя у великому місті: захист і промоція дикої природи й біорізноманіття в Луцьку та Жешуві». </w:t>
            </w:r>
            <w:r>
              <w:rPr>
                <w:rFonts w:eastAsia="Times New Roman" w:cs="Times New Roman" w:ascii="Times New Roman" w:hAnsi="Times New Roman"/>
                <w:color w:val="000000"/>
                <w:spacing w:val="-3"/>
                <w:kern w:val="0"/>
                <w:sz w:val="26"/>
                <w:szCs w:val="26"/>
                <w:lang w:val="uk-UA" w:bidi="ar-SA"/>
              </w:rPr>
              <w:t xml:space="preserve">Головний партнер: Виконавчий комітет Луцької міської ради. Партнер: </w:t>
            </w:r>
            <w:r>
              <w:rPr>
                <w:rFonts w:eastAsia="Times New Roman" w:cs="Times New Roman" w:ascii="Times New Roman" w:hAnsi="Times New Roman"/>
                <w:color w:val="000000"/>
                <w:spacing w:val="-1"/>
                <w:kern w:val="0"/>
                <w:sz w:val="26"/>
                <w:szCs w:val="26"/>
                <w:lang w:val="uk-UA" w:bidi="ar-SA"/>
              </w:rPr>
              <w:t xml:space="preserve">Муніципалітет міста Жешув, Республіка Польща. Донор: Європейський Союз через Орган управління Програми Interreg NEXT Польща – Україна 2021-2027, представлений Міністерством фондів розвитку та регіональної політики Республіки Польща. </w:t>
            </w:r>
            <w:bookmarkStart w:id="9" w:name="__DdeLink__1228_1497291488"/>
            <w:r>
              <w:rPr>
                <w:rFonts w:eastAsia="Times New Roman" w:cs="Times New Roman" w:ascii="Times New Roman" w:hAnsi="Times New Roman"/>
                <w:color w:val="000000"/>
                <w:kern w:val="0"/>
                <w:sz w:val="26"/>
                <w:szCs w:val="26"/>
                <w:lang w:val="uk-UA" w:bidi="ar-SA"/>
              </w:rPr>
              <w:t>Основним заходом проєкту</w:t>
            </w:r>
            <w:bookmarkEnd w:id="9"/>
            <w:r>
              <w:rPr>
                <w:rFonts w:eastAsia="Times New Roman" w:cs="Times New Roman" w:ascii="Times New Roman" w:hAnsi="Times New Roman"/>
                <w:color w:val="000000"/>
                <w:kern w:val="0"/>
                <w:sz w:val="26"/>
                <w:szCs w:val="26"/>
                <w:lang w:val="uk-UA" w:bidi="ar-SA"/>
              </w:rPr>
              <w:t xml:space="preserve"> для Луцької громади стане створення природного парку на березі р. Стир між мостами на вул. Ковельській та вул. Шевченка. </w:t>
            </w:r>
            <w:r>
              <w:rPr>
                <w:rFonts w:eastAsia="Times New Roman" w:cs="Times New Roman" w:ascii="Times New Roman" w:hAnsi="Times New Roman"/>
                <w:color w:val="000000"/>
                <w:spacing w:val="-1"/>
                <w:kern w:val="0"/>
                <w:sz w:val="26"/>
                <w:szCs w:val="26"/>
                <w:lang w:val="uk-UA" w:bidi="ar-SA"/>
              </w:rPr>
              <w:t xml:space="preserve">У 2024 році </w:t>
            </w:r>
            <w:r>
              <w:rPr>
                <w:rFonts w:eastAsia="Times New Roman" w:cs="Times New Roman" w:ascii="Times New Roman" w:hAnsi="Times New Roman"/>
                <w:color w:val="000000"/>
                <w:spacing w:val="-3"/>
                <w:kern w:val="0"/>
                <w:sz w:val="26"/>
                <w:szCs w:val="26"/>
                <w:lang w:val="uk-UA" w:bidi="ar-SA"/>
              </w:rPr>
              <w:t>реалізовано</w:t>
            </w:r>
            <w:r>
              <w:rPr>
                <w:rFonts w:eastAsia="Times New Roman" w:cs="Times New Roman" w:ascii="Times New Roman" w:hAnsi="Times New Roman"/>
                <w:color w:val="000000"/>
                <w:spacing w:val="-1"/>
                <w:kern w:val="0"/>
                <w:sz w:val="26"/>
                <w:szCs w:val="26"/>
                <w:lang w:val="uk-UA" w:bidi="ar-SA"/>
              </w:rPr>
              <w:t xml:space="preserve"> такі заходи проєкту: </w:t>
            </w:r>
            <w:r>
              <w:rPr>
                <w:rFonts w:eastAsia="Times New Roman" w:cs="Times New Roman" w:ascii="Times New Roman" w:hAnsi="Times New Roman"/>
                <w:color w:val="000000"/>
                <w:kern w:val="0"/>
                <w:sz w:val="26"/>
                <w:szCs w:val="26"/>
                <w:lang w:val="uk-UA" w:bidi="ar-SA"/>
              </w:rPr>
              <w:t xml:space="preserve">підписано Грантовий контракт і Партнерську угоду щодо реалізації проєкту; здійснено державну реєстрацію проєкту в Секретаріаті Кабінету Міністрів України; розроблено логотип проєкту, дизайн кампанії (лого, кольори, сценарії промоційних матеріалів: зразки розміщення лого на промоційних матеріалах); проведено стартову зустріч проєкту в м. Жешув (Республіка Польща); виконано науково-дослідну роботу на тему «Геоекологічне дослідження зеленої зони вздовж р. Стир на території від мосту на вул. Ковельській до мосту на вул. Шевченка»; </w:t>
            </w:r>
            <w:r>
              <w:rPr>
                <w:rFonts w:eastAsia="Times New Roman" w:cs="Times New Roman" w:ascii="Times New Roman" w:hAnsi="Times New Roman"/>
                <w:color w:val="000000"/>
                <w:spacing w:val="-1"/>
                <w:kern w:val="0"/>
                <w:sz w:val="26"/>
                <w:szCs w:val="26"/>
                <w:lang w:val="uk-UA" w:bidi="ar-SA"/>
              </w:rPr>
              <w:t xml:space="preserve">виконано топографо-геодезичні роботи по вул. Набережній у м. Луцьку (вздовж р. Стир на території від мосту на вул. Ковельській до мосту на вул. Шевченка; розроблено ескіз-проєкт «Концепція благоустрою та озеленення парку» на об’єкті: «Нове будівництво лугопарку вздовж річки Стир на території від мосту на вул. Ковельській до мосту на вул. Шевченка» (ландшафтний дизайн); розроблено проєктно-кошторисну документацію по об’єкту: «Нове будівництво лугопарку вздовж річки Стир на території від мосту на вул. Ковельській до мосту на вул. Шевченка»; </w:t>
            </w:r>
            <w:r>
              <w:rPr>
                <w:rFonts w:eastAsia="Times New Roman" w:cs="Times New Roman" w:ascii="Times New Roman" w:hAnsi="Times New Roman"/>
                <w:color w:val="000000"/>
                <w:kern w:val="0"/>
                <w:sz w:val="26"/>
                <w:szCs w:val="26"/>
                <w:lang w:val="uk-UA" w:bidi="ar-SA"/>
              </w:rPr>
              <w:t xml:space="preserve">виконано інженерно-геологічні вишукування для об’єкту: «Нове будівництво лугопарку вздовж річки Стир на території від мосту на вул. Ковельській до мосту на вул. Шевченка»; </w:t>
            </w:r>
            <w:r>
              <w:rPr>
                <w:rFonts w:eastAsia="Times New Roman" w:cs="Times New Roman" w:ascii="Times New Roman" w:hAnsi="Times New Roman"/>
                <w:color w:val="000000"/>
                <w:spacing w:val="-1"/>
                <w:kern w:val="0"/>
                <w:sz w:val="26"/>
                <w:szCs w:val="26"/>
                <w:lang w:val="uk-UA" w:bidi="ar-SA"/>
              </w:rPr>
              <w:t>здійснено адміністративні витрати в межах проєкту; отримано перший авансовий платіж.</w:t>
            </w:r>
          </w:p>
        </w:tc>
      </w:tr>
      <w:tr>
        <w:trPr>
          <w:trHeight w:val="453" w:hRule="atLeast"/>
        </w:trPr>
        <w:tc>
          <w:tcPr>
            <w:tcW w:w="61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915"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Підготовка проєктних заявок у межах грантових конкурсів, оголошених міжнародними або національними організаціями-донорами, з метою залучення позабюджетних коштів на реалізацію проєктів.</w:t>
            </w:r>
          </w:p>
        </w:tc>
        <w:tc>
          <w:tcPr>
            <w:tcW w:w="1060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bidi="ar-SA"/>
              </w:rPr>
              <w:t>Забезпечено контрактування проєкту «Безпечна каналізація задля здорового довкілля: транскордонні рішення Луцька та Білостока», затвердженого до фінансування з коштів Європейського Союзу в межах Програми Interreg NEXT Польща – Україна 2021-2027. П</w:t>
            </w:r>
            <w:r>
              <w:rPr>
                <w:rFonts w:eastAsia="Times New Roman" w:cs="Times New Roman" w:ascii="Times New Roman" w:hAnsi="Times New Roman"/>
                <w:color w:val="000000"/>
                <w:spacing w:val="-3"/>
                <w:kern w:val="0"/>
                <w:sz w:val="26"/>
                <w:szCs w:val="26"/>
                <w:lang w:val="uk-UA" w:bidi="ar-SA"/>
              </w:rPr>
              <w:t>роєкт реалізується КП «Луцькводоканал» (Головний партнер) у спі</w:t>
            </w:r>
            <w:r>
              <w:rPr>
                <w:rFonts w:eastAsia="Times New Roman" w:cs="Times New Roman" w:ascii="Times New Roman" w:hAnsi="Times New Roman"/>
                <w:bCs/>
                <w:color w:val="000000"/>
                <w:spacing w:val="-3"/>
                <w:kern w:val="0"/>
                <w:sz w:val="26"/>
                <w:szCs w:val="26"/>
                <w:lang w:val="uk-UA" w:bidi="ar-SA"/>
              </w:rPr>
              <w:t>впраці з ТОВ «Білостоцький водоканал», Республіка Польща (Партнер).</w:t>
            </w:r>
          </w:p>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bidi="ar-SA"/>
              </w:rPr>
              <w:t xml:space="preserve">Підготовлено проєктну заявку в межах програми </w:t>
            </w:r>
            <w:r>
              <w:rPr>
                <w:rFonts w:eastAsia="Times New Roman" w:cs="Times New Roman" w:ascii="Times New Roman" w:hAnsi="Times New Roman"/>
                <w:color w:val="000000"/>
                <w:spacing w:val="-1"/>
                <w:kern w:val="0"/>
                <w:sz w:val="26"/>
                <w:szCs w:val="26"/>
                <w:lang w:val="uk-UA" w:eastAsia="uk-UA" w:bidi="ar-SA"/>
              </w:rPr>
              <w:t>«Сталий муніципальний розвиток через партнерські проєкти</w:t>
            </w:r>
            <w:r>
              <w:rPr>
                <w:rFonts w:eastAsia="Times New Roman" w:cs="Times New Roman" w:ascii="Times New Roman" w:hAnsi="Times New Roman"/>
                <w:color w:val="000000"/>
                <w:spacing w:val="-3"/>
                <w:kern w:val="0"/>
                <w:sz w:val="26"/>
                <w:szCs w:val="26"/>
                <w:lang w:val="uk-UA" w:eastAsia="ru-RU" w:bidi="ar-SA"/>
              </w:rPr>
              <w:t xml:space="preserve"> </w:t>
            </w:r>
            <w:r>
              <w:rPr>
                <w:rFonts w:eastAsia="Times New Roman" w:cs="Times New Roman" w:ascii="Times New Roman" w:hAnsi="Times New Roman"/>
                <w:color w:val="000000"/>
                <w:spacing w:val="-2"/>
                <w:kern w:val="0"/>
                <w:sz w:val="26"/>
                <w:szCs w:val="26"/>
                <w:lang w:val="uk-UA" w:eastAsia="ru-RU" w:bidi="ar-SA"/>
              </w:rPr>
              <w:t>(</w:t>
            </w:r>
            <w:r>
              <w:rPr>
                <w:rFonts w:eastAsia="Times New Roman" w:cs="Times New Roman" w:ascii="Times New Roman" w:hAnsi="Times New Roman"/>
                <w:color w:val="000000"/>
                <w:spacing w:val="-2"/>
                <w:kern w:val="0"/>
                <w:sz w:val="26"/>
                <w:szCs w:val="26"/>
                <w:lang w:val="uk-UA" w:bidi="ar-SA"/>
              </w:rPr>
              <w:t>NAKOPA 2025</w:t>
            </w:r>
            <w:r>
              <w:rPr>
                <w:rFonts w:eastAsia="Times New Roman" w:cs="Times New Roman" w:ascii="Times New Roman" w:hAnsi="Times New Roman"/>
                <w:color w:val="000000"/>
                <w:spacing w:val="-3"/>
                <w:kern w:val="0"/>
                <w:sz w:val="26"/>
                <w:szCs w:val="26"/>
                <w:lang w:val="uk-UA" w:eastAsia="ru-RU" w:bidi="ar-SA"/>
              </w:rPr>
              <w:t>)</w:t>
            </w:r>
            <w:r>
              <w:rPr>
                <w:rFonts w:eastAsia="Times New Roman" w:cs="Times New Roman" w:ascii="Times New Roman" w:hAnsi="Times New Roman"/>
                <w:color w:val="000000"/>
                <w:spacing w:val="-1"/>
                <w:kern w:val="0"/>
                <w:sz w:val="26"/>
                <w:szCs w:val="26"/>
                <w:lang w:val="uk-UA" w:eastAsia="uk-UA" w:bidi="ar-SA"/>
              </w:rPr>
              <w:t>»</w:t>
            </w:r>
            <w:r>
              <w:rPr>
                <w:rFonts w:eastAsia="Times New Roman" w:cs="Times New Roman" w:ascii="Times New Roman" w:hAnsi="Times New Roman"/>
                <w:color w:val="000000"/>
                <w:kern w:val="0"/>
                <w:sz w:val="26"/>
                <w:szCs w:val="26"/>
                <w:lang w:val="uk-UA" w:bidi="ar-SA"/>
              </w:rPr>
              <w:t>.</w:t>
            </w:r>
          </w:p>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bidi="ar-SA"/>
              </w:rPr>
              <w:t xml:space="preserve">Підготовлено заявку спільно </w:t>
            </w:r>
            <w:r>
              <w:rPr>
                <w:rFonts w:eastAsia="Times New Roman" w:cs="Times New Roman" w:ascii="Times New Roman" w:hAnsi="Times New Roman"/>
                <w:bCs/>
                <w:color w:val="000000"/>
                <w:kern w:val="0"/>
                <w:sz w:val="26"/>
                <w:szCs w:val="26"/>
                <w:lang w:val="uk-UA" w:bidi="ar-SA"/>
              </w:rPr>
              <w:t xml:space="preserve">з комуною Пітео </w:t>
            </w:r>
            <w:r>
              <w:rPr>
                <w:rFonts w:eastAsia="Times New Roman" w:cs="Times New Roman" w:ascii="Times New Roman" w:hAnsi="Times New Roman"/>
                <w:color w:val="000000"/>
                <w:kern w:val="0"/>
                <w:sz w:val="26"/>
                <w:szCs w:val="26"/>
                <w:lang w:val="uk-UA" w:bidi="ar-SA"/>
              </w:rPr>
              <w:t>(Королівство Швеція) з метою реалізації проєкту на тему молодіжної політики.</w:t>
            </w:r>
          </w:p>
        </w:tc>
      </w:tr>
      <w:tr>
        <w:trPr>
          <w:trHeight w:val="453" w:hRule="atLeast"/>
        </w:trPr>
        <w:tc>
          <w:tcPr>
            <w:tcW w:w="61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915"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Розвиток співробітництва з представниками іноземних держав і міжнародних організацій в Україні, надання методичної та організаційної підтримки виконавчим органам міської ради у здійсненні міждержавних зв’язків та забезпечення офіційної ділової комунікації з дипломатичними представництвами іноземних держав і міжнародних організацій в Україні.</w:t>
            </w:r>
          </w:p>
        </w:tc>
        <w:tc>
          <w:tcPr>
            <w:tcW w:w="1060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76" w:leader="none"/>
              </w:tabs>
              <w:ind w:firstLine="567"/>
              <w:jc w:val="both"/>
              <w:rPr>
                <w:rFonts w:ascii="Times New Roman" w:hAnsi="Times New Roman" w:eastAsia="Times New Roman" w:cs="Times New Roman"/>
                <w:bCs/>
                <w:color w:val="000000"/>
                <w:kern w:val="0"/>
                <w:sz w:val="26"/>
                <w:szCs w:val="26"/>
                <w:lang w:val="uk-UA" w:bidi="ar-SA"/>
              </w:rPr>
            </w:pPr>
            <w:r>
              <w:rPr>
                <w:rFonts w:eastAsia="Times New Roman" w:cs="Times New Roman" w:ascii="Times New Roman" w:hAnsi="Times New Roman"/>
                <w:bCs/>
                <w:color w:val="000000"/>
                <w:kern w:val="0"/>
                <w:sz w:val="26"/>
                <w:szCs w:val="26"/>
                <w:lang w:val="uk-UA" w:bidi="ar-SA"/>
              </w:rPr>
              <w:t>У березні 2024 року при Європейському комітеті регіонів відкрито офіс Луцька у Брюсселі. Наявність представництва у столиці Європейського Союзу надасть можливість долучитися до ініціатив Європейського комітету регіонів, покращить доступ міста до програм Євросоюзу та залучення ресурсів, а також сприятиме презентації Луцька на різних європейських майданчиках.</w:t>
            </w:r>
          </w:p>
          <w:p>
            <w:pPr>
              <w:pStyle w:val="Normal"/>
              <w:widowControl w:val="false"/>
              <w:tabs>
                <w:tab w:val="clear" w:pos="720"/>
                <w:tab w:val="left" w:pos="576" w:leader="none"/>
              </w:tabs>
              <w:ind w:firstLine="567"/>
              <w:jc w:val="both"/>
              <w:rPr>
                <w:rFonts w:ascii="Times New Roman" w:hAnsi="Times New Roman"/>
                <w:color w:val="000000"/>
                <w:sz w:val="26"/>
                <w:szCs w:val="26"/>
                <w:lang w:val="uk-UA"/>
              </w:rPr>
            </w:pPr>
            <w:r>
              <w:rPr>
                <w:rFonts w:eastAsia="Times New Roman" w:cs="Times New Roman" w:ascii="Times New Roman" w:hAnsi="Times New Roman"/>
                <w:bCs/>
                <w:color w:val="000000"/>
                <w:kern w:val="0"/>
                <w:sz w:val="26"/>
                <w:szCs w:val="26"/>
                <w:lang w:val="uk-UA" w:eastAsia="ru-RU" w:bidi="ar-SA"/>
              </w:rPr>
              <w:t>Офіційно започатковано нове партнерство: укладено Угоду про побратимство між містами Луцьк і Вюрцбург (Федеративна Республіка Німеччина) від 04.12.2024.</w:t>
            </w:r>
          </w:p>
          <w:p>
            <w:pPr>
              <w:pStyle w:val="Normal"/>
              <w:widowControl w:val="false"/>
              <w:tabs>
                <w:tab w:val="clear" w:pos="720"/>
                <w:tab w:val="left" w:pos="576" w:leader="none"/>
              </w:tabs>
              <w:ind w:firstLine="567"/>
              <w:jc w:val="both"/>
              <w:rPr>
                <w:rFonts w:ascii="Times New Roman" w:hAnsi="Times New Roman" w:eastAsia="Times New Roman" w:cs="Times New Roman"/>
                <w:bCs/>
                <w:color w:val="000000"/>
                <w:kern w:val="0"/>
                <w:sz w:val="26"/>
                <w:szCs w:val="26"/>
                <w:lang w:val="uk-UA" w:bidi="ar-SA"/>
              </w:rPr>
            </w:pPr>
            <w:r>
              <w:rPr>
                <w:rFonts w:eastAsia="Times New Roman" w:cs="Times New Roman" w:ascii="Times New Roman" w:hAnsi="Times New Roman"/>
                <w:bCs/>
                <w:color w:val="000000"/>
                <w:kern w:val="0"/>
                <w:sz w:val="26"/>
                <w:szCs w:val="26"/>
                <w:lang w:val="uk-UA" w:bidi="ar-SA"/>
              </w:rPr>
              <w:t>Розпочато співпрацю з комуною Пітео (Королівство Швеція) з метою реалізації проєкту на тему молодіжної політики.</w:t>
            </w:r>
          </w:p>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bCs/>
                <w:color w:val="000000"/>
                <w:kern w:val="0"/>
                <w:sz w:val="26"/>
                <w:szCs w:val="26"/>
                <w:lang w:val="uk-UA" w:bidi="ar-SA"/>
              </w:rPr>
              <w:t>За потреби надається методична та організаційна підтримка виконавчим органам міської ради у здійсненні міждержавних зв’язків, забезпечується офіційна ділова комунікація з дипломатичними представництвами іноземних держав і міжнародних організацій в Україні.</w:t>
            </w:r>
          </w:p>
        </w:tc>
      </w:tr>
      <w:tr>
        <w:trPr>
          <w:trHeight w:val="453" w:hRule="atLeast"/>
        </w:trPr>
        <w:tc>
          <w:tcPr>
            <w:tcW w:w="61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915"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інформаційно-просвітницьких заходів до Дня Європи в Луцькій міській територіальній громаді, в тому числі за участі запрошених делегацій із дружніх і партнерських міст з-за кордону.</w:t>
            </w:r>
          </w:p>
        </w:tc>
        <w:tc>
          <w:tcPr>
            <w:tcW w:w="1060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Протягом </w:t>
            </w:r>
            <w:r>
              <w:rPr>
                <w:rFonts w:eastAsia="Times New Roman" w:cs="Times New Roman" w:ascii="Times New Roman" w:hAnsi="Times New Roman"/>
                <w:bCs/>
                <w:color w:val="000000"/>
                <w:kern w:val="0"/>
                <w:sz w:val="26"/>
                <w:szCs w:val="26"/>
                <w:lang w:val="uk-UA" w:bidi="ar-SA"/>
              </w:rPr>
              <w:t>9-26 </w:t>
            </w:r>
            <w:r>
              <w:rPr>
                <w:rFonts w:cs="Times New Roman" w:ascii="Times New Roman" w:hAnsi="Times New Roman"/>
                <w:color w:val="000000"/>
                <w:sz w:val="26"/>
                <w:szCs w:val="26"/>
                <w:lang w:val="uk-UA"/>
              </w:rPr>
              <w:t xml:space="preserve">травня 2024 року проведено призову онлайн-вікторину </w:t>
            </w:r>
            <w:r>
              <w:rPr>
                <w:rFonts w:eastAsia="Times New Roman" w:cs="Times New Roman" w:ascii="Times New Roman" w:hAnsi="Times New Roman"/>
                <w:bCs/>
                <w:color w:val="000000"/>
                <w:kern w:val="0"/>
                <w:sz w:val="26"/>
                <w:szCs w:val="26"/>
                <w:lang w:val="uk-UA" w:bidi="ar-SA"/>
              </w:rPr>
              <w:t xml:space="preserve">до Дня Європи </w:t>
            </w:r>
            <w:r>
              <w:rPr>
                <w:rFonts w:cs="Times New Roman" w:ascii="Times New Roman" w:hAnsi="Times New Roman"/>
                <w:color w:val="000000"/>
                <w:sz w:val="26"/>
                <w:szCs w:val="26"/>
                <w:lang w:val="uk-UA"/>
              </w:rPr>
              <w:t xml:space="preserve">про екологічні цінності ЄС. Участь у вікторині взяло 288 осіб, </w:t>
            </w:r>
            <w:r>
              <w:rPr>
                <w:rFonts w:eastAsia="Times New Roman" w:cs="Times New Roman" w:ascii="Times New Roman" w:hAnsi="Times New Roman"/>
                <w:bCs/>
                <w:color w:val="000000"/>
                <w:kern w:val="0"/>
                <w:sz w:val="26"/>
                <w:szCs w:val="26"/>
                <w:lang w:val="uk-UA" w:bidi="ar-SA"/>
              </w:rPr>
              <w:t xml:space="preserve">переможцями стали </w:t>
            </w:r>
            <w:r>
              <w:rPr>
                <w:rFonts w:cs="Times New Roman" w:ascii="Times New Roman" w:hAnsi="Times New Roman"/>
                <w:color w:val="000000"/>
                <w:sz w:val="26"/>
                <w:szCs w:val="26"/>
                <w:lang w:val="uk-UA"/>
              </w:rPr>
              <w:t xml:space="preserve">47 осіб, </w:t>
            </w:r>
            <w:r>
              <w:rPr>
                <w:rFonts w:eastAsia="Times New Roman" w:cs="Times New Roman" w:ascii="Times New Roman" w:hAnsi="Times New Roman"/>
                <w:bCs/>
                <w:color w:val="000000"/>
                <w:kern w:val="0"/>
                <w:sz w:val="26"/>
                <w:szCs w:val="26"/>
                <w:lang w:val="uk-UA" w:bidi="ar-SA"/>
              </w:rPr>
              <w:t>які отримали тематичні подарунки: екоторби, термочашки, наліпки, торбинки для овочів і фруктів, закуплені в межах міжнародного проєкту.</w:t>
            </w:r>
          </w:p>
        </w:tc>
      </w:tr>
      <w:tr>
        <w:trPr>
          <w:trHeight w:val="3120" w:hRule="atLeast"/>
        </w:trPr>
        <w:tc>
          <w:tcPr>
            <w:tcW w:w="61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915"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Розповсюдження інформації серед потенційних учасників грантових програм (закладів освіти, охорони здоров’я, підприємств житлово-комунального господарства, громадських організацій, представників бізнесу тощо) про актуальні грантові конкурси, які проводять донорські організації.</w:t>
            </w:r>
          </w:p>
        </w:tc>
        <w:tc>
          <w:tcPr>
            <w:tcW w:w="1060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bCs/>
                <w:color w:val="000000"/>
                <w:kern w:val="0"/>
                <w:sz w:val="26"/>
                <w:szCs w:val="26"/>
                <w:lang w:val="uk-UA" w:bidi="ar-SA"/>
              </w:rPr>
              <w:t xml:space="preserve">Здійснюється </w:t>
            </w:r>
            <w:r>
              <w:rPr>
                <w:rFonts w:ascii="Times New Roman" w:hAnsi="Times New Roman"/>
                <w:color w:val="000000"/>
                <w:sz w:val="26"/>
                <w:szCs w:val="26"/>
                <w:lang w:val="uk-UA"/>
              </w:rPr>
              <w:t xml:space="preserve">регулярний моніторинг інформаційних ресурсів </w:t>
            </w:r>
            <w:r>
              <w:rPr>
                <w:rFonts w:eastAsia="Times New Roman" w:cs="Times New Roman" w:ascii="Times New Roman" w:hAnsi="Times New Roman"/>
                <w:bCs/>
                <w:color w:val="000000"/>
                <w:kern w:val="0"/>
                <w:sz w:val="26"/>
                <w:szCs w:val="26"/>
                <w:lang w:val="uk-UA" w:bidi="ar-SA"/>
              </w:rPr>
              <w:t xml:space="preserve">щодо </w:t>
            </w:r>
            <w:r>
              <w:rPr>
                <w:rFonts w:ascii="Times New Roman" w:hAnsi="Times New Roman"/>
                <w:color w:val="000000"/>
                <w:sz w:val="26"/>
                <w:szCs w:val="26"/>
                <w:lang w:val="uk-UA"/>
              </w:rPr>
              <w:t xml:space="preserve">актуальних конкурсів, які </w:t>
            </w:r>
            <w:r>
              <w:rPr>
                <w:rFonts w:eastAsia="Times New Roman" w:cs="Times New Roman" w:ascii="Times New Roman" w:hAnsi="Times New Roman"/>
                <w:bCs/>
                <w:color w:val="000000"/>
                <w:kern w:val="0"/>
                <w:sz w:val="26"/>
                <w:szCs w:val="26"/>
                <w:lang w:val="uk-UA" w:bidi="ar-SA"/>
              </w:rPr>
              <w:t>оголошують</w:t>
            </w:r>
            <w:r>
              <w:rPr>
                <w:rFonts w:ascii="Times New Roman" w:hAnsi="Times New Roman"/>
                <w:color w:val="000000"/>
                <w:sz w:val="26"/>
                <w:szCs w:val="26"/>
                <w:lang w:val="uk-UA"/>
              </w:rPr>
              <w:t xml:space="preserve"> донорські організації.</w:t>
            </w:r>
          </w:p>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bCs/>
                <w:color w:val="000000"/>
                <w:kern w:val="0"/>
                <w:sz w:val="26"/>
                <w:szCs w:val="26"/>
                <w:lang w:val="uk-UA" w:bidi="ar-SA"/>
              </w:rPr>
              <w:t>Проводиться</w:t>
            </w:r>
            <w:r>
              <w:rPr>
                <w:rFonts w:cs="Times New Roman" w:ascii="Times New Roman" w:hAnsi="Times New Roman"/>
                <w:color w:val="000000"/>
                <w:sz w:val="26"/>
                <w:szCs w:val="26"/>
                <w:lang w:val="uk-UA"/>
              </w:rPr>
              <w:t xml:space="preserve"> інформування потенційних учасників грантових програм (виконавчих органів міської ради, закладів освіти, охорони здоров’я, підприємств житлово-комунального господарства, громадських організацій, представників бізнесу тощо) шляхом надсилання інформаційних листів та електронної розсилки, поширення інформації на сторінці управління міжнародного співробітництва та проектної діяльності </w:t>
            </w:r>
            <w:r>
              <w:rPr>
                <w:rFonts w:eastAsia="Times New Roman" w:cs="Times New Roman" w:ascii="Times New Roman" w:hAnsi="Times New Roman"/>
                <w:bCs/>
                <w:color w:val="000000"/>
                <w:kern w:val="0"/>
                <w:sz w:val="26"/>
                <w:szCs w:val="26"/>
                <w:lang w:val="uk-UA" w:bidi="ar-SA"/>
              </w:rPr>
              <w:t>в</w:t>
            </w:r>
            <w:r>
              <w:rPr>
                <w:rFonts w:cs="Times New Roman" w:ascii="Times New Roman" w:hAnsi="Times New Roman"/>
                <w:color w:val="000000"/>
                <w:sz w:val="26"/>
                <w:szCs w:val="26"/>
                <w:lang w:val="uk-UA"/>
              </w:rPr>
              <w:t xml:space="preserve"> мережі Facebook.</w:t>
            </w:r>
          </w:p>
        </w:tc>
      </w:tr>
      <w:tr>
        <w:trPr>
          <w:trHeight w:val="4365" w:hRule="atLeast"/>
        </w:trPr>
        <w:tc>
          <w:tcPr>
            <w:tcW w:w="61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915"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Здійснення комунікації з міжнародними партнерами з метою залучення міжнародної технічної допомоги та отримання гуманітарної допомоги </w:t>
            </w:r>
            <w:bookmarkStart w:id="10" w:name="__DdeLink__4702_267061492"/>
            <w:r>
              <w:rPr>
                <w:rFonts w:cs="Times New Roman" w:ascii="Times New Roman" w:hAnsi="Times New Roman"/>
                <w:color w:val="000000"/>
                <w:sz w:val="26"/>
                <w:szCs w:val="26"/>
                <w:lang w:val="uk-UA"/>
              </w:rPr>
              <w:t xml:space="preserve">для потреб Луцької міської територіальної громади, внутрішньо переміщених осіб, які проживають у громаді, </w:t>
            </w:r>
            <w:bookmarkStart w:id="11" w:name="__DdeLink__414_32346282722"/>
            <w:r>
              <w:rPr>
                <w:rFonts w:cs="Times New Roman" w:ascii="Times New Roman" w:hAnsi="Times New Roman"/>
                <w:color w:val="000000"/>
                <w:sz w:val="26"/>
                <w:szCs w:val="26"/>
                <w:lang w:val="uk-UA"/>
              </w:rPr>
              <w:t>Збройних сил України</w:t>
            </w:r>
            <w:bookmarkEnd w:id="11"/>
            <w:r>
              <w:rPr>
                <w:rFonts w:cs="Times New Roman" w:ascii="Times New Roman" w:hAnsi="Times New Roman"/>
                <w:color w:val="000000"/>
                <w:sz w:val="26"/>
                <w:szCs w:val="26"/>
                <w:lang w:val="uk-UA"/>
              </w:rPr>
              <w:t>,</w:t>
            </w:r>
            <w:bookmarkEnd w:id="10"/>
            <w:r>
              <w:rPr>
                <w:rFonts w:cs="Times New Roman" w:ascii="Times New Roman" w:hAnsi="Times New Roman"/>
                <w:color w:val="000000"/>
                <w:sz w:val="26"/>
                <w:szCs w:val="26"/>
                <w:lang w:val="uk-UA"/>
              </w:rPr>
              <w:t xml:space="preserve"> а також організаційний супровід для її перевезення та доставки в Луцьку міську територіальну громаду.</w:t>
            </w:r>
          </w:p>
        </w:tc>
        <w:tc>
          <w:tcPr>
            <w:tcW w:w="1060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bCs/>
                <w:color w:val="000000"/>
                <w:kern w:val="0"/>
                <w:sz w:val="26"/>
                <w:szCs w:val="26"/>
                <w:lang w:val="uk-UA" w:bidi="ar-SA"/>
              </w:rPr>
              <w:t>З метою залучення гуманітарної допомоги для потреб Луцької міської територіальної громади, ВПО та ЗСУ, за результатами ефективної</w:t>
            </w:r>
            <w:r>
              <w:rPr>
                <w:rFonts w:eastAsia="Times New Roman" w:cs="Times New Roman" w:ascii="Times New Roman" w:hAnsi="Times New Roman"/>
                <w:color w:val="000000"/>
                <w:kern w:val="0"/>
                <w:sz w:val="26"/>
                <w:szCs w:val="26"/>
                <w:lang w:val="uk-UA" w:bidi="ar-SA"/>
              </w:rPr>
              <w:t xml:space="preserve"> комунікації з містами-партнерами, залучено таку гуманітарну допомогу: </w:t>
            </w:r>
            <w:r>
              <w:rPr>
                <w:rFonts w:eastAsia="Times New Roman" w:cs="Times New Roman" w:ascii="Times New Roman" w:hAnsi="Times New Roman"/>
                <w:color w:val="000000"/>
                <w:kern w:val="0"/>
                <w:sz w:val="26"/>
                <w:szCs w:val="26"/>
                <w:lang w:val="uk-UA" w:eastAsia="ru-RU" w:bidi="ar-SA"/>
              </w:rPr>
              <w:t>три вантажі з продуктовими наборами, засобами гігієни, аптечками, термоковдрами, ліхтариками, павербанками (благодійні фонди та громади Німеччини); пожежно-рятувальний автомобіль, 50 твердопаливних печей, педіатричні ліжка, інкубатори для новонароджених, аспіратори, операційна лампа, операційний стіл, шприци, пристрій для очищення та дезінфекції медичних інструментів, набори для компресу та перев’язувальні матеріали, стерилізатор, дихальна станція (м. Швайнфурт, ФРН); пожежний автомобіль (м. Таураґе, Литовська Республіка); монітори ЕКГ, обладнання для шкільної кухні, рятувальні ноші (край Ліппе, ФРН); два вантажі з тактичними військовими аптечками, спреями проти кліщів і комарів, павербанками, їжею швидкого приготування, тактичним літнім одягом, продуктами харчування (м. Торунь, Республіка Польща).</w:t>
            </w:r>
          </w:p>
        </w:tc>
      </w:tr>
      <w:tr>
        <w:trPr>
          <w:trHeight w:val="1650" w:hRule="atLeast"/>
        </w:trPr>
        <w:tc>
          <w:tcPr>
            <w:tcW w:w="614"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915" w:type="dxa"/>
            <w:tcBorders>
              <w:left w:val="single" w:sz="4" w:space="0" w:color="000000"/>
              <w:bottom w:val="single" w:sz="4" w:space="0" w:color="000000"/>
            </w:tcBorders>
            <w:shd w:fill="auto" w:val="clear"/>
          </w:tcPr>
          <w:p>
            <w:pPr>
              <w:pStyle w:val="211"/>
              <w:widowControl w:val="false"/>
              <w:tabs>
                <w:tab w:val="clear" w:pos="720"/>
                <w:tab w:val="left" w:pos="540" w:leader="none"/>
              </w:tabs>
              <w:spacing w:lineRule="auto" w:line="240" w:before="0" w:after="0"/>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Забезпечення перекладу на англійську мову актуальної інформації з метою розміщення на англомовній версії офіційного сайту Луцької міської ради.</w:t>
            </w:r>
          </w:p>
        </w:tc>
        <w:tc>
          <w:tcPr>
            <w:tcW w:w="10604"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Здійснюється переклад </w:t>
            </w:r>
            <w:r>
              <w:rPr>
                <w:rFonts w:cs="Times New Roman" w:ascii="Times New Roman" w:hAnsi="Times New Roman"/>
                <w:bCs/>
                <w:color w:val="000000"/>
                <w:sz w:val="26"/>
                <w:szCs w:val="26"/>
                <w:lang w:val="uk-UA"/>
              </w:rPr>
              <w:t xml:space="preserve">на англійську мову актуальної інформації </w:t>
            </w:r>
            <w:r>
              <w:rPr>
                <w:rFonts w:eastAsia="Times New Roman" w:cs="Times New Roman" w:ascii="Times New Roman" w:hAnsi="Times New Roman"/>
                <w:bCs/>
                <w:color w:val="000000"/>
                <w:kern w:val="0"/>
                <w:sz w:val="26"/>
                <w:szCs w:val="26"/>
                <w:lang w:val="uk-UA" w:bidi="ar-SA"/>
              </w:rPr>
              <w:t xml:space="preserve">для </w:t>
            </w:r>
            <w:r>
              <w:rPr>
                <w:rFonts w:cs="Times New Roman" w:ascii="Times New Roman" w:hAnsi="Times New Roman"/>
                <w:bCs/>
                <w:color w:val="000000"/>
                <w:sz w:val="26"/>
                <w:szCs w:val="26"/>
                <w:lang w:val="uk-UA"/>
              </w:rPr>
              <w:t>розміщення на англомовній версії офіційного сайту Луцької міської ради.</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3.1.9. Система надання адміністративних послуг. Електронне урядування.</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08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38"/>
        <w:gridCol w:w="4206"/>
        <w:gridCol w:w="10239"/>
      </w:tblGrid>
      <w:tr>
        <w:trPr>
          <w:trHeight w:val="615" w:hRule="atLeast"/>
        </w:trPr>
        <w:tc>
          <w:tcPr>
            <w:tcW w:w="638"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4206"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2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1590"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Спрощення процедур надання адміністративних послуг місцевого значення та переведення їх онлайн.</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pPr>
            <w:r>
              <w:rPr>
                <w:rFonts w:eastAsia="Calibri" w:cs="Times New Roman" w:ascii="Times New Roman" w:hAnsi="Times New Roman"/>
                <w:color w:val="000000"/>
                <w:sz w:val="26"/>
                <w:szCs w:val="26"/>
                <w:lang w:val="uk-UA"/>
              </w:rPr>
              <w:t>У рамках реалізації українсько-швейцарської Програми «Електронне урядування задля підзвітності влади та участі громади» (Програма EGAP) створено та функціонує портал ЦНАП м. Луцька (</w:t>
            </w:r>
            <w:hyperlink r:id="rId13">
              <w:r>
                <w:rPr>
                  <w:rFonts w:eastAsia="Calibri" w:cs="Times New Roman" w:ascii="Times New Roman" w:hAnsi="Times New Roman"/>
                  <w:color w:val="000000"/>
                  <w:sz w:val="26"/>
                  <w:szCs w:val="26"/>
                  <w:lang w:val="uk-UA"/>
                </w:rPr>
                <w:t>https://cnap.lutskrada.gov.ua</w:t>
              </w:r>
            </w:hyperlink>
            <w:r>
              <w:rPr>
                <w:rFonts w:eastAsia="Calibri" w:cs="Times New Roman" w:ascii="Times New Roman" w:hAnsi="Times New Roman"/>
                <w:color w:val="000000"/>
                <w:sz w:val="26"/>
                <w:szCs w:val="26"/>
                <w:lang w:val="uk-UA"/>
              </w:rPr>
              <w:t>), який інтегрований з порталом державних послуг «Дія» та дозволяє отримувати електронні послуги фізичним та юридичним особам.</w:t>
            </w:r>
          </w:p>
          <w:p>
            <w:pPr>
              <w:pStyle w:val="Normal"/>
              <w:widowControl w:val="false"/>
              <w:ind w:firstLine="567"/>
              <w:jc w:val="both"/>
              <w:rPr>
                <w:rFonts w:ascii="Times New Roman" w:hAnsi="Times New Roman" w:eastAsia="Calibri" w:cs="Times New Roman"/>
                <w:color w:val="000000"/>
                <w:sz w:val="26"/>
                <w:szCs w:val="26"/>
                <w:lang w:val="uk-UA"/>
              </w:rPr>
            </w:pPr>
            <w:r>
              <w:rPr>
                <w:rFonts w:eastAsia="Calibri" w:cs="Times New Roman" w:ascii="Times New Roman" w:hAnsi="Times New Roman"/>
                <w:color w:val="000000"/>
                <w:sz w:val="26"/>
                <w:szCs w:val="26"/>
                <w:lang w:val="uk-UA"/>
              </w:rPr>
              <w:t>В приміщенні департаменту ЦНАП функціонує вільне робоче місце для відвідувачів, яке створене для замовлення електронних адміністративних послуг.</w:t>
            </w:r>
          </w:p>
        </w:tc>
      </w:tr>
      <w:tr>
        <w:trPr>
          <w:trHeight w:val="1257"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spacing w:lineRule="auto" w:line="24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w:t>
            </w:r>
            <w:r>
              <w:rPr>
                <w:rFonts w:cs="Times New Roman" w:ascii="Times New Roman" w:hAnsi="Times New Roman"/>
                <w:color w:val="000000"/>
                <w:sz w:val="26"/>
                <w:szCs w:val="26"/>
                <w:lang w:val="uk-UA" w:eastAsia="uk-UA"/>
              </w:rPr>
              <w:t>птимізація процедур отримання адміністративних послуг за допомогою розширення спектру комплексних послуг за життєвими подіями та «швидких» послуг, які надаються за одне звернення.</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z w:val="26"/>
                <w:szCs w:val="26"/>
                <w:lang w:val="uk-UA"/>
              </w:rPr>
              <w:t>Працюючи над підвищенням якості надання публічних послуг та забезпеченням їх територіальної доступності департаментом «Центр надання адміністративних послуг у місті Луцьку» забезпечено постійне оновлення переліку адміністративних послуг, а також функціонування двох філій в густонаселених районах міста та п’яти віддалених робочих місць у визначених населених пунктах Луцької територіальної громади з наданням адміністраторами максимально можливого спектру адмінпослуг.</w:t>
            </w:r>
          </w:p>
        </w:tc>
      </w:tr>
      <w:tr>
        <w:trPr>
          <w:trHeight w:val="825"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spacing w:lineRule="auto" w:line="24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eastAsia="uk-UA"/>
              </w:rPr>
              <w:t>П</w:t>
            </w:r>
            <w:r>
              <w:rPr>
                <w:rFonts w:cs="Times New Roman" w:ascii="Times New Roman" w:hAnsi="Times New Roman"/>
                <w:color w:val="000000"/>
                <w:sz w:val="26"/>
                <w:szCs w:val="26"/>
                <w:lang w:val="uk-UA"/>
              </w:rPr>
              <w:t>очаток надання адміністративних послуг з оформлення біометричних документів у філії № 1 департаменту ЦНАП.</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pacing w:lineRule="auto" w:line="240"/>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rPr>
              <w:t xml:space="preserve">Реалізовано надання послуг з оформлення біометричних документів у філії № 1 департаменту ЦНАП </w:t>
            </w:r>
            <w:r>
              <w:rPr>
                <w:rFonts w:ascii="Times New Roman" w:hAnsi="Times New Roman"/>
                <w:b w:val="false"/>
                <w:i w:val="false"/>
                <w:caps w:val="false"/>
                <w:smallCaps w:val="false"/>
                <w:color w:val="000000"/>
                <w:spacing w:val="0"/>
                <w:sz w:val="26"/>
                <w:szCs w:val="26"/>
                <w:lang w:val="uk-UA"/>
              </w:rPr>
              <w:t>(просп. Соборності, 18)</w:t>
            </w:r>
            <w:r>
              <w:rPr>
                <w:rFonts w:eastAsia="Times New Roman" w:cs="Times New Roman" w:ascii="Times New Roman" w:hAnsi="Times New Roman"/>
                <w:color w:val="000000"/>
                <w:sz w:val="26"/>
                <w:szCs w:val="26"/>
                <w:lang w:val="uk-UA"/>
              </w:rPr>
              <w:t>.</w:t>
            </w:r>
          </w:p>
        </w:tc>
      </w:tr>
      <w:tr>
        <w:trPr>
          <w:trHeight w:val="364" w:hRule="atLeast"/>
        </w:trPr>
        <w:tc>
          <w:tcPr>
            <w:tcW w:w="63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4206"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Початок надання послуги щодо складання теоретичного іспиту для отримання водійського посвідчення.</w:t>
            </w:r>
          </w:p>
        </w:tc>
        <w:tc>
          <w:tcPr>
            <w:tcW w:w="10239"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rPr>
              <w:t>Надання зазначених послуг потребує облаштування спеціального кабінету та встановлення обладнання. Через відсутність необхідного обладнання та затверджених вимог до облаштування такого кабінету, надання послуги у 2024 році не було реалізовано.</w:t>
            </w:r>
          </w:p>
        </w:tc>
      </w:tr>
      <w:tr>
        <w:trPr>
          <w:trHeight w:val="1006" w:hRule="atLeast"/>
        </w:trPr>
        <w:tc>
          <w:tcPr>
            <w:tcW w:w="63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4206"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Початок надання окремих адміністративних послуг Державної податкової служби України.</w:t>
            </w:r>
          </w:p>
        </w:tc>
        <w:tc>
          <w:tcPr>
            <w:tcW w:w="10239"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z w:val="26"/>
                <w:szCs w:val="26"/>
                <w:lang w:val="uk-UA"/>
              </w:rPr>
              <w:t>Підписано меморандум про співпрацю з Головним управлінням ДПС у Волинській області. Надання послуг заплановано розпочати у 2025 році.</w:t>
            </w:r>
          </w:p>
        </w:tc>
      </w:tr>
      <w:tr>
        <w:trPr>
          <w:trHeight w:val="1408"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Організація надання комплексу послуг ветеранам та членам їх родин для забезпечення якісного сервісу з реалізації їх прав, а також надання вичерпних консультацій в онлайн та офлайн-форматах.</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z w:val="26"/>
                <w:szCs w:val="26"/>
                <w:lang w:val="uk-UA"/>
              </w:rPr>
              <w:t>Департамент ЦНАП у тісній взаємодії з департаментом з питань ветеранської політики та іншими суб’єктами надання публічних послуг працює над створенням комплексного підходу щодо обслуговування ветеранів війни та членів їх родин. Проводяться заходи щодо отримання ветеранами максимального спектру послуг протягом одного візиту незалежно від суб’єкта надання таких послуг. Функціонує віддалене робоче місце адміністратора департаменту ЦНАП у КП “Медичний центр реабілітації учасників бойових дій Луцької міської територіальної громади”.</w:t>
            </w:r>
          </w:p>
        </w:tc>
      </w:tr>
      <w:tr>
        <w:trPr>
          <w:trHeight w:val="675"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Моніторинг якості надання адміністративних послуг.</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z w:val="26"/>
                <w:szCs w:val="26"/>
                <w:lang w:val="uk-UA"/>
              </w:rPr>
              <w:t>Департамент ЦНАП спільно із суб’єктами надання адміністративних послуг постійно працює над підвищенням якості надання адмінпослуг громадянам. З цією метою, ЦНАП підключено до загальнодержавної системи моніторингу якості наданих послуг Міністерства цифрової трансформації.</w:t>
            </w:r>
          </w:p>
        </w:tc>
      </w:tr>
      <w:tr>
        <w:trPr>
          <w:trHeight w:val="453"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Популяризація комунікаційних каналів для налагодження всебічного діалогу з жителями громади, зокрема що належать до програмного забезпечення «Visual Service», вдосконалення процесів роботи контакт-центру.</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Продовжується робота зі зверненнями громад</w:t>
            </w:r>
            <w:r>
              <w:rPr>
                <w:rFonts w:eastAsia="Calibri" w:cs="Times New Roman" w:ascii="Times New Roman" w:hAnsi="Times New Roman"/>
                <w:color w:val="000000"/>
                <w:kern w:val="0"/>
                <w:sz w:val="26"/>
                <w:szCs w:val="26"/>
                <w:shd w:fill="auto" w:val="clear"/>
                <w:lang w:val="uk-UA" w:eastAsia="en-US" w:bidi="ar-SA"/>
              </w:rPr>
              <w:t xml:space="preserve">ян, що надходять у </w:t>
            </w:r>
            <w:r>
              <w:rPr>
                <w:rFonts w:eastAsia="Calibri" w:cs="Times New Roman" w:ascii="Times New Roman" w:hAnsi="Times New Roman"/>
                <w:color w:val="000000"/>
                <w:kern w:val="0"/>
                <w:sz w:val="26"/>
                <w:szCs w:val="26"/>
                <w:lang w:val="uk-UA" w:eastAsia="en-US" w:bidi="ar-SA"/>
              </w:rPr>
              <w:t>відділ комунікацій «15-80». Для забезпечення їх оперативного всебічного розгляду та вирішення порушених питань використовується програмне забезпечення «Visual Service». Наявність зазначеної програми дозволила розширити можливості комунікацій з мешканцями територіальної громади. Відтак, з’явилась додаткова можливість реєстрації звернень на порталі та в мобільному додатку.</w:t>
            </w:r>
          </w:p>
          <w:p>
            <w:pPr>
              <w:pStyle w:val="Normal"/>
              <w:widowControl w:val="false"/>
              <w:tabs>
                <w:tab w:val="clear" w:pos="720"/>
                <w:tab w:val="left" w:pos="6954" w:leader="none"/>
              </w:tabs>
              <w:ind w:firstLine="567"/>
              <w:jc w:val="both"/>
              <w:rPr>
                <w:rFonts w:ascii="Times New Roman" w:hAnsi="Times New Roman"/>
                <w:color w:val="000000"/>
                <w:sz w:val="26"/>
                <w:szCs w:val="26"/>
                <w:lang w:val="uk-UA"/>
              </w:rPr>
            </w:pPr>
            <w:r>
              <w:rPr>
                <w:rFonts w:eastAsia="Calibri" w:ascii="Times New Roman" w:hAnsi="Times New Roman"/>
                <w:color w:val="000000"/>
                <w:kern w:val="0"/>
                <w:sz w:val="26"/>
                <w:szCs w:val="26"/>
                <w:lang w:val="uk-UA" w:eastAsia="en-US" w:bidi="ar-SA"/>
              </w:rPr>
              <w:t>Для зручного користування сервісом контакт-центру постійно відбувається оновлення програми контакт-центру, що зменшує час реєстрації заявок та їх опрацювання, покращений інтерфейс для можливості операторів працювати з ноутбуками. На головну сторінку вебверсії користувачів додано статистику звернень. Спільно з громадськими організаціями залучаються комунікаційники для інформування громадян щодо сервісів, які можуть використовуватись мешканцями для комунікації з міською владою.</w:t>
            </w:r>
          </w:p>
        </w:tc>
      </w:tr>
      <w:tr>
        <w:trPr>
          <w:trHeight w:val="2474"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w:t>
            </w:r>
            <w:r>
              <w:rPr>
                <w:rFonts w:cs="Times New Roman" w:ascii="Times New Roman" w:hAnsi="Times New Roman"/>
                <w:color w:val="000000"/>
                <w:sz w:val="26"/>
                <w:szCs w:val="26"/>
                <w:lang w:val="uk-UA" w:eastAsia="uk-UA"/>
              </w:rPr>
              <w:t>творення єдиного інформаційно-телекомунікаційного простору виконавчих органів міської ради, установ, організацій, закладів, які беруть участь у процесах життєдіяльності громади, шляхом застосування сучасних технологій обміну інформацією.</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Особливо важливо підтримувати надійний Інтернет-зв’язок в умовах воєнного стану. Виконавчі органи міської ради, </w:t>
            </w:r>
            <w:r>
              <w:rPr>
                <w:rFonts w:cs="Times New Roman" w:ascii="Times New Roman" w:hAnsi="Times New Roman"/>
                <w:color w:val="000000"/>
                <w:sz w:val="26"/>
                <w:szCs w:val="26"/>
                <w:lang w:val="uk-UA" w:eastAsia="uk-UA"/>
              </w:rPr>
              <w:t>установи, організації та заклади, які беруть участь у процесах життєдіяльності громади,</w:t>
            </w:r>
            <w:r>
              <w:rPr>
                <w:rFonts w:eastAsia="Calibri" w:cs="Times New Roman" w:ascii="Times New Roman" w:hAnsi="Times New Roman"/>
                <w:color w:val="000000"/>
                <w:kern w:val="0"/>
                <w:sz w:val="26"/>
                <w:szCs w:val="26"/>
                <w:lang w:val="uk-UA" w:eastAsia="en-US" w:bidi="ar-SA"/>
              </w:rPr>
              <w:t xml:space="preserve"> забезпечені надійними каналами Інтернет-зв’язку, що дає можливість працювати із загальними ресурсами та сервісами.</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Офіційний портал Луцької міської ради має інформаційні складові для допомоги внутрішньо переміщеним особам: рубрики “Житло для біженців”, “Юридичний порадник для ВПО”, “Програма “ВідновиДІМ”. Для підтримки волонтерського руху створений розділ “Волонтерство”.</w:t>
            </w:r>
          </w:p>
          <w:p>
            <w:pPr>
              <w:pStyle w:val="Normal"/>
              <w:widowControl w:val="false"/>
              <w:ind w:firstLine="567"/>
              <w:jc w:val="both"/>
              <w:rPr>
                <w:rFonts w:ascii="Times New Roman" w:hAnsi="Times New Roman" w:eastAsia="Calibri"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Захист інформації стає пріоритетним напрямком в умовах воєнного стану. Застосування сучасних засобів, а саме мережного екрану Fortinet, запобігає втраті інформації та забезпечує постійний моніторинг мережних ресурсів.</w:t>
            </w:r>
          </w:p>
        </w:tc>
      </w:tr>
      <w:tr>
        <w:trPr>
          <w:trHeight w:val="453"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Сприяння впровадженню засобів забезпечення віддаленого доступу до відкритої інформації.</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Проводиться постійне вдосконалення наповнення офіційного сайту Луцької міської ради, для проведення опитувань, консультацій, обговорень. Платформа електронної демократії «е-DEM» надає розширені можливості мешканцям громади брати участь у прийнятті окремих важливих рішень, що стосуються розвитку громади. За 2024 рік було проведено 11 консультацій з громадськістю, 5 опитувань та 2 обговорення. Здійснюється технічна підтримка та оновлення сайту для інформування громадян.</w:t>
            </w:r>
          </w:p>
        </w:tc>
      </w:tr>
      <w:tr>
        <w:trPr>
          <w:trHeight w:val="1689"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Сприяння спрощенню інформування про діяльність виконавчих органів Луцької міської ради та наданню електронних послуг із застосуванням сучасних технологій.</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Розділи офіційного сайту Луцької міської ради “Міська влада” та “Міська рада” вміщують всю інформацію щодо діяльності виконавчих органів міської ради та депутатського корпусу. Розділ “Оперативна інформація” надає можливість ознайомлення з основними подіями, що відбуваються в громаді. Розділ “Онлайн” вміщує записи всіх засідань сесій міської ради, її постійних комісій та виконавчого комітету.</w:t>
            </w:r>
          </w:p>
          <w:p>
            <w:pPr>
              <w:pStyle w:val="Normal"/>
              <w:widowControl w:val="false"/>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Розділ офіційного сайту “</w:t>
            </w:r>
            <w:r>
              <w:rPr>
                <w:rFonts w:cs="Times New Roman" w:ascii="Times New Roman" w:hAnsi="Times New Roman"/>
                <w:color w:val="000000"/>
                <w:kern w:val="0"/>
                <w:sz w:val="26"/>
                <w:szCs w:val="26"/>
                <w:lang w:val="uk-UA" w:eastAsia="en-US" w:bidi="ar-SA"/>
              </w:rPr>
              <w:t>Територіальна оборона та цивільний захист населення</w:t>
            </w:r>
            <w:r>
              <w:rPr>
                <w:rFonts w:eastAsia="Calibri" w:cs="Times New Roman" w:ascii="Times New Roman" w:hAnsi="Times New Roman"/>
                <w:color w:val="000000"/>
                <w:kern w:val="0"/>
                <w:sz w:val="26"/>
                <w:szCs w:val="26"/>
                <w:lang w:val="uk-UA" w:eastAsia="en-US" w:bidi="ar-SA"/>
              </w:rPr>
              <w:t>”</w:t>
            </w:r>
            <w:r>
              <w:rPr>
                <w:rFonts w:cs="Times New Roman" w:ascii="Times New Roman" w:hAnsi="Times New Roman"/>
                <w:color w:val="000000"/>
                <w:kern w:val="0"/>
                <w:sz w:val="26"/>
                <w:szCs w:val="26"/>
                <w:lang w:val="uk-UA" w:eastAsia="en-US" w:bidi="ar-SA"/>
              </w:rPr>
              <w:t xml:space="preserve"> постійно оновлюється інформацією, яка може бути корисною під час дії воєнного стану.</w:t>
            </w:r>
          </w:p>
        </w:tc>
      </w:tr>
      <w:tr>
        <w:trPr>
          <w:trHeight w:val="453" w:hRule="atLeast"/>
        </w:trPr>
        <w:tc>
          <w:tcPr>
            <w:tcW w:w="63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12.</w:t>
            </w:r>
          </w:p>
        </w:tc>
        <w:tc>
          <w:tcPr>
            <w:tcW w:w="4206"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Використання сучасних технологій Smart city для створення цифрової інфраструктури громади.</w:t>
            </w:r>
          </w:p>
        </w:tc>
        <w:tc>
          <w:tcPr>
            <w:tcW w:w="1023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Під час воєнного стану особливо важливим стає питання налагодження стійкої, зручної та швидкої комунікації. Сучасні засоби комунікації: чат-боти, електронні сервіси, офіційний сайт, надають можливість такої комунікації. Забезпечено розсилку миттєвих повідомлень для користувачів чат-ботів “Назар” та “СВОЇ”.</w:t>
            </w:r>
          </w:p>
        </w:tc>
      </w:tr>
      <w:tr>
        <w:trPr>
          <w:trHeight w:val="453" w:hRule="atLeast"/>
        </w:trPr>
        <w:tc>
          <w:tcPr>
            <w:tcW w:w="63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13.</w:t>
            </w:r>
          </w:p>
        </w:tc>
        <w:tc>
          <w:tcPr>
            <w:tcW w:w="4206"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Застосування єдиної системи резервування даних для підвищення рівня безпеки та захисту інформації.</w:t>
            </w:r>
          </w:p>
        </w:tc>
        <w:tc>
          <w:tcPr>
            <w:tcW w:w="10239"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Для збереження даних та забезпечення надійного захисту використовується система резервування даних, налагоджений процес автоматичного створення резервних копій критичних даних. Придбано додаткове обладнання для розширення обсягу інформації, що підлягає резервному копіюванню.</w:t>
            </w:r>
          </w:p>
        </w:tc>
      </w:tr>
      <w:tr>
        <w:trPr>
          <w:trHeight w:val="453" w:hRule="atLeast"/>
        </w:trPr>
        <w:tc>
          <w:tcPr>
            <w:tcW w:w="63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14.</w:t>
            </w:r>
          </w:p>
        </w:tc>
        <w:tc>
          <w:tcPr>
            <w:tcW w:w="4206"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eastAsia="uk-UA"/>
              </w:rPr>
              <w:t>Розвиток сфери відкритих даних, сприяння залученню широкого кола зацікавлених осіб для розвитку цієї сфери.</w:t>
            </w:r>
          </w:p>
        </w:tc>
        <w:tc>
          <w:tcPr>
            <w:tcW w:w="10239"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Луцька міська рада приєдналась до Міжнародної хартії відкритих даних. Запроваджений механізм автоматичної публікації відкритих даних на Єдиному державному порталі відкритих даних з місцевого порталу.</w:t>
            </w:r>
          </w:p>
          <w:p>
            <w:pPr>
              <w:pStyle w:val="Normal"/>
              <w:widowControl w:val="false"/>
              <w:ind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У 2024 році вдруге був проведений інформаційний аудит публічної інформації, під час якого приділялася увага якості та актуальності публікації відкритих даних, розроблено рекомендації для додаткової публікації публічної інформації у вигляді відкритих даних. У зв’язку із введенням воєнного стану публікація публічної інформації у вигляді відкритих даних для деяких наборів даних була призупинена, але кількість таких наборів зменшена до двох.</w:t>
            </w:r>
          </w:p>
        </w:tc>
      </w:tr>
      <w:tr>
        <w:trPr>
          <w:trHeight w:val="453" w:hRule="atLeast"/>
        </w:trPr>
        <w:tc>
          <w:tcPr>
            <w:tcW w:w="63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15.</w:t>
            </w:r>
          </w:p>
        </w:tc>
        <w:tc>
          <w:tcPr>
            <w:tcW w:w="4206"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eastAsia="uk-UA"/>
              </w:rPr>
              <w:t>Створення освітніх матеріалів для інформаційних хабів з метою підвищення рівня обізнаності громадян у використанні електронних сервісів та інструментів електронної демократії.</w:t>
            </w:r>
          </w:p>
        </w:tc>
        <w:tc>
          <w:tcPr>
            <w:tcW w:w="10239" w:type="dxa"/>
            <w:tcBorders>
              <w:left w:val="single" w:sz="4" w:space="0" w:color="000000"/>
              <w:bottom w:val="single" w:sz="4" w:space="0" w:color="000000"/>
              <w:right w:val="single" w:sz="4" w:space="0" w:color="000000"/>
            </w:tcBorders>
            <w:shd w:fill="auto" w:val="clear"/>
          </w:tcPr>
          <w:p>
            <w:pPr>
              <w:pStyle w:val="Normal"/>
              <w:widowControl w:val="false"/>
              <w:ind w:firstLine="567"/>
              <w:rPr>
                <w:rFonts w:ascii="Times New Roman" w:hAnsi="Times New Roman" w:eastAsia="Calibri"/>
                <w:color w:val="000000"/>
                <w:kern w:val="0"/>
                <w:sz w:val="26"/>
                <w:szCs w:val="26"/>
                <w:lang w:val="uk-UA" w:eastAsia="en-US" w:bidi="ar-SA"/>
              </w:rPr>
            </w:pPr>
            <w:r>
              <w:rPr>
                <w:rFonts w:eastAsia="Calibri" w:ascii="Times New Roman" w:hAnsi="Times New Roman"/>
                <w:color w:val="000000"/>
                <w:kern w:val="0"/>
                <w:sz w:val="26"/>
                <w:szCs w:val="26"/>
                <w:lang w:val="uk-UA" w:eastAsia="en-US" w:bidi="ar-SA"/>
              </w:rPr>
              <w:t>Була надана інформація громадським організаціям для створення медіаконтенту щодо використання електронних сервісів та інструментів електронної демократії.</w:t>
            </w:r>
          </w:p>
        </w:tc>
      </w:tr>
    </w:tbl>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3.2. СТВОРЕННЯ УМОВ ДЛЯ ПІДВИЩЕННЯ КОМФОРТУ ЖИТТЯ</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3.2.1. Житлово-комунальне господарство</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35"/>
        <w:gridCol w:w="3832"/>
        <w:gridCol w:w="10666"/>
      </w:tblGrid>
      <w:tr>
        <w:trPr>
          <w:trHeight w:val="615" w:hRule="atLeast"/>
        </w:trPr>
        <w:tc>
          <w:tcPr>
            <w:tcW w:w="63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 xml:space="preserve">№ </w:t>
            </w:r>
            <w:r>
              <w:rPr>
                <w:rFonts w:cs="Times New Roman" w:ascii="Times New Roman" w:hAnsi="Times New Roman"/>
                <w:color w:val="000000"/>
                <w:sz w:val="26"/>
                <w:szCs w:val="26"/>
                <w:shd w:fill="auto" w:val="clear"/>
                <w:lang w:val="uk-UA"/>
              </w:rPr>
              <w:t>з/п</w:t>
            </w:r>
          </w:p>
        </w:tc>
        <w:tc>
          <w:tcPr>
            <w:tcW w:w="3832"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Назва заходів</w:t>
            </w:r>
          </w:p>
        </w:tc>
        <w:tc>
          <w:tcPr>
            <w:tcW w:w="1066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Стан виконання заходів</w:t>
            </w:r>
          </w:p>
        </w:tc>
      </w:tr>
      <w:tr>
        <w:trPr>
          <w:trHeight w:val="615"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Будівництво, реконструкція, поточний ремонт об'єктів вулично-дорожньої мережі.</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Роботи із поточного ремонту проведено на 295 об'єктах вулично-дорожньої мережі на суму 83 110,1 тис. грн (додаток 2).</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Виконано роботи із поточного ремонту 22 зупинок громадського транспорту на загальну суму 2 466,7 тис. грн.</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 xml:space="preserve">Проведено капітальний ремонт посадкових майданчиків зупинок громадського транспорту </w:t>
            </w:r>
            <w:r>
              <w:rPr>
                <w:rFonts w:eastAsia="NSimSun" w:cs="Arial" w:ascii="Times New Roman" w:hAnsi="Times New Roman"/>
                <w:color w:val="000000"/>
                <w:sz w:val="26"/>
                <w:szCs w:val="26"/>
                <w:shd w:fill="auto" w:val="clear"/>
                <w:lang w:val="uk-UA"/>
              </w:rPr>
              <w:t>«</w:t>
            </w:r>
            <w:r>
              <w:rPr>
                <w:rFonts w:ascii="Times New Roman" w:hAnsi="Times New Roman"/>
                <w:color w:val="000000"/>
                <w:sz w:val="26"/>
                <w:szCs w:val="26"/>
                <w:shd w:fill="auto" w:val="clear"/>
                <w:lang w:val="uk-UA"/>
              </w:rPr>
              <w:t>Гімназія № 7</w:t>
            </w:r>
            <w:r>
              <w:rPr>
                <w:rFonts w:eastAsia="NSimSun" w:cs="Arial" w:ascii="Times New Roman" w:hAnsi="Times New Roman"/>
                <w:color w:val="000000"/>
                <w:sz w:val="26"/>
                <w:szCs w:val="26"/>
                <w:shd w:fill="auto" w:val="clear"/>
                <w:lang w:val="uk-UA"/>
              </w:rPr>
              <w:t>»</w:t>
            </w:r>
            <w:r>
              <w:rPr>
                <w:rFonts w:ascii="Times New Roman" w:hAnsi="Times New Roman"/>
                <w:color w:val="000000"/>
                <w:sz w:val="26"/>
                <w:szCs w:val="26"/>
                <w:shd w:fill="auto" w:val="clear"/>
                <w:lang w:val="uk-UA"/>
              </w:rPr>
              <w:t xml:space="preserve">, «Ліцей № 5», </w:t>
            </w:r>
            <w:r>
              <w:rPr>
                <w:rFonts w:eastAsia="NSimSun" w:cs="Arial" w:ascii="Times New Roman" w:hAnsi="Times New Roman"/>
                <w:color w:val="000000"/>
                <w:sz w:val="26"/>
                <w:szCs w:val="26"/>
                <w:shd w:fill="auto" w:val="clear"/>
                <w:lang w:val="uk-UA"/>
              </w:rPr>
              <w:t>«</w:t>
            </w:r>
            <w:r>
              <w:rPr>
                <w:rFonts w:ascii="Times New Roman" w:hAnsi="Times New Roman"/>
                <w:color w:val="000000"/>
                <w:sz w:val="26"/>
                <w:szCs w:val="26"/>
                <w:shd w:fill="auto" w:val="clear"/>
                <w:lang w:val="uk-UA"/>
              </w:rPr>
              <w:t>Братський міст</w:t>
            </w:r>
            <w:r>
              <w:rPr>
                <w:rFonts w:eastAsia="NSimSun" w:cs="Arial" w:ascii="Times New Roman" w:hAnsi="Times New Roman"/>
                <w:color w:val="000000"/>
                <w:sz w:val="26"/>
                <w:szCs w:val="26"/>
                <w:shd w:fill="auto" w:val="clear"/>
                <w:lang w:val="uk-UA"/>
              </w:rPr>
              <w:t>»</w:t>
            </w:r>
            <w:r>
              <w:rPr>
                <w:rFonts w:ascii="Times New Roman" w:hAnsi="Times New Roman"/>
                <w:color w:val="000000"/>
                <w:sz w:val="26"/>
                <w:szCs w:val="26"/>
                <w:shd w:fill="auto" w:val="clear"/>
                <w:lang w:val="uk-UA"/>
              </w:rPr>
              <w:t xml:space="preserve">, «Вулиця Климчука Сергія» та </w:t>
            </w:r>
            <w:r>
              <w:rPr>
                <w:rFonts w:eastAsia="NSimSun" w:cs="Arial" w:ascii="Times New Roman" w:hAnsi="Times New Roman"/>
                <w:color w:val="000000"/>
                <w:sz w:val="26"/>
                <w:szCs w:val="26"/>
                <w:shd w:fill="auto" w:val="clear"/>
                <w:lang w:val="uk-UA"/>
              </w:rPr>
              <w:t>«</w:t>
            </w:r>
            <w:r>
              <w:rPr>
                <w:rFonts w:ascii="Times New Roman" w:hAnsi="Times New Roman"/>
                <w:color w:val="000000"/>
                <w:sz w:val="26"/>
                <w:szCs w:val="26"/>
                <w:shd w:fill="auto" w:val="clear"/>
                <w:lang w:val="uk-UA"/>
              </w:rPr>
              <w:t>Поліклініка № 1</w:t>
            </w:r>
            <w:r>
              <w:rPr>
                <w:rFonts w:eastAsia="NSimSun" w:cs="Arial" w:ascii="Times New Roman" w:hAnsi="Times New Roman"/>
                <w:color w:val="000000"/>
                <w:sz w:val="26"/>
                <w:szCs w:val="26"/>
                <w:shd w:fill="auto" w:val="clear"/>
                <w:lang w:val="uk-UA"/>
              </w:rPr>
              <w:t>»</w:t>
            </w:r>
            <w:r>
              <w:rPr>
                <w:rFonts w:ascii="Times New Roman" w:hAnsi="Times New Roman"/>
                <w:color w:val="000000"/>
                <w:sz w:val="26"/>
                <w:szCs w:val="26"/>
                <w:shd w:fill="auto" w:val="clear"/>
                <w:lang w:val="uk-UA"/>
              </w:rPr>
              <w:t xml:space="preserve"> (“Розумні зупинки”) на суму 4 309,5 тис. грн.</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Виконано роботи зі встановлення та обслуговування дорожніх знаків на суму 2 322,7 тис. грн та надано послуги з нанесення дорожньої розмітки на суму 3 004,6 тис. грн.</w:t>
            </w:r>
          </w:p>
          <w:p>
            <w:pPr>
              <w:pStyle w:val="Standard"/>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Проведено поточний ремонт шляхопроводів на просп. Перемоги та на вул. Рівненській на загальну суму 358,0 тис. грн та мостів на суму 77,3 тис. грн.</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Оплачені роботи з капітального ремонту вулиць на 5 об’єктах (</w:t>
            </w:r>
            <w:r>
              <w:rPr>
                <w:rFonts w:ascii="Times New Roman" w:hAnsi="Times New Roman"/>
                <w:color w:val="000000"/>
                <w:sz w:val="26"/>
                <w:szCs w:val="26"/>
                <w:shd w:fill="auto" w:val="clear"/>
                <w:lang w:val="uk-UA" w:eastAsia="ru-RU"/>
              </w:rPr>
              <w:t xml:space="preserve">проїзд до будинків № 16, 20 з вул. Кравчука; вул. Кривий Вал (від вул. Б.Хмельницького до вул. Набережної) (коригування); </w:t>
            </w:r>
            <w:r>
              <w:rPr>
                <w:rFonts w:ascii="Times New Roman" w:hAnsi="Times New Roman"/>
                <w:color w:val="000000"/>
                <w:sz w:val="26"/>
                <w:szCs w:val="26"/>
                <w:shd w:fill="auto" w:val="clear"/>
                <w:lang w:val="uk-UA" w:eastAsia="uk-UA"/>
              </w:rPr>
              <w:t xml:space="preserve">проїзду до будинку № 11 з вул. Грабовського; просп. Волі від вул. Шопена до Київського Майдану </w:t>
            </w:r>
            <w:r>
              <w:rPr>
                <w:rFonts w:ascii="Times New Roman" w:hAnsi="Times New Roman"/>
                <w:color w:val="000000"/>
                <w:sz w:val="26"/>
                <w:szCs w:val="26"/>
                <w:shd w:fill="auto" w:val="clear"/>
                <w:lang w:val="uk-UA" w:eastAsia="ru-RU"/>
              </w:rPr>
              <w:t>(коригування)</w:t>
            </w:r>
            <w:r>
              <w:rPr>
                <w:rFonts w:ascii="Times New Roman" w:hAnsi="Times New Roman"/>
                <w:color w:val="000000"/>
                <w:sz w:val="26"/>
                <w:szCs w:val="26"/>
                <w:shd w:fill="auto" w:val="clear"/>
                <w:lang w:val="uk-UA" w:eastAsia="uk-UA"/>
              </w:rPr>
              <w:t>; проїзду до будинків № 26, 26а з просп. Відродження (коригування)</w:t>
            </w:r>
            <w:r>
              <w:rPr>
                <w:rFonts w:ascii="Times New Roman" w:hAnsi="Times New Roman"/>
                <w:color w:val="000000"/>
                <w:sz w:val="26"/>
                <w:szCs w:val="26"/>
                <w:shd w:fill="auto" w:val="clear"/>
                <w:lang w:val="uk-UA"/>
              </w:rPr>
              <w:t>). Сума виконаних робіт разом із вартістю виготовлення проєктно-кошторисної документації та проведенням технічного нагляду становить 7 603,3 тис. грн. Площа відновлення твердого покриття – 3 598,5 м².</w:t>
            </w:r>
          </w:p>
        </w:tc>
      </w:tr>
      <w:tr>
        <w:trPr>
          <w:trHeight w:val="615"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2.</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Ремонт прибудинкових територій (за окремо визначеним переліком).</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У 2024 році проведено поточний ремонт 18 прибудинкових територій на загальну суму 11 948,0 тис. грн (на бульв. </w:t>
            </w:r>
            <w:r>
              <w:rPr>
                <w:rFonts w:ascii="Times New Roman" w:hAnsi="Times New Roman"/>
                <w:color w:val="000000"/>
                <w:sz w:val="26"/>
                <w:szCs w:val="26"/>
                <w:shd w:fill="auto" w:val="clear"/>
                <w:lang w:val="uk-UA" w:eastAsia="en-US"/>
              </w:rPr>
              <w:t xml:space="preserve">Івана Газюка, 3 (Дружби Народів); вулицях Конякіна, 7, Любомира Гузара, 20а, Гулака-Артемовського, 7, Кравчука, 9, Гетьмана Мазепи,2, Електроапаратній, 2, Конякіна, 11, 11а; на просп. Відродження, 47 в м. Луцьку. </w:t>
            </w:r>
            <w:r>
              <w:rPr>
                <w:rFonts w:ascii="Times New Roman" w:hAnsi="Times New Roman"/>
                <w:color w:val="000000"/>
                <w:sz w:val="26"/>
                <w:szCs w:val="26"/>
                <w:shd w:fill="auto" w:val="clear"/>
                <w:lang w:val="uk-UA"/>
              </w:rPr>
              <w:t>Площа відновлення твердого покриття – 6,0 тис. м².</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Здійснено капітальний ремонт чотирьох прибудинкових територій (</w:t>
            </w:r>
            <w:r>
              <w:rPr>
                <w:rFonts w:ascii="Times New Roman" w:hAnsi="Times New Roman"/>
                <w:color w:val="000000"/>
                <w:sz w:val="26"/>
                <w:szCs w:val="26"/>
                <w:shd w:fill="auto" w:val="clear"/>
                <w:lang w:val="uk-UA" w:eastAsia="ru-RU"/>
              </w:rPr>
              <w:t xml:space="preserve">вул. Рівненська, 81-87; вул. Свободи, 25, 25а, 27 </w:t>
            </w:r>
            <w:r>
              <w:rPr>
                <w:rFonts w:cs="Times New Roman" w:ascii="Times New Roman" w:hAnsi="Times New Roman"/>
                <w:color w:val="000000"/>
                <w:sz w:val="26"/>
                <w:szCs w:val="26"/>
                <w:shd w:fill="auto" w:val="clear"/>
                <w:lang w:val="uk-UA" w:eastAsia="ru-RU"/>
              </w:rPr>
              <w:t xml:space="preserve">– </w:t>
            </w:r>
            <w:r>
              <w:rPr>
                <w:rFonts w:ascii="Times New Roman" w:hAnsi="Times New Roman"/>
                <w:color w:val="000000"/>
                <w:sz w:val="26"/>
                <w:szCs w:val="26"/>
                <w:shd w:fill="auto" w:val="clear"/>
                <w:lang w:val="uk-UA" w:eastAsia="ru-RU"/>
              </w:rPr>
              <w:t>вул. Романа князя, 5, 7; вул. Рівненська, 1, 3, 5; вул. Ківерцівська, 16</w:t>
            </w:r>
            <w:r>
              <w:rPr>
                <w:rFonts w:ascii="Times New Roman" w:hAnsi="Times New Roman"/>
                <w:color w:val="000000"/>
                <w:sz w:val="26"/>
                <w:szCs w:val="26"/>
                <w:shd w:fill="auto" w:val="clear"/>
                <w:lang w:val="uk-UA"/>
              </w:rPr>
              <w:t xml:space="preserve">). </w:t>
            </w:r>
            <w:r>
              <w:rPr>
                <w:rFonts w:eastAsia="Calibri" w:ascii="Times New Roman" w:hAnsi="Times New Roman"/>
                <w:color w:val="000000"/>
                <w:sz w:val="26"/>
                <w:szCs w:val="26"/>
                <w:shd w:fill="auto" w:val="clear"/>
                <w:lang w:val="uk-UA"/>
              </w:rPr>
              <w:t xml:space="preserve">Сума виконаних робіт разом із вартістю виготовлення проєктно-кошторисної документації та проведенням технічного нагляду становить 5 490,5 тис. грн. </w:t>
            </w:r>
            <w:r>
              <w:rPr>
                <w:rFonts w:eastAsia="Calibri" w:ascii="Times New Roman" w:hAnsi="Times New Roman"/>
                <w:color w:val="000000" w:themeColor="text1"/>
                <w:sz w:val="26"/>
                <w:szCs w:val="26"/>
                <w:shd w:fill="auto" w:val="clear"/>
                <w:lang w:val="uk-UA"/>
              </w:rPr>
              <w:t>Площа відновлення твердого покриття – 2 870,8 м</w:t>
            </w:r>
            <w:r>
              <w:rPr>
                <w:rFonts w:eastAsia="Calibri" w:ascii="Times New Roman" w:hAnsi="Times New Roman"/>
                <w:color w:val="000000" w:themeColor="text1"/>
                <w:sz w:val="26"/>
                <w:szCs w:val="26"/>
                <w:shd w:fill="auto" w:val="clear"/>
                <w:vertAlign w:val="superscript"/>
                <w:lang w:val="uk-UA"/>
              </w:rPr>
              <w:t>2</w:t>
            </w:r>
            <w:r>
              <w:rPr>
                <w:rFonts w:eastAsia="Calibri" w:ascii="Times New Roman" w:hAnsi="Times New Roman"/>
                <w:color w:val="000000" w:themeColor="text1"/>
                <w:sz w:val="26"/>
                <w:szCs w:val="26"/>
                <w:shd w:fill="auto" w:val="clear"/>
                <w:lang w:val="uk-UA"/>
              </w:rPr>
              <w:t>.</w:t>
            </w:r>
          </w:p>
        </w:tc>
      </w:tr>
      <w:tr>
        <w:trPr>
          <w:trHeight w:val="760"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3.</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Будівництво та реконструкція мереж зовнішнього освітлення вулиць та об’єктів світлофорного господарства Луцької міської територіальної громади.</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Проведено реконструкцію мереж зовнішнього освітлення на вул. Ковельській (від перехрестя з вул. Набережною до меж міста) у м. Луцьку на суму 2 390,8 тис. грн, замінено 135 світильників на світлодіодні та 3,8 км кабельної мережі.</w:t>
            </w:r>
          </w:p>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Проведено будівництво світлофорних об'єктів на вул. Львівській, 50; вул. Володимирській, 48-50 та на вул. Окружній в м. Луцьку на загальну суму 2 510,6 тис. грн.</w:t>
            </w:r>
          </w:p>
        </w:tc>
      </w:tr>
      <w:tr>
        <w:trPr>
          <w:trHeight w:val="288"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4.</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Влаштування та поточний ремонт елементів безпеки (встановлення дорожніх пагорбів, напівсфер, боллардів та стовпців безпеки).</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Влаштовано засоби заспокоєння руху (дорожні пагорби) на вул. Нова та Котляревського в с. Небіжка; на вул. Молодіжній та Близнюків в с. Дачне, на просп. Відродження, 53, Соборності, 13, Молоді, 17, 17а, на вул. Світанковій, Кравчука біля будинків № 18-22 та Луцького ліцею № 26, вул. Грабовського, Гулака-Артемовського, 21, 23, Гетьмана Дорошенка в м. Луцьку, на загальну суму 1 602,5 тис. грн.</w:t>
            </w:r>
          </w:p>
        </w:tc>
      </w:tr>
      <w:tr>
        <w:trPr>
          <w:trHeight w:val="288"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5.</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Розроблення схем організації дорожнього руху Луцької міської територіальної громади.</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 xml:space="preserve">У 2024 році розроблено схеми організації дорожнього руху на вул. Глушець (на ділянці від будинку № 1 до перехрестя з вул. Парковою); на перехресті вулиць Поштова – Ковельська – Чернишевського; на перехресті вулиць Ранкова – Миколи Куделі; на вул. Мистецькій (в районі будинку № 3); на вул. Поліській в с. Княгининок Луцької міської територіальної громади; на вул. Липинського; на перехресті вулиць Олексія Шума та Гетьмана Мазепи; на вул. Володимирській в с. Великий Омеляник Луцької міської територіальної громади; на вул. Авторемонтній; на вул. Жовтневій в с. Прилуцьке Луцької міської територіальної громади; на перехресті вулиць Саперів </w:t>
            </w:r>
            <w:r>
              <w:rPr>
                <w:rFonts w:eastAsia="Times New Roman" w:cs="Times New Roman" w:ascii="Times New Roman" w:hAnsi="Times New Roman"/>
                <w:color w:val="000000"/>
                <w:sz w:val="26"/>
                <w:szCs w:val="26"/>
                <w:shd w:fill="auto" w:val="clear"/>
                <w:lang w:val="uk-UA"/>
              </w:rPr>
              <w:t>‒</w:t>
            </w:r>
            <w:r>
              <w:rPr>
                <w:rFonts w:ascii="Times New Roman" w:hAnsi="Times New Roman"/>
                <w:color w:val="000000"/>
                <w:sz w:val="26"/>
                <w:szCs w:val="26"/>
                <w:shd w:fill="auto" w:val="clear"/>
                <w:lang w:val="uk-UA"/>
              </w:rPr>
              <w:t xml:space="preserve"> Івана Огієнка та перехресті вулиць Саперів - 8-го Березня; в районі будинку № 36 на вул. Дубнівській; на перехресті вулиць Гузара Любомира – Романа князя; на перехресті вулиць Олексія Брися – Козяра Анатолія; в районі будинків № 32, 34 на просп. Перемоги; в районі будинку № 3 на вул. Січовій.</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Серед реалізованих проєктів слід виділити зміни в організації дорожнього руху на вул. Банковій на ділянці від вул. Нестора Бурчака до вул. Євгена Сверстюка (влаштування одностороннього руху) та на вул. Словацького на ділянці від вул. Шевченка до заїзду/виїзду з парковки Волинського академічного обласного українського музично-драматичного театру імені Тараса Шевченка (влаштування двостороннього руху). Вартість робіт становить 310,8 тис. грн</w:t>
            </w:r>
          </w:p>
        </w:tc>
      </w:tr>
      <w:tr>
        <w:trPr>
          <w:trHeight w:val="288"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6.</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shd w:val="clear" w:color="auto" w:fill="FFFFFF"/>
              <w:ind w:firstLine="330"/>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Санітарне утримання та озеленення проспектів, вулиць і майданів Луцької міської територіальної громади.</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cs="Times New Roman" w:ascii="Times New Roman" w:hAnsi="Times New Roman"/>
                <w:color w:val="000000"/>
                <w:sz w:val="26"/>
                <w:szCs w:val="26"/>
                <w:shd w:fill="auto" w:val="clear"/>
                <w:lang w:val="uk-UA"/>
              </w:rPr>
              <w:t xml:space="preserve">Санітарне прибирання та зимове утримання вулиць в м. Луцьку проводилось відповідно до режимів та графіків тендерних закупівель. Загальна сума витрат за 2024 рік із санітарного прибирання (проїжджа частина, тротуари, газони) склала 36 355,8 тис. грн, на зимове утримання </w:t>
            </w:r>
            <w:r>
              <w:rPr>
                <w:rFonts w:eastAsia="Times New Roman" w:cs="Times New Roman" w:ascii="Times New Roman" w:hAnsi="Times New Roman"/>
                <w:color w:val="000000"/>
                <w:sz w:val="26"/>
                <w:szCs w:val="26"/>
                <w:shd w:fill="auto" w:val="clear"/>
                <w:lang w:val="uk-UA"/>
              </w:rPr>
              <w:t>−</w:t>
            </w:r>
            <w:r>
              <w:rPr>
                <w:rFonts w:cs="Times New Roman" w:ascii="Times New Roman" w:hAnsi="Times New Roman"/>
                <w:color w:val="000000"/>
                <w:sz w:val="26"/>
                <w:szCs w:val="26"/>
                <w:shd w:fill="auto" w:val="clear"/>
                <w:lang w:val="uk-UA"/>
              </w:rPr>
              <w:t xml:space="preserve"> 13 276,4 тис. грн.</w:t>
            </w:r>
          </w:p>
        </w:tc>
      </w:tr>
      <w:tr>
        <w:trPr>
          <w:trHeight w:val="288"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7.</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shd w:val="clear" w:color="auto" w:fill="FFFFFF"/>
              <w:ind w:firstLine="330"/>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Реконструкція Алеї почесних поховань.</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Встановлено 75 пам’ятників загиблим героям на Алеї почесних поховань на міському кладовищі в с. Гаразджа загальною вартістю 11 692,8 тис. грн. Продовжувались роботи з реконструкції Алеї почесних поховань (використано 1 256,6 тис. грн коштів бюджету громади).</w:t>
            </w:r>
          </w:p>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Також за кошти бюджету громади встановлено меморіальні дошки шістьом загиблим на війні героям, а саме: Собчуку Ю. О. на просп. Молоді, 5б, Фокіну С. В. на вул. Чорновола, 2, Бессонову Ю. О. на бульв. Івана Газюка, 4, Козачуку І. О. на вул. Ветеранів, 1, Ліснійчуку В. А. на вул. Олімпійській, 22, Семенюку В. М. на просп. Соборності, 13б, загальною вартістю 50,1 тис. грн.</w:t>
            </w:r>
          </w:p>
        </w:tc>
      </w:tr>
      <w:tr>
        <w:trPr>
          <w:trHeight w:val="288" w:hRule="atLeast"/>
        </w:trPr>
        <w:tc>
          <w:tcPr>
            <w:tcW w:w="63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8.</w:t>
            </w:r>
          </w:p>
        </w:tc>
        <w:tc>
          <w:tcPr>
            <w:tcW w:w="3832" w:type="dxa"/>
            <w:tcBorders>
              <w:top w:val="single" w:sz="4" w:space="0" w:color="000000"/>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Вдосконалення системи поводження з відходами шляхом впровадження роздільного збору сміття на території Луцької міської територіальної громади. Придбання сміттєвих урн на спеціальних умовах для малозахищених верств населення.</w:t>
            </w:r>
          </w:p>
        </w:tc>
        <w:tc>
          <w:tcPr>
            <w:tcW w:w="1066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На території Луцької міської територіальної громади постійно здійснюються заходи з роздільного збору твердих побутових відходів (суха і волога фракція та пет-пляшка). На збирання та вивезення розкиданого сміття та побутових відходів витрачено 3 098,4 тис. грн.</w:t>
            </w:r>
          </w:p>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З метою забезпечення сортування побутових відходів за їх видами придбано 10 контейнерів для збору скла ємністю 1 100 </w:t>
            </w:r>
            <w:r>
              <w:rPr>
                <w:rFonts w:eastAsia="NSimSun" w:cs="Times New Roman" w:ascii="Times New Roman" w:hAnsi="Times New Roman"/>
                <w:color w:val="000000"/>
                <w:kern w:val="2"/>
                <w:sz w:val="26"/>
                <w:szCs w:val="26"/>
                <w:shd w:fill="auto" w:val="clear"/>
                <w:lang w:val="uk-UA" w:eastAsia="zh-CN" w:bidi="hi-IN"/>
              </w:rPr>
              <w:t>л</w:t>
            </w:r>
            <w:r>
              <w:rPr>
                <w:rFonts w:cs="Times New Roman" w:ascii="Times New Roman" w:hAnsi="Times New Roman"/>
                <w:color w:val="000000"/>
                <w:sz w:val="26"/>
                <w:szCs w:val="26"/>
                <w:shd w:fill="auto" w:val="clear"/>
                <w:lang w:val="uk-UA"/>
              </w:rPr>
              <w:t xml:space="preserve"> загальною вартістю 96,0 тис. грн.</w:t>
            </w:r>
          </w:p>
        </w:tc>
      </w:tr>
      <w:tr>
        <w:trPr>
          <w:trHeight w:val="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9.</w:t>
            </w:r>
          </w:p>
        </w:tc>
        <w:tc>
          <w:tcPr>
            <w:tcW w:w="3832"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Поховальна справа (утримання кладовищ, поховання одиноких громадян, чергування катафалка).</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На утримання 40 кладовищ Луцької міської територіальної громади, 3 братських могил (на вул. Теремнівській, Львівській, Василя Мойсея (меморіал)) та 3 місць увіковічення пам’яті загиблих (Гнідавська гірка, Сестринське на вул. Потебні, Єврейське на Вересневому) використано 9 000,0 тис. грн. Вартість робіт із поховання одиноких громадян склала 186,7 тис. грн.</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На цілодобове чергування автокатафалка для потреб МВ УМВС України у Волинській області витрачено 1 500,0 тис. грн.</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На видалення аварійних дерев на кладовищах Луцької міської територіальної громади витрачено 200,0 тис. грн.</w:t>
            </w:r>
          </w:p>
        </w:tc>
      </w:tr>
      <w:tr>
        <w:trPr>
          <w:trHeight w:val="1271"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10.</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330"/>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Обслуговування пляжних територій в частині благоустрою.</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Відповідно до розпорядження міського голови від 08.04.2024 № 208 «Про забезпечення охорони життя людей на воді під час літнього відпочинку» підготовлено місця масового відпочинку громадян: пляж на р. Стир та місце масового відпочинку «Теремнівські ставки» на вул. Теремнівській. Відремонтовано пляжне обладнання, укладено угоду з ДУ “Волинський обласний центр контролю та профілактики хвороб Міністерства охорони здоров’я України” на виконання лабораторних досліджень води та ґрунту, проведено дезінсекцію відкритих територій від кліщів.</w:t>
            </w:r>
          </w:p>
        </w:tc>
      </w:tr>
      <w:tr>
        <w:trPr>
          <w:trHeight w:val="484"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11.</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Утримання фонтанного господарства.</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Проведено підготовчо-профілактичні роботи та забезпечено роботу в літній період 6 фонтанів міста.</w:t>
            </w:r>
          </w:p>
        </w:tc>
      </w:tr>
      <w:tr>
        <w:trPr>
          <w:trHeight w:val="684"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12.</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Водовідведення дощових і талих вод з території Луцької міської територіальної громади.</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На забезпечення централізованого водовідведення дощових та талих вод з території міста, використано 2 848,9 тис. грн.</w:t>
            </w:r>
          </w:p>
        </w:tc>
      </w:tr>
      <w:tr>
        <w:trPr>
          <w:trHeight w:val="1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13.</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Ремонт об’єктів та елементів благоустрою Луцької міської територіальної громади.</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336"/>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Виготовлено проєктно-кошторисну документацію для 14 об’єктів благоустрою загальною вартістю 199,9 тис. грн.</w:t>
            </w:r>
          </w:p>
          <w:p>
            <w:pPr>
              <w:pStyle w:val="Normal"/>
              <w:widowControl w:val="false"/>
              <w:ind w:firstLine="336"/>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Проведено поточний ремонт об’єктів та елементів благоустрою на 30 об’єктах Луцької МТГ. Загальна сума виконаних робіт склала 2 677,1 тис. грн. Також проведено к</w:t>
            </w:r>
            <w:r>
              <w:rPr>
                <w:rFonts w:eastAsia="Times New Roman" w:cs="Times New Roman" w:ascii="Times New Roman" w:hAnsi="Times New Roman"/>
                <w:color w:val="000000"/>
                <w:kern w:val="0"/>
                <w:sz w:val="26"/>
                <w:szCs w:val="26"/>
                <w:shd w:fill="auto" w:val="clear"/>
                <w:lang w:val="uk-UA" w:bidi="ar-SA"/>
              </w:rPr>
              <w:t>апітальний ремонт контейнерних майданчиків для збору твердих побутових відходів загальною вартістю 806,4 тис. грн</w:t>
            </w:r>
            <w:r>
              <w:rPr>
                <w:rFonts w:cs="Times New Roman" w:ascii="Times New Roman" w:hAnsi="Times New Roman"/>
                <w:color w:val="000000"/>
                <w:sz w:val="26"/>
                <w:szCs w:val="26"/>
                <w:shd w:fill="auto" w:val="clear"/>
                <w:lang w:val="uk-UA"/>
              </w:rPr>
              <w:t xml:space="preserve"> (додаток 3).</w:t>
            </w:r>
          </w:p>
        </w:tc>
      </w:tr>
      <w:tr>
        <w:trPr>
          <w:trHeight w:val="1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14.</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Виконання заходів щодо відновлення та підтримання сприятливого гідрологічного режиму, санітарного стану та благоустрою річок, ставків та меліоративних каналів (очищення водойм та прибережних смуг, вирізування самонасіву та інше), утримання в належному стані прибережних захисних смуг та русел річок.</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На санітарне прибирання прибережної смуги р. Стир на вул. Набережній в м. Луцьку використано 98,7 тис. грн, на розчищення водойм від рослинності в Центральному парку культури і відпочинку імені Лесі Українки в м. Луцьку використано 99,9 тис. грн.</w:t>
            </w:r>
          </w:p>
        </w:tc>
      </w:tr>
      <w:tr>
        <w:trPr>
          <w:trHeight w:val="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15.</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Проведення ремонтів фасадів житлових будинків, визнаних пам’ятками архітектури національного значення та таких, що псують архітектурну виразність Луцької міської територіальної громади і потребують ремонту.</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Проведено капітальний ремонт фасаду житлового будинку на просп. Волі, 7 на загальну суму 99,9 тис. грн.</w:t>
            </w:r>
          </w:p>
        </w:tc>
      </w:tr>
      <w:tr>
        <w:trPr>
          <w:trHeight w:val="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16.</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Проведення робіт з підсилення несучих конструкцій житлових будинків, які визнані такими, що загрожують втраті несучої здатності та можуть призвести до надзвичайної ситуації.</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ind w:firstLine="567"/>
              <w:jc w:val="both"/>
              <w:rPr>
                <w:rFonts w:ascii="Times New Roman" w:hAnsi="Times New Roman" w:cs="Times New Roman"/>
                <w:color w:val="000000"/>
                <w:sz w:val="26"/>
                <w:szCs w:val="26"/>
                <w:shd w:fill="auto" w:val="clear"/>
                <w:lang w:val="uk-UA" w:eastAsia="en-US"/>
              </w:rPr>
            </w:pPr>
            <w:r>
              <w:rPr>
                <w:rFonts w:cs="Times New Roman" w:ascii="Times New Roman" w:hAnsi="Times New Roman"/>
                <w:color w:val="000000"/>
                <w:sz w:val="26"/>
                <w:szCs w:val="26"/>
                <w:shd w:fill="auto" w:val="clear"/>
                <w:lang w:val="uk-UA" w:eastAsia="en-US"/>
              </w:rPr>
              <w:t>Виготовлено проєктно-кошторисну документацію на проведення робіт з підсилення несучих конструкцій житлового будинку на вул. Градний узвіз, 9.</w:t>
            </w:r>
          </w:p>
        </w:tc>
      </w:tr>
      <w:tr>
        <w:trPr>
          <w:trHeight w:val="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17.</w:t>
            </w:r>
          </w:p>
        </w:tc>
        <w:tc>
          <w:tcPr>
            <w:tcW w:w="3832"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Ремонт житлових будинків ОСББ та управителів міської територіальної громади на умовах співфінансування з мешканцями (ремонт ліфтів, покрівель, інженерних мереж тощо).</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 xml:space="preserve">Протягом 2024 року виконано ремонт 6 ліфтів у житлових будинках міста (вул. Героїв добровольців, 4, вул. Конякіна, 19 (І та ІІ підїзди), </w:t>
            </w:r>
            <w:r>
              <w:rPr>
                <w:rFonts w:ascii="Times New Roman" w:hAnsi="Times New Roman"/>
                <w:color w:val="000000"/>
                <w:sz w:val="26"/>
                <w:szCs w:val="26"/>
                <w:shd w:fill="auto" w:val="clear"/>
                <w:lang w:val="uk-UA" w:bidi="ar-SA"/>
              </w:rPr>
              <w:t>вул. Шота Руставеллі, 10, бульв. Івана Газюка, 2, Київський Майдан, 11)</w:t>
            </w:r>
            <w:r>
              <w:rPr>
                <w:rFonts w:ascii="Times New Roman" w:hAnsi="Times New Roman"/>
                <w:color w:val="000000"/>
                <w:sz w:val="26"/>
                <w:szCs w:val="26"/>
                <w:shd w:fill="auto" w:val="clear"/>
                <w:lang w:val="uk-UA"/>
              </w:rPr>
              <w:t xml:space="preserve"> на загальну суму 717,9 </w:t>
            </w:r>
            <w:r>
              <w:rPr>
                <w:rFonts w:ascii="Times New Roman" w:hAnsi="Times New Roman"/>
                <w:color w:val="000000"/>
                <w:sz w:val="26"/>
                <w:szCs w:val="26"/>
                <w:shd w:fill="auto" w:val="clear"/>
                <w:lang w:val="uk-UA" w:eastAsia="uk-UA"/>
              </w:rPr>
              <w:t>тис. грн. Загальна вартість робіт з експертного обстеження ліфтів, виготовлення проєктно-кошторисної документації та здійснення технічного нагляду склала 207,4 тис. грн.</w:t>
            </w:r>
          </w:p>
          <w:p>
            <w:pPr>
              <w:pStyle w:val="Normal"/>
              <w:widowControl w:val="false"/>
              <w:ind w:firstLine="567"/>
              <w:jc w:val="both"/>
              <w:rPr>
                <w:shd w:fill="auto" w:val="clear"/>
              </w:rPr>
            </w:pPr>
            <w:r>
              <w:rPr>
                <w:rFonts w:ascii="Times New Roman" w:hAnsi="Times New Roman"/>
                <w:color w:val="000000"/>
                <w:sz w:val="26"/>
                <w:szCs w:val="26"/>
                <w:shd w:fill="auto" w:val="clear"/>
                <w:lang w:val="uk-UA" w:eastAsia="uk-UA"/>
              </w:rPr>
              <w:t>На вул. Корсака Івана (Карбишева), 2б, вул. Наливайка, 10а, просп. Відродження, 49 (під’їзд 2) та на просп. Соборності, 32 (під’їзд 1) облаштовано пандуси на суму 914,5 тис. грн.</w:t>
            </w:r>
          </w:p>
          <w:p>
            <w:pPr>
              <w:pStyle w:val="Normal"/>
              <w:widowControl w:val="false"/>
              <w:ind w:firstLine="567"/>
              <w:jc w:val="both"/>
              <w:rPr/>
            </w:pPr>
            <w:r>
              <w:rPr>
                <w:rStyle w:val="WW8Num1z0"/>
                <w:rFonts w:ascii="Times New Roman" w:hAnsi="Times New Roman"/>
                <w:color w:val="000000"/>
                <w:sz w:val="26"/>
                <w:szCs w:val="26"/>
                <w:shd w:fill="auto" w:val="clear"/>
                <w:lang w:val="uk-UA"/>
              </w:rPr>
              <w:t>Проведено роботи з капітального ремонту мереж гарячого водопостачання в житловому будинку на просп. Відродження, 55 (транзитна мережа) на суму 108,1 тис. грн.</w:t>
            </w:r>
          </w:p>
          <w:p>
            <w:pPr>
              <w:pStyle w:val="119"/>
              <w:widowControl w:val="false"/>
              <w:spacing w:before="0" w:after="0"/>
              <w:ind w:left="0" w:firstLine="567"/>
              <w:contextualSpacing/>
              <w:jc w:val="both"/>
              <w:rPr/>
            </w:pPr>
            <w:r>
              <w:rPr>
                <w:rStyle w:val="WW8Num1z0"/>
                <w:rFonts w:ascii="Times New Roman" w:hAnsi="Times New Roman"/>
                <w:color w:val="000000"/>
                <w:sz w:val="26"/>
                <w:szCs w:val="26"/>
                <w:shd w:fill="auto" w:val="clear"/>
                <w:lang w:val="uk-UA"/>
              </w:rPr>
              <w:t>В адміністративному приміщенні на вул. Героїв Добровольців, 9 проведено капітальний ремонт системи холодного водопостачання та мереж централізованого опалення із встановленням вузла обліку теплової енергії на загальну суму 193,8 тис. грн.</w:t>
            </w:r>
          </w:p>
          <w:p>
            <w:pPr>
              <w:pStyle w:val="119"/>
              <w:widowControl w:val="false"/>
              <w:spacing w:before="0" w:after="0"/>
              <w:ind w:left="0" w:firstLine="567"/>
              <w:contextualSpacing/>
              <w:jc w:val="both"/>
              <w:rPr/>
            </w:pPr>
            <w:r>
              <w:rPr>
                <w:rStyle w:val="WW8Num1z0"/>
                <w:rFonts w:ascii="Times New Roman" w:hAnsi="Times New Roman"/>
                <w:color w:val="000000"/>
                <w:sz w:val="26"/>
                <w:szCs w:val="26"/>
                <w:shd w:fill="auto" w:val="clear"/>
                <w:lang w:val="uk-UA"/>
              </w:rPr>
              <w:t xml:space="preserve">Проведено роботи по усуненню наслідків збройної агресії рф, зокрема: виконано капітальний ремонт покрівель житлових будинків на вул. Ківерцівська, 5 в с. Прилуцьке, вул. Гущанській, 57, 63 (кв. 1, 2), 65а, 76 в м. Луцьку на загальну суму 693,8 тис. грн; виконано капітальний ремонт 16 житлових будинків в с. Прилуцьке на загальну суму 213,9 тис. грн; проведено поточний ремонт житлових будинків на вул. Січова, 1 та просп. Відродження, 18 на загальну суму 37,6 тис. грн; проведено роботи по заміні вікон в 10 житлових будинках (просп. Відродження, 9, 18, 18а, вул. Січова, 1, 2, вул. Гущанська, 25, 57, вул. Григорія Андрузького, 13, вул. Тракторна, 44 в с. Озерце) на загальну суму 276,4 тис. грн; </w:t>
            </w:r>
            <w:r>
              <w:rPr>
                <w:rStyle w:val="WW8Num1z0"/>
                <w:rFonts w:ascii="Times New Roman" w:hAnsi="Times New Roman"/>
                <w:color w:val="000000"/>
                <w:sz w:val="26"/>
                <w:szCs w:val="26"/>
                <w:shd w:fill="auto" w:val="clear"/>
                <w:lang w:val="uk-UA" w:eastAsia="uk-UA"/>
              </w:rPr>
              <w:t>проведено капітальний ремонт конструктивних елементів та внутрішньобудинкових мереж холодного і гарячого водопостачання та каналізації у житловому будинку на просп. Відродження, 18 на загальну суму 296,9 тис. грн.</w:t>
            </w:r>
          </w:p>
        </w:tc>
      </w:tr>
      <w:tr>
        <w:trPr>
          <w:trHeight w:val="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18.</w:t>
            </w:r>
          </w:p>
        </w:tc>
        <w:tc>
          <w:tcPr>
            <w:tcW w:w="3832"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Відшкодування відсотків по кредитах (на роботи виконані до 2020 року) та частини суми кредиту ОСББ на впровадження заходів енергозбереження в житлових будинках ОСББ та ЖБК, що виконувались по державній програмі «Енергодім».</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Надання фінансової підтримки шляхом відшкодування частини суми кредитів ОСББ Луцької міської територіальної громади, які беруть участь у програмі «ЕНЕРГОДІМ» державної установи «Фонд енергоефективності», відбувається відповідно до Програми відшкодування частини суми кредитів ОСББ Луцької міської територіальної громади, залучених на впровадження в будинках енергоефективних та енергозберігаючих заходів на 2021-2026 роки (далі- Програма).</w:t>
            </w:r>
          </w:p>
          <w:p>
            <w:pPr>
              <w:pStyle w:val="Normal"/>
              <w:widowControl w:val="false"/>
              <w:ind w:firstLine="567"/>
              <w:jc w:val="both"/>
              <w:rPr>
                <w:rFonts w:ascii="Times New Roman" w:hAnsi="Times New Roman"/>
                <w:color w:val="000000"/>
                <w:sz w:val="26"/>
                <w:szCs w:val="26"/>
                <w:shd w:fill="auto" w:val="clear"/>
              </w:rPr>
            </w:pPr>
            <w:r>
              <w:rPr>
                <w:rFonts w:ascii="Times New Roman" w:hAnsi="Times New Roman"/>
                <w:color w:val="000000"/>
                <w:sz w:val="26"/>
                <w:szCs w:val="26"/>
                <w:shd w:fill="auto" w:val="clear"/>
                <w:lang w:val="uk-UA"/>
              </w:rPr>
              <w:t xml:space="preserve">У 2024 році </w:t>
            </w:r>
            <w:r>
              <w:rPr>
                <w:rFonts w:ascii="Times New Roman" w:hAnsi="Times New Roman"/>
                <w:color w:val="000000"/>
                <w:sz w:val="26"/>
                <w:szCs w:val="26"/>
                <w:shd w:fill="auto" w:val="clear"/>
              </w:rPr>
              <w:t xml:space="preserve">на відшкодування частини суми кредитів, залучених на впровадження енергоефективних та енергозберігаючих заходів по 8 кредитних договорах відшкодовано із  бюджету громади </w:t>
            </w:r>
            <w:r>
              <w:rPr>
                <w:rFonts w:ascii="Times New Roman" w:hAnsi="Times New Roman"/>
                <w:color w:val="000000"/>
                <w:sz w:val="26"/>
                <w:szCs w:val="26"/>
                <w:shd w:fill="auto" w:val="clear"/>
                <w:lang w:val="uk-UA"/>
              </w:rPr>
              <w:t>7 754,6 тис. грн.</w:t>
            </w:r>
          </w:p>
          <w:p>
            <w:pPr>
              <w:pStyle w:val="Normal"/>
              <w:widowControl w:val="false"/>
              <w:ind w:firstLine="567"/>
              <w:jc w:val="both"/>
              <w:rPr>
                <w:rFonts w:ascii="Times New Roman" w:hAnsi="Times New Roman"/>
                <w:color w:val="000000"/>
                <w:sz w:val="26"/>
                <w:szCs w:val="26"/>
                <w:shd w:fill="auto" w:val="clear"/>
                <w:lang w:val="uk-UA"/>
              </w:rPr>
            </w:pPr>
            <w:r>
              <w:rPr>
                <w:rFonts w:ascii="Times New Roman" w:hAnsi="Times New Roman"/>
                <w:color w:val="000000"/>
                <w:sz w:val="26"/>
                <w:szCs w:val="26"/>
                <w:shd w:fill="auto" w:val="clear"/>
                <w:lang w:val="uk-UA"/>
              </w:rPr>
              <w:t>Крім того, за іншим розділом Програми проводиться відшкодування відсоткових ставок за залученими ОСББ кредитами у 2013-2017 роках. У 2024 році з бюджету відшкодовано 633,5 тис. грн на погашення відсоткових ставок по 7 кредитних договорах.</w:t>
            </w:r>
          </w:p>
        </w:tc>
      </w:tr>
      <w:tr>
        <w:trPr>
          <w:trHeight w:val="288" w:hRule="atLeast"/>
        </w:trPr>
        <w:tc>
          <w:tcPr>
            <w:tcW w:w="63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19.</w:t>
            </w:r>
          </w:p>
        </w:tc>
        <w:tc>
          <w:tcPr>
            <w:tcW w:w="3832" w:type="dxa"/>
            <w:tcBorders>
              <w:left w:val="single" w:sz="4" w:space="0" w:color="000000"/>
              <w:bottom w:val="single" w:sz="4" w:space="0" w:color="000000"/>
            </w:tcBorders>
            <w:shd w:fill="auto" w:val="clear"/>
          </w:tcPr>
          <w:p>
            <w:pPr>
              <w:pStyle w:val="Standard"/>
              <w:widowControl w:val="false"/>
              <w:shd w:val="clear" w:color="auto" w:fill="FFFFFF"/>
              <w:ind w:firstLine="471"/>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Часткове відшкодування вартості незалежних джерел електричної енергії, які придбані ОСББ, житлово-будівельними кооперативами та управителями багатоквартирних житлових будинків для забезпечення потреб співвласників багатоквартирних житлових будинків.</w:t>
            </w:r>
          </w:p>
        </w:tc>
        <w:tc>
          <w:tcPr>
            <w:tcW w:w="10666"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sz w:val="26"/>
                <w:szCs w:val="26"/>
                <w:shd w:fill="auto" w:val="clear"/>
                <w:lang w:val="uk-UA"/>
              </w:rPr>
              <w:t>За зверненнями голів правлінь ОСББ проводиться відшкодування вартості незалежних джерел електричної енергії, які придбані ОСББ, ЖБК та управителями для забезпечення потреб співвласників  багатоквартирних житлових будинків Луцької міської територіальної громади. Протягом звітного року таких звернень не надходило.</w:t>
            </w:r>
          </w:p>
        </w:tc>
      </w:tr>
    </w:tbl>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3.2.2. Містобудівна політика. Земельні відносини. Капітальне будівництво</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8"/>
        <w:gridCol w:w="3777"/>
        <w:gridCol w:w="10778"/>
      </w:tblGrid>
      <w:tr>
        <w:trPr>
          <w:trHeight w:val="615" w:hRule="atLeast"/>
        </w:trPr>
        <w:tc>
          <w:tcPr>
            <w:tcW w:w="578"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77"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1875" w:hRule="atLeast"/>
        </w:trPr>
        <w:tc>
          <w:tcPr>
            <w:tcW w:w="578" w:type="dxa"/>
            <w:tcBorders>
              <w:top w:val="single" w:sz="4" w:space="0" w:color="000000"/>
              <w:lef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77" w:type="dxa"/>
            <w:tcBorders>
              <w:top w:val="single" w:sz="4" w:space="0" w:color="000000"/>
              <w:left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Розроблення містобудівної документації, в тому числі Комплексного плану просторового розвитку території Луцької міської територіальної громади.</w:t>
            </w:r>
          </w:p>
        </w:tc>
        <w:tc>
          <w:tcPr>
            <w:tcW w:w="10778" w:type="dxa"/>
            <w:tcBorders>
              <w:top w:val="single" w:sz="4" w:space="0" w:color="000000"/>
              <w:left w:val="single" w:sz="4" w:space="0" w:color="000000"/>
              <w:right w:val="single" w:sz="4" w:space="0" w:color="000000"/>
            </w:tcBorders>
            <w:shd w:fill="auto" w:val="clear"/>
          </w:tcPr>
          <w:p>
            <w:pPr>
              <w:pStyle w:val="Normal"/>
              <w:widowControl w:val="false"/>
              <w:ind w:firstLine="567"/>
              <w:jc w:val="both"/>
              <w:rPr>
                <w:rFonts w:ascii="Times New Roman" w:hAnsi="Times New Roman" w:eastAsia="Liberation Serif" w:cs="Times New Roman"/>
                <w:color w:val="000000"/>
                <w:sz w:val="26"/>
                <w:szCs w:val="26"/>
                <w:lang w:val="uk-UA"/>
              </w:rPr>
            </w:pPr>
            <w:r>
              <w:rPr>
                <w:rFonts w:eastAsia="Liberation Serif" w:cs="Times New Roman" w:ascii="Times New Roman" w:hAnsi="Times New Roman"/>
                <w:bCs/>
                <w:color w:val="000000"/>
                <w:spacing w:val="-6"/>
                <w:sz w:val="26"/>
                <w:szCs w:val="26"/>
                <w:lang w:val="uk-UA"/>
              </w:rPr>
              <w:t>Розпочата робота над Комплексним планом просторового розвитку території Луцької міської територіальної громади відповідно до рішення Луцької міської ради від 29.05.2024 № 59/79 «Про розроблення Комплексного плану просторового розвитку території Луцької міської територіальної громади». Згідно з вимогами законодавства проводяться роботи підготовчого етапу розроблення Комплексного плану: рішенням виконавчого комітету від 24.07.2024 № 389-1 утворена робоча група з формування завдання на розроблення Комплексного плану, до якої увійшли представники виконавчих органів міської ради, старости, представники від старостинських округів, які не є співробітниками виконавчих органів; направлені запити на отримання відомостей щодо аналізу наявної містобудівної та землевпорядної документації.</w:t>
            </w:r>
          </w:p>
        </w:tc>
      </w:tr>
      <w:tr>
        <w:trPr>
          <w:trHeight w:val="916" w:hRule="atLeast"/>
        </w:trPr>
        <w:tc>
          <w:tcPr>
            <w:tcW w:w="57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7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Виготовлення топографо-геодезичної основи масштабу 1:2000 для розроблення містобудівної документації.</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Liberation Serif" w:cs="Times New Roman"/>
                <w:color w:val="000000"/>
                <w:spacing w:val="-6"/>
                <w:sz w:val="26"/>
                <w:szCs w:val="26"/>
                <w:lang w:val="uk-UA"/>
              </w:rPr>
            </w:pPr>
            <w:r>
              <w:rPr>
                <w:rFonts w:eastAsia="Liberation Serif" w:cs="Times New Roman" w:ascii="Times New Roman" w:hAnsi="Times New Roman"/>
                <w:color w:val="000000"/>
                <w:spacing w:val="-6"/>
                <w:sz w:val="26"/>
                <w:szCs w:val="26"/>
                <w:lang w:val="uk-UA"/>
              </w:rPr>
              <w:t>Топографо-геодезичну основу масштабу 1:2000 для розроблення містобудівної документації виготовлено.</w:t>
            </w:r>
          </w:p>
        </w:tc>
      </w:tr>
      <w:tr>
        <w:trPr>
          <w:trHeight w:val="288" w:hRule="atLeast"/>
        </w:trPr>
        <w:tc>
          <w:tcPr>
            <w:tcW w:w="578" w:type="dxa"/>
            <w:tcBorders>
              <w:left w:val="single" w:sz="4" w:space="0" w:color="000000"/>
              <w:bottom w:val="single" w:sz="4" w:space="0" w:color="000000"/>
              <w:righ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77" w:type="dxa"/>
            <w:tcBorders>
              <w:left w:val="single" w:sz="4" w:space="0" w:color="000000"/>
              <w:bottom w:val="single" w:sz="4" w:space="0" w:color="000000"/>
              <w:right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w:t>
            </w:r>
            <w:r>
              <w:rPr>
                <w:rFonts w:cs="Times New Roman" w:ascii="Times New Roman" w:hAnsi="Times New Roman"/>
                <w:color w:val="000000"/>
                <w:sz w:val="26"/>
                <w:szCs w:val="26"/>
                <w:lang w:val="uk-UA"/>
              </w:rPr>
              <w:t>Розроблення землевпорядної та землеоціночної документації земельних ділянок, що пропонуватимуться до продажу на земельних торгах.</w:t>
            </w:r>
          </w:p>
        </w:tc>
        <w:tc>
          <w:tcPr>
            <w:tcW w:w="10778" w:type="dxa"/>
            <w:tcBorders>
              <w:left w:val="single" w:sz="4" w:space="0" w:color="000000"/>
              <w:bottom w:val="single" w:sz="4" w:space="0" w:color="000000"/>
              <w:right w:val="single" w:sz="4" w:space="0" w:color="000000"/>
            </w:tcBorders>
            <w:shd w:fill="auto" w:val="clear"/>
          </w:tcPr>
          <w:p>
            <w:pPr>
              <w:pStyle w:val="Style27"/>
              <w:widowControl w:val="false"/>
              <w:spacing w:lineRule="auto" w:line="240" w:before="0" w:after="0"/>
              <w:ind w:firstLine="567"/>
              <w:jc w:val="both"/>
              <w:rPr>
                <w:rFonts w:ascii="Times New Roman" w:hAnsi="Times New Roman"/>
                <w:color w:val="000000"/>
                <w:kern w:val="2"/>
                <w:sz w:val="26"/>
                <w:szCs w:val="26"/>
                <w:lang w:val="uk-UA" w:eastAsia="zh-CN" w:bidi="hi-IN"/>
              </w:rPr>
            </w:pPr>
            <w:r>
              <w:rPr>
                <w:rFonts w:ascii="Times New Roman" w:hAnsi="Times New Roman"/>
                <w:color w:val="000000"/>
                <w:spacing w:val="-6"/>
                <w:kern w:val="2"/>
                <w:sz w:val="26"/>
                <w:szCs w:val="26"/>
                <w:u w:val="none"/>
                <w:lang w:val="uk-UA" w:eastAsia="zh-CN" w:bidi="hi-IN"/>
              </w:rPr>
              <w:t xml:space="preserve">У 2024 році Луцькою міською радою шляхом проведення земельних торгів у формі електронних аукціонів з продажу земельних ділянок несільськогосподарського призначення комунальної власності Луцької міської територіальної громади, а також їх прав оренди, було продано шість земельних ділянок комунальної власності, три з яких знаходяться на території м. Луцька та одна у сел. Рокині, а також продано право оренди двох земельних ділянок комунальної власності несільськогосподарського призначення у м. Луцьку. Загальна площа земельних ділянок, права яких продані на земельних торгах, становить 2,6235 га, а загальна сума отриманих коштів – 19 950 001,0 грн (в т. ч.: 2 714 001,0 грн </w:t>
            </w:r>
            <w:r>
              <w:rPr>
                <w:rFonts w:eastAsia="Times New Roman" w:ascii="Times New Roman" w:hAnsi="Times New Roman"/>
                <w:color w:val="000000"/>
                <w:spacing w:val="-6"/>
                <w:kern w:val="2"/>
                <w:sz w:val="26"/>
                <w:szCs w:val="26"/>
                <w:u w:val="none"/>
                <w:lang w:val="uk-UA" w:eastAsia="zh-CN" w:bidi="hi-IN"/>
              </w:rPr>
              <w:t>–</w:t>
            </w:r>
            <w:r>
              <w:rPr>
                <w:rFonts w:ascii="Times New Roman" w:hAnsi="Times New Roman"/>
                <w:color w:val="000000"/>
                <w:spacing w:val="-6"/>
                <w:kern w:val="2"/>
                <w:sz w:val="26"/>
                <w:szCs w:val="26"/>
                <w:u w:val="none"/>
                <w:lang w:val="uk-UA" w:eastAsia="zh-CN" w:bidi="hi-IN"/>
              </w:rPr>
              <w:t xml:space="preserve"> річний розмір орендної плати від продажу права оренди земельних ділянок комунальної власності).</w:t>
            </w:r>
          </w:p>
        </w:tc>
      </w:tr>
      <w:tr>
        <w:trPr>
          <w:trHeight w:val="288" w:hRule="atLeast"/>
        </w:trPr>
        <w:tc>
          <w:tcPr>
            <w:tcW w:w="578" w:type="dxa"/>
            <w:tcBorders>
              <w:left w:val="single" w:sz="4" w:space="0" w:color="000000"/>
              <w:bottom w:val="single" w:sz="4" w:space="0" w:color="000000"/>
              <w:righ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77" w:type="dxa"/>
            <w:tcBorders>
              <w:left w:val="single" w:sz="4" w:space="0" w:color="000000"/>
              <w:bottom w:val="single" w:sz="4" w:space="0" w:color="000000"/>
              <w:right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Розроблення документації з проведення експертних грошових оцінок земельних ділянок, продаж яких здійснюватиметься шляхом викупу власниками об’єктів нерухомого майна, які знаходяться на земельних ділянках комунальної власності, що підлягають продажу.</w:t>
            </w:r>
          </w:p>
        </w:tc>
        <w:tc>
          <w:tcPr>
            <w:tcW w:w="10778"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Liberation Serif" w:cs="Times New Roman" w:ascii="Times New Roman" w:hAnsi="Times New Roman"/>
                <w:color w:val="000000"/>
                <w:spacing w:val="-6"/>
                <w:sz w:val="26"/>
                <w:szCs w:val="26"/>
                <w:lang w:val="uk-UA"/>
              </w:rPr>
              <w:t xml:space="preserve">Протягом звітного періоду забезпечено продаж </w:t>
            </w:r>
            <w:r>
              <w:rPr>
                <w:rFonts w:eastAsia="Liberation Serif" w:cs="Times New Roman" w:ascii="Times New Roman" w:hAnsi="Times New Roman"/>
                <w:bCs/>
                <w:color w:val="000000"/>
                <w:spacing w:val="-6"/>
                <w:sz w:val="26"/>
                <w:szCs w:val="26"/>
                <w:lang w:val="uk-UA"/>
              </w:rPr>
              <w:t>14 земельних ділянок комунальної власності</w:t>
            </w:r>
            <w:r>
              <w:rPr>
                <w:rFonts w:eastAsia="Liberation Serif" w:cs="Times New Roman" w:ascii="Times New Roman" w:hAnsi="Times New Roman"/>
                <w:b/>
                <w:bCs/>
                <w:color w:val="000000"/>
                <w:spacing w:val="-6"/>
                <w:sz w:val="26"/>
                <w:szCs w:val="26"/>
                <w:lang w:val="uk-UA"/>
              </w:rPr>
              <w:t xml:space="preserve"> </w:t>
            </w:r>
            <w:r>
              <w:rPr>
                <w:rFonts w:eastAsia="Liberation Serif" w:cs="Times New Roman" w:ascii="Times New Roman" w:hAnsi="Times New Roman"/>
                <w:bCs/>
                <w:color w:val="000000"/>
                <w:spacing w:val="-6"/>
                <w:sz w:val="26"/>
                <w:szCs w:val="26"/>
                <w:lang w:val="uk-UA"/>
              </w:rPr>
              <w:t>несільс</w:t>
            </w:r>
            <w:r>
              <w:rPr>
                <w:rFonts w:eastAsia="Liberation Serif" w:cs="Times New Roman" w:ascii="Times New Roman" w:hAnsi="Times New Roman"/>
                <w:color w:val="000000"/>
                <w:spacing w:val="-6"/>
                <w:sz w:val="26"/>
                <w:szCs w:val="26"/>
                <w:lang w:val="uk-UA"/>
              </w:rPr>
              <w:t>ькогосподарського призначення у м. Луцьку шляхом викупу, укладено договори купівлі-продажу з покупцями земельних ділянок, загальною площею 10,9839 га на загальну суму 37</w:t>
            </w:r>
            <w:r>
              <w:rPr>
                <w:rFonts w:eastAsia="Liberation Serif" w:cs="Times New Roman" w:ascii="Times New Roman" w:hAnsi="Times New Roman"/>
                <w:color w:val="000000"/>
                <w:sz w:val="26"/>
                <w:szCs w:val="26"/>
                <w:lang w:val="uk-UA"/>
              </w:rPr>
              <w:t> 059 900</w:t>
            </w:r>
            <w:r>
              <w:rPr>
                <w:rFonts w:eastAsia="Liberation Serif" w:cs="Times New Roman" w:ascii="Times New Roman" w:hAnsi="Times New Roman"/>
                <w:color w:val="000000"/>
                <w:spacing w:val="-6"/>
                <w:sz w:val="26"/>
                <w:szCs w:val="26"/>
                <w:lang w:val="uk-UA"/>
              </w:rPr>
              <w:t>,0 грн, а також три земельні ділянки комунальної власності на території Луцької МТГ шляхом викупу, укладено договори купівлі-продажу загальною площею 0,7050 га на загальну суму 1 249 866,0 грн.</w:t>
            </w:r>
          </w:p>
        </w:tc>
      </w:tr>
      <w:tr>
        <w:trPr>
          <w:trHeight w:val="288" w:hRule="atLeast"/>
        </w:trPr>
        <w:tc>
          <w:tcPr>
            <w:tcW w:w="578" w:type="dxa"/>
            <w:tcBorders>
              <w:left w:val="single" w:sz="4" w:space="0" w:color="000000"/>
              <w:bottom w:val="single" w:sz="4" w:space="0" w:color="000000"/>
              <w:righ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77" w:type="dxa"/>
            <w:tcBorders>
              <w:left w:val="single" w:sz="4" w:space="0" w:color="000000"/>
              <w:bottom w:val="single" w:sz="4" w:space="0" w:color="000000"/>
              <w:right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Розроблення землевпорядної документації з метою поділу/об’єднання та відновлення меж земельних ділянок комунальної власності.</w:t>
            </w:r>
          </w:p>
        </w:tc>
        <w:tc>
          <w:tcPr>
            <w:tcW w:w="10778"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Liberation Serif" w:cs="Times New Roman"/>
                <w:bCs/>
                <w:color w:val="000000"/>
                <w:spacing w:val="-6"/>
                <w:sz w:val="26"/>
                <w:szCs w:val="26"/>
                <w:lang w:val="uk-UA"/>
              </w:rPr>
            </w:pPr>
            <w:r>
              <w:rPr>
                <w:rFonts w:eastAsia="Liberation Serif" w:cs="Times New Roman" w:ascii="Times New Roman" w:hAnsi="Times New Roman"/>
                <w:bCs/>
                <w:color w:val="000000"/>
                <w:spacing w:val="-6"/>
                <w:sz w:val="26"/>
                <w:szCs w:val="26"/>
                <w:lang w:val="uk-UA"/>
              </w:rPr>
              <w:t>Для будівництва Ветеранського хабу, був розроблений та затверджений проєкт землеустрою щодо відведення земельної ділянки (рішення Луцької міської ради від 24.04.2024 № 58/100 “Про затвердження проекту землеустрою щодо відведення земельної ділянки комунальної власності для будівництва та обслуговування будівель органів державної влади та органів місцевого самоврядування (03 01) на вул. Климчука Сергія, 7 у м. Луцьку”) та укладено договір суперфіцію.</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3.2.3. Благоустрій та громадський порядок</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08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15"/>
        <w:gridCol w:w="3775"/>
        <w:gridCol w:w="10693"/>
      </w:tblGrid>
      <w:tr>
        <w:trPr>
          <w:trHeight w:val="615" w:hRule="atLeast"/>
        </w:trPr>
        <w:tc>
          <w:tcPr>
            <w:tcW w:w="61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7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69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736"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75"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Оперативне реагування на звернення громадян щодо правопорушень у сфері благоустрою, паркування, пошкоджень комунального майна тощо.</w:t>
            </w:r>
          </w:p>
        </w:tc>
        <w:tc>
          <w:tcPr>
            <w:tcW w:w="1069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Liberation Serif" w:cs="Times New Roman"/>
                <w:color w:val="000000"/>
                <w:sz w:val="26"/>
                <w:szCs w:val="26"/>
                <w:lang w:val="uk-UA"/>
              </w:rPr>
            </w:pPr>
            <w:r>
              <w:rPr>
                <w:rFonts w:eastAsia="Liberation Serif" w:cs="Times New Roman" w:ascii="Times New Roman" w:hAnsi="Times New Roman"/>
                <w:color w:val="000000"/>
                <w:sz w:val="26"/>
                <w:szCs w:val="26"/>
                <w:lang w:val="uk-UA"/>
              </w:rPr>
              <w:t>Протягом 2024 року до департаменту муніципальної варти надійшло 68 088 листів та звернень, серед яких: 3 586 листів від підприємств та організацій; 1 865 листів у межах листування з органами виконавчої влади; 764 письмових звернення; 7 865 заяв від державної виконавчої служби; 47 426 звернень, що стосувалися порядку оплати штрафів та помилкових платежів та інші.</w:t>
            </w:r>
          </w:p>
          <w:p>
            <w:pPr>
              <w:pStyle w:val="Normal"/>
              <w:widowControl w:val="false"/>
              <w:ind w:firstLine="567"/>
              <w:jc w:val="both"/>
              <w:rPr>
                <w:rFonts w:ascii="Times New Roman" w:hAnsi="Times New Roman" w:eastAsia="Liberation Serif" w:cs="Times New Roman"/>
                <w:color w:val="000000"/>
                <w:sz w:val="26"/>
                <w:szCs w:val="26"/>
                <w:lang w:val="uk-UA"/>
              </w:rPr>
            </w:pPr>
            <w:r>
              <w:rPr>
                <w:rFonts w:eastAsia="Liberation Serif" w:cs="Times New Roman" w:ascii="Times New Roman" w:hAnsi="Times New Roman"/>
                <w:color w:val="000000"/>
                <w:sz w:val="26"/>
                <w:szCs w:val="26"/>
                <w:lang w:val="uk-UA"/>
              </w:rPr>
              <w:t>Особлива увага приділялась зверненням, які пов’язані з правопорушеннями в умовах воєнного стану, а саме: перевірка транспортних засобів та предметів, заборона продажу алкоголю. Для оперативного реагування на звернення громадян про виявлені факти порушень в департаменті муніципальної варти функціонують дві гарячі телефонні лінії: 066 102 11 02; 067 0000 679.</w:t>
            </w:r>
          </w:p>
        </w:tc>
      </w:tr>
      <w:tr>
        <w:trPr>
          <w:trHeight w:val="560"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75"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Продовження реалізації комплексної програми «Безпечне місто Луцьк» шляхом реалізації проєктів з встановлення камер відеоспостереження на проспектах Волі, Молоді, Соборності та інших вулицях міста Луцька та інших населених пунктах громади. Забезпечення безперервної, систематичної та оперативної обробки даних відеоспостереження та відео аналітики, щодо надзвичайних подій, порушень нормальних процесів життєдіяльності населення.</w:t>
            </w:r>
          </w:p>
        </w:tc>
        <w:tc>
          <w:tcPr>
            <w:tcW w:w="1069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передпроєктні роботи для виготовлення проєктної документації по проєкту: «Нове будівництво волоконно-оптичних ліній зв’язку зі встановлення камер відеоспостереження по проспекту Волі та прилеглих до нього вулицях у місті Луцьку. Коригування». Проведено експертизу кошторисної частини цього проєкту.</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Здійснено планове обслуговування камер відеоспостереження «Безпечне місто Луцьк», а також кронування дерев для кращої оглядовості камер відеоспостереження. Проведено модернізацію мережевого обладнання в с. Забороль та мережевого відеореєстратора в с. Княгининок. Реалізація міської комплексної програми «Безпечне місто Луцьк» підвищила безпеку на вулицях і дорогах міста, покращила управління дорожнім рухом у місті, створила можливість більш оперативно й обґрунтовано вирішувати спірні ситуації, які виникають під час ДТП, та підвищила ефективність боротьби правоохоронних органів з кримінальними та терористичними загрозами.</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Протягом звітного року відділ «Центр безпеки міста Луцьк» департаменту муніципальної варти активно взаємодіяв з правоохоронними органами міста щодо надання відеоконтенту з камер відеоспостереження системи «Безпечне місто Луцьк». Всього було </w:t>
            </w:r>
            <w:r>
              <w:rPr>
                <w:rFonts w:ascii="Times New Roman" w:hAnsi="Times New Roman"/>
                <w:color w:val="000000"/>
                <w:sz w:val="26"/>
                <w:szCs w:val="26"/>
                <w:lang w:val="uk-UA"/>
              </w:rPr>
              <w:t>опрацьовано 279 електронних та 208 письмових запитів, які надійшли на департамент.</w:t>
            </w:r>
          </w:p>
        </w:tc>
      </w:tr>
      <w:tr>
        <w:trPr>
          <w:trHeight w:val="416"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75"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контролю за належним станом благоустрою на території Луцької міської територіальної громади, шляхом проведення превентивної роботи, видачі приписів та складення адмінпротоколів, а саме: за викидання сміття та зливання нечистот, недопущення спалювання сміття, гілля, листя, за розміщення реклами у не дозволених місцях, за порядок вигулу домашніх тварин, неналежне утримання об’єктів благоустрою тощо.</w:t>
            </w:r>
          </w:p>
        </w:tc>
        <w:tc>
          <w:tcPr>
            <w:tcW w:w="1069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Департаментом муніципальної варти проводилась робота у сфері дотримання громадянами, підприємствами, установами та організаціями Правил благоустрою міста Луцька, а саме здійснювався:  контроль щодо заборони засмічення територій міста, звалювання у невідведених місцях гілля, будівельних матеріалів, різноманітних відходів; контроль за паркуванням транспортних засобів у невідведених для цього місцях – зелених зонах, тротуарах тощо; контроль за розміщенням реклами та оголошень у невизначених для цього місцях; самовільне розміщення різноманітних конструкцій, тимчасових споруд, рекламоносіїв; проведення земляних робіт без ордеру, не відновлення благоустрою; неналежне утримання об’єктів благоустрою; розпалювання багать, спалювання гілля, листя, сміття тощо.</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Загалом у 2024 році інспекторами департаменту видано 2 127 приписів та складено 472 протоколи за різноманітні порушення Правил благоустрою.</w:t>
            </w:r>
          </w:p>
        </w:tc>
      </w:tr>
      <w:tr>
        <w:trPr>
          <w:trHeight w:val="18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75"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демонтажу незаконно встановлених малих архітектурних форм, тимчасових споруд, металевих та дерев’яних конструкцій. Продовження заходів із вивезення старих автомобільних шин з вулиць і дворів міста.</w:t>
            </w:r>
          </w:p>
        </w:tc>
        <w:tc>
          <w:tcPr>
            <w:tcW w:w="1069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tabs>
                <w:tab w:val="clear" w:pos="720"/>
                <w:tab w:val="left" w:pos="482"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Протягом звітного періоду демонтовано 120 незаконно встановлених об’єктів на території громади (гаражі, сараї, огорожі, обмежувачі руху, шини тощо) та с</w:t>
            </w:r>
            <w:r>
              <w:rPr>
                <w:rFonts w:cs="Times New Roman" w:ascii="Times New Roman" w:hAnsi="Times New Roman"/>
                <w:color w:val="000000"/>
                <w:sz w:val="26"/>
                <w:szCs w:val="26"/>
                <w:lang w:val="uk-UA"/>
              </w:rPr>
              <w:t>кладено 105 протоколів за ст. 152 КУпАП за самовільне розміщення тимчасових споруд, конструкцій, рекламоносіїв. Проведено ряд роз’яснювальних бесід, в результаті яких частина споруд демонтовані власниками добровільно. На території громади також прибрано 14 недіючих блокпостів.</w:t>
            </w:r>
          </w:p>
        </w:tc>
      </w:tr>
      <w:tr>
        <w:trPr>
          <w:trHeight w:val="4705"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75"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Вжиття заходів щодо недопущення засмічення території Луцької міської територіальної громади, шляхом видачі приписів, а саме: на укладання договорів на вивезення відходів, встановлення урн біля входів і виходів з адміністративних, навчальних, торгових будівель і споруд, торгових палаток, павільйонів, встановлення індивідуальних контейнерів для збирання відходів, косіння територій, вивезення листя тощо.</w:t>
            </w:r>
          </w:p>
        </w:tc>
        <w:tc>
          <w:tcPr>
            <w:tcW w:w="10693" w:type="dxa"/>
            <w:tcBorders>
              <w:left w:val="single" w:sz="4" w:space="0" w:color="000000"/>
              <w:bottom w:val="single" w:sz="4" w:space="0" w:color="000000"/>
              <w:right w:val="single" w:sz="4" w:space="0" w:color="000000"/>
            </w:tcBorders>
            <w:shd w:fill="auto" w:val="clear"/>
          </w:tcPr>
          <w:p>
            <w:pPr>
              <w:pStyle w:val="Normal"/>
              <w:widowControl w:val="false"/>
              <w:shd w:val="clear" w:color="auto" w:fill="FFFFFF"/>
              <w:tabs>
                <w:tab w:val="clear" w:pos="720"/>
                <w:tab w:val="left" w:pos="482"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недопущення засмічення території Луцької міської територіальної громади та виконання Правил благоустрою міста Луцька, інспекторами департаменту муніципальної варти видано 59 приписів на укладання договорів на вивезення відходів; 288 приписів на встановлення урн біля входів і виходів з адміністративних, навчальних, торгових будівель і споруд, торгових палаток, павільйонів; 44 приписи на встановлення індивідуальних контейнерів для збирання відходів; 318 приписів на косіння територій; 654 приписи на утримання територій та об’єктів благоустрою в належному стані; 250 приписів на очистку територій від гілля, листя, залишків трави після здійснення косіння.</w:t>
            </w:r>
          </w:p>
          <w:p>
            <w:pPr>
              <w:pStyle w:val="Normal"/>
              <w:widowControl w:val="false"/>
              <w:shd w:val="clear" w:color="auto" w:fill="FFFFFF"/>
              <w:tabs>
                <w:tab w:val="clear" w:pos="720"/>
                <w:tab w:val="left" w:pos="482"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виконання умов приписів, відповідальними особами встановлені урни, індивідуальні контейнери для збирання відходів, проведено косіння, прибирання, вивезення сміття, гілля дерев, відремонтовано та приведено до належного стану об’єкти благоустрою.</w:t>
            </w:r>
          </w:p>
          <w:p>
            <w:pPr>
              <w:pStyle w:val="Normal"/>
              <w:widowControl w:val="false"/>
              <w:shd w:val="clear" w:color="auto" w:fill="FFFFFF"/>
              <w:tabs>
                <w:tab w:val="clear" w:pos="720"/>
                <w:tab w:val="left" w:pos="482"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Дані заходи сприяють підтриманню чистоти та гігієни, створення комфортного та привабливого середовища для життя, а також естетичної привабливості м. Луцька.</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75"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контролю за недопущенням стихійної торгівлі та порушенням інших норм законодавства у сфері торгівлі на території Луцької міської територіальної громади.</w:t>
            </w:r>
          </w:p>
        </w:tc>
        <w:tc>
          <w:tcPr>
            <w:tcW w:w="1069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недопущення утворення стихійних ринків на території міста та дотримання правил торгівлі організовано щоденні чергування інспекторів департаменту муніципальної варти на вул. Глушець, Замкова, Кравчука, Конякіна, Львівська, просп. Соборності, просп. Грушевського, просп. Відродження (поблизу ринків). За розміщення об’єктів торгівлі у невстановлених місцях та торгівлю з рук, порушення правил торгівлі на ринках, на громадян було складено 15 протоколів про адміністративні правопорушення за ст. 152 КупАП.</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Особлива увага приділяється місцям для вуличної торгівлі, де встановленні торговельні конструкції «ятки». Торгівля на них є безкоштовною, щоб громадяни могли реалізувати власноруч вирощену продукцію. Дані ятки встановлені за ініціативи Луцької міської ради та ефективно допомагають населенню здійснювати продаж власноруч вирощеної сільськогосподарської продукції та сприяють зменшенню порушень торгівлі на території загального користування.</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775"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Інспектування території громади, оперативний виїзд на виклики «Групою швидкого реагування» з метою фіксації та припинення правопорушень.</w:t>
            </w:r>
          </w:p>
        </w:tc>
        <w:tc>
          <w:tcPr>
            <w:tcW w:w="10693"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Інспектори департаменту муніципальної варти постійно здійснюють обстеження Луцької міської територіальної громади щодо виявлення та припинення адміністративних правопорушень шляхом складення протоколів, постанов та приписів, </w:t>
            </w:r>
            <w:r>
              <w:rPr>
                <w:rFonts w:ascii="Times New Roman" w:hAnsi="Times New Roman"/>
                <w:color w:val="000000"/>
                <w:sz w:val="26"/>
                <w:szCs w:val="26"/>
                <w:lang w:val="uk-UA"/>
              </w:rPr>
              <w:t xml:space="preserve">контролюють їх виконання та здійснюють контроль за дотриманням нормативно-правових актів у сфері благоустрою населених пунктів. </w:t>
            </w:r>
            <w:r>
              <w:rPr>
                <w:rFonts w:cs="Times New Roman" w:ascii="Times New Roman" w:hAnsi="Times New Roman"/>
                <w:color w:val="000000"/>
                <w:sz w:val="26"/>
                <w:szCs w:val="26"/>
                <w:lang w:val="uk-UA"/>
              </w:rPr>
              <w:t>Також інспекторами здійснюється контроль щодо недопущення реалізації алкоголю в нічний час на території міста у відповідності до прийнятих рішень міської ради та виконавчого комітету.</w:t>
            </w:r>
          </w:p>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Інспектори відділу «Група швидкого реагування» здійснюють оперативні виїзди на звернення громадян, які надійшли на лінію «Група швидкого реагування», через відділ комунікації «15-80», вебплатформу «Відкрите місто».</w:t>
            </w:r>
          </w:p>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Інспектори департаменту муніципальної варти Луцької міської ради спільно з рятувальниками Луцького районного управління ГУ ДСНС України у Волинській області провели моніторинг стану природних екосистем на території Луцької міської територіальної громади.</w:t>
            </w:r>
          </w:p>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Інспектори відділу «Група швидкого реагування» департаменту муніципальної варти Луцької міської ради провели роз’яснювальну роботу з громадянами щодо необхідності та важливості встановлення індивідуальних контейнерів для збирання твердих побутових відходів у приватному секторі на вулицях Повстанська, Сірої дивізії, Глиняна, Поліська Січ, Варварівка.</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775"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фіксації порушень громадянами правил зупинки, стоянки та паркування транспортних засобів.</w:t>
            </w:r>
          </w:p>
        </w:tc>
        <w:tc>
          <w:tcPr>
            <w:tcW w:w="10693" w:type="dxa"/>
            <w:tcBorders>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Інспектори з паркування департаменту муніципальної варти здійснюють контроль за порушенням правил зупинки, стоянки, паркування транспортних засобів зафіксованих в режимі фотозйомки. Департаментом розроблено 70 маршрутів (локацій), на яких працюють інспектори з паркування. За 2024 рік винесено 48 369 Повідомлень/Постанов (кількість постанов зросла на 57 % у порівнянні з 2023 роком). Сума оплати штрафів за порушення правил паркування до бюджету склала 16 206,3 тис. грн.</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775"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Розширення місцевої мережі технічних засобів (приладів контролю) фіксації адміністративних правопорушень у сфері забезпечення безпеки дорожнього руху в автоматичному режимі на вулично-дорожній мережі Луцької міської територіальної громади.</w:t>
            </w:r>
          </w:p>
        </w:tc>
        <w:tc>
          <w:tcPr>
            <w:tcW w:w="10693" w:type="dxa"/>
            <w:tcBorders>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 метою розширення стаціонарної мережі та встановлення додаткових приладів контролю швидкості у січні 2024 року встановлено прилад контролю в с. Жидичин на автомобільному шляху міжнародного значення М-19 Доманове-Ковель-Чернівці-Тереблече. Наразі відбувається модернізація приладу для безперебійної та коректної роботи. Планується встановлення додаткових приладів контролю і на інших локаціях, що в свою чергу зменшить кількість дорожньо-транспортних пригод на аварійно небезпечних ділянках та сприятиме збільшенню надходження коштів до бюджету Луцької міської територіальної громади.</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775"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Протидія рекламі наркотиків (виявлення написів з посиланнями на рекламу наркотиків, прекурсорів та інших написів на фасадах будівель та споруд із негайним їх усуненням шляхом зафарбовування чи/та змивання реклами).</w:t>
            </w:r>
          </w:p>
        </w:tc>
        <w:tc>
          <w:tcPr>
            <w:tcW w:w="10693" w:type="dxa"/>
            <w:tcBorders>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Департаментом муніципальної варти відповідно до програми з протидії поширенню наркоманії та інших негативних проявів серед дітей та молоді, боротьби з незаконним обігом наркотичних засобів у Луцькій міській територіальній громаді за 2024 рік здійснено відпрацювання та обстеження міста, в ході яких виявлено на фасадах будівель, під'їздах та інших елементах благоустрою 3 780 написів та усунуто шляхом зафарбовування 2 170 надписів.</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775"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контролю за дотриманням рішень Луцької міської ради, виконавчого комітету, розпоряджень міського голови, зокрема недопущення продажу алкоголю з рук, продажу алкоголю в нічний час, тютюнопаління у громадських місцях, дотримання режиму тиші тощо.</w:t>
            </w:r>
          </w:p>
        </w:tc>
        <w:tc>
          <w:tcPr>
            <w:tcW w:w="10693"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За 2024 рік було зафіксовано 7 випадків продажу алкоголю в нічний час, складено протоколи та накладено штрафів на суму 40 800,0 грн. За фактами виявлення торгівлі пивом (крім безалкогольного), алкогольними, слабоалкогольними напоями або тютюновими виробами з рук (продаж «сурогату») складено 11 протоколів за ч. 3 ст. 156 КУпАП та 1 протокол за ч. 4 ст. 156 КУпАП за повторне виявлення такого факту.</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Відповідно до Закону України «Про заходи щодо попередження та зменшення вживання тютюнових виробів і їх шкідливого впливу на здоров’я населення» та рішення Луцької міської ради від 29.06.2010 № 62/2 «Про впорядкування вживання тютюнових виробів на території м. Луцька» були здійснені рейди по дотриманню правил паління на території м. Луцька, зокрема біля закладів охорони здоров’я, зупинках громадського транспорту, навчальних закладів та зон відпочинку та проведені профілактичні бесіди з порушниками.</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12.</w:t>
            </w:r>
          </w:p>
        </w:tc>
        <w:tc>
          <w:tcPr>
            <w:tcW w:w="3775"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Забезпечення правопорядку, охорони прав, свобод і законних інтересів громадян.</w:t>
            </w:r>
          </w:p>
        </w:tc>
        <w:tc>
          <w:tcPr>
            <w:tcW w:w="10693" w:type="dxa"/>
            <w:tcBorders>
              <w:left w:val="single" w:sz="4" w:space="0" w:color="000000"/>
              <w:bottom w:val="single" w:sz="4" w:space="0" w:color="000000"/>
              <w:right w:val="single" w:sz="4" w:space="0" w:color="000000"/>
            </w:tcBorders>
            <w:shd w:fill="auto" w:val="clear"/>
          </w:tcPr>
          <w:p>
            <w:pPr>
              <w:pStyle w:val="Rvps2"/>
              <w:widowControl w:val="false"/>
              <w:shd w:val="clear" w:color="auto" w:fill="FFFFFF"/>
              <w:spacing w:before="0" w:after="0"/>
              <w:ind w:firstLine="567"/>
              <w:jc w:val="both"/>
              <w:rPr>
                <w:rFonts w:ascii="Times New Roman" w:hAnsi="Times New Roman"/>
                <w:color w:val="000000"/>
                <w:sz w:val="26"/>
                <w:szCs w:val="26"/>
                <w:lang w:val="uk-UA"/>
              </w:rPr>
            </w:pPr>
            <w:r>
              <w:rPr>
                <w:rFonts w:cs="Times New Roman" w:ascii="Times New Roman" w:hAnsi="Times New Roman"/>
                <w:bCs/>
                <w:color w:val="000000"/>
                <w:sz w:val="26"/>
                <w:szCs w:val="26"/>
                <w:lang w:val="uk-UA"/>
              </w:rPr>
              <w:t xml:space="preserve">З метою забезпечення охорони громадського порядку та недопущення вчинення різного роду правопорушень, пошкоджень комунального майна та елементів благоустрою, працівники департаменту муніципальної варти регулярно здійснюють чергування під час проведення масових заходів, у громадських місцях. </w:t>
            </w:r>
            <w:r>
              <w:rPr>
                <w:rFonts w:ascii="Times New Roman" w:hAnsi="Times New Roman"/>
                <w:color w:val="000000"/>
                <w:sz w:val="26"/>
                <w:szCs w:val="26"/>
                <w:lang w:val="uk-UA"/>
              </w:rPr>
              <w:t>Здійснюється патрулювання Центрального парку культури та відпочинку імені Лесі Українки, Театрального майдану та інших вулиць міста.</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3.2.4. Розвиток транспортної інфраструктури</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8"/>
        <w:gridCol w:w="3774"/>
        <w:gridCol w:w="10781"/>
      </w:tblGrid>
      <w:tr>
        <w:trPr>
          <w:trHeight w:val="615" w:hRule="atLeast"/>
        </w:trPr>
        <w:tc>
          <w:tcPr>
            <w:tcW w:w="578"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74"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7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74"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795" w:leader="none"/>
              </w:tabs>
              <w:ind w:firstLine="567"/>
              <w:jc w:val="both"/>
              <w:rPr>
                <w:rFonts w:ascii="Times New Roman" w:hAnsi="Times New Roman" w:eastAsia="Andale Sans UI;Arial Unicode MS" w:cs="Times New Roman"/>
                <w:color w:val="000000"/>
                <w:sz w:val="26"/>
                <w:szCs w:val="26"/>
                <w:lang w:val="uk-UA"/>
              </w:rPr>
            </w:pPr>
            <w:r>
              <w:rPr>
                <w:rFonts w:eastAsia="Andale Sans UI;Arial Unicode MS" w:cs="Times New Roman" w:ascii="Times New Roman" w:hAnsi="Times New Roman"/>
                <w:color w:val="000000"/>
                <w:sz w:val="26"/>
                <w:szCs w:val="26"/>
                <w:lang w:val="uk-UA"/>
              </w:rPr>
              <w:t>Проведення оптимізації маршрутної мережі.</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napToGrid w:val="false"/>
              <w:ind w:firstLine="482"/>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З метою покращення якості автобусних перевезень громади, повністю замінено автобуси на маршрутах № 22 та № 28 з екологічним показником Євро-2 на низько підлогові, пристосовані для перевезення інвалідів, великогабаритні автобуси пасажиромісткістю 80 місць з екологічним показником Євро-5; збільшено кількість автобусів на дві одиниці на міському маршруті № 31.</w:t>
            </w:r>
          </w:p>
        </w:tc>
      </w:tr>
      <w:tr>
        <w:trPr>
          <w:trHeight w:val="288" w:hRule="atLeast"/>
        </w:trPr>
        <w:tc>
          <w:tcPr>
            <w:tcW w:w="57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74"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Оновлення автобусного парку приватних перевізників , використання автобусів з екологічними вимогами не нижче Євро-5.</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napToGrid w:val="false"/>
              <w:ind w:firstLine="482"/>
              <w:jc w:val="both"/>
              <w:rPr>
                <w:rFonts w:ascii="Times New Roman" w:hAnsi="Times New Roman" w:eastAsia="Times New Roman" w:cs="Times New Roman"/>
                <w:color w:val="000000"/>
                <w:kern w:val="0"/>
                <w:sz w:val="26"/>
                <w:szCs w:val="26"/>
                <w:lang w:val="uk-UA" w:bidi="ar-SA"/>
              </w:rPr>
            </w:pPr>
            <w:r>
              <w:rPr>
                <w:rFonts w:eastAsia="Times New Roman" w:cs="Times New Roman" w:ascii="Times New Roman" w:hAnsi="Times New Roman"/>
                <w:color w:val="000000"/>
                <w:kern w:val="0"/>
                <w:sz w:val="26"/>
                <w:szCs w:val="26"/>
                <w:lang w:val="uk-UA" w:bidi="ar-SA"/>
              </w:rPr>
              <w:t>Проведено конкурси на перевезення пасажирів та визначено перевізників на міських маршрутах №№ 25, 30 та продовжено договори на перевезення пасажирів за маршрутами №№ 22, 28 де залучено до перевезень автобуси з екологічним показником Євро-5. Загальна кількість автобусів з екологічним показником Євро-5 станом на кінець 2024 року становила 107 одиниць.</w:t>
            </w:r>
          </w:p>
        </w:tc>
      </w:tr>
      <w:tr>
        <w:trPr>
          <w:trHeight w:val="288" w:hRule="atLeast"/>
        </w:trPr>
        <w:tc>
          <w:tcPr>
            <w:tcW w:w="57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74"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контролю за наданням транспортних послуг.</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napToGrid w:val="false"/>
              <w:ind w:firstLine="482"/>
              <w:jc w:val="both"/>
              <w:rPr>
                <w:rFonts w:ascii="Times New Roman" w:hAnsi="Times New Roman" w:eastAsia="Times New Roman" w:cs="Times New Roman"/>
                <w:color w:val="000000"/>
                <w:sz w:val="26"/>
                <w:szCs w:val="26"/>
                <w:lang w:val="uk-UA" w:eastAsia="uk-UA"/>
              </w:rPr>
            </w:pPr>
            <w:r>
              <w:rPr>
                <w:rFonts w:eastAsia="Times New Roman" w:cs="Times New Roman" w:ascii="Times New Roman" w:hAnsi="Times New Roman"/>
                <w:color w:val="000000"/>
                <w:sz w:val="26"/>
                <w:szCs w:val="26"/>
                <w:lang w:val="uk-UA" w:eastAsia="uk-UA"/>
              </w:rPr>
              <w:t>За зверненнями громадян було проведено перевірки виконання умов договорів на перевезення пасажирів. За результатами перевірок на перевізників складено 145 актів та винесено 22 приписи щодо усунення порушень виконання умов договорів на перевезення пасажирів автомобільним транспортом. За результатами перевірок перевізники на засіданні виконавчого комітету звітувались про роботу на відповідних маршрутах. Через незадовільне виконання перевізниками договірних зобов’язань у 2024 році були розірвані договори на перевезення пасажирів за маршрутами № 2 та № 24 та призначено за вказаними маршрутами інших перевізників.</w:t>
            </w:r>
          </w:p>
        </w:tc>
      </w:tr>
      <w:tr>
        <w:trPr>
          <w:trHeight w:val="288" w:hRule="atLeast"/>
        </w:trPr>
        <w:tc>
          <w:tcPr>
            <w:tcW w:w="57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74" w:type="dxa"/>
            <w:tcBorders>
              <w:left w:val="single" w:sz="4" w:space="0" w:color="000000"/>
              <w:bottom w:val="single" w:sz="4" w:space="0" w:color="000000"/>
            </w:tcBorders>
            <w:shd w:fill="auto" w:val="clear"/>
          </w:tcPr>
          <w:p>
            <w:pPr>
              <w:pStyle w:val="Normal"/>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Моніторинг пасажиропотоків за допомогою системи АСООП, вивчення громадської думки щодо оптимізації маршрутної мережі.</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snapToGrid w:val="false"/>
              <w:ind w:firstLine="482"/>
              <w:jc w:val="both"/>
              <w:rPr>
                <w:rFonts w:ascii="Times New Roman" w:hAnsi="Times New Roman" w:eastAsia="Times New Roman" w:cs="Times New Roman"/>
                <w:color w:val="000000"/>
                <w:sz w:val="26"/>
                <w:szCs w:val="26"/>
                <w:lang w:val="uk-UA" w:eastAsia="uk-UA" w:bidi="ar-SA"/>
              </w:rPr>
            </w:pPr>
            <w:r>
              <w:rPr>
                <w:rFonts w:eastAsia="Times New Roman" w:cs="Times New Roman" w:ascii="Times New Roman" w:hAnsi="Times New Roman"/>
                <w:color w:val="000000"/>
                <w:sz w:val="26"/>
                <w:szCs w:val="26"/>
                <w:lang w:val="uk-UA" w:eastAsia="uk-UA" w:bidi="ar-SA"/>
              </w:rPr>
              <w:t>Обладнання автоматизованої системи обліку оплати проїзду (АСООП) встановлено та функціонує у 57 тролейбусах і 160 автобусах.</w:t>
            </w:r>
          </w:p>
          <w:p>
            <w:pPr>
              <w:pStyle w:val="Normal"/>
              <w:widowControl w:val="false"/>
              <w:snapToGrid w:val="false"/>
              <w:ind w:firstLine="482"/>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eastAsia="uk-UA" w:bidi="ar-SA"/>
              </w:rPr>
              <w:t>При розгляді скарг та пропозицій громадян важливими для прийняття рішень є показники роб</w:t>
            </w:r>
            <w:r>
              <w:rPr>
                <w:rFonts w:eastAsia="Times New Roman" w:cs="Times New Roman" w:ascii="Times New Roman" w:hAnsi="Times New Roman"/>
                <w:color w:val="000000"/>
                <w:sz w:val="26"/>
                <w:szCs w:val="26"/>
                <w:shd w:fill="auto" w:val="clear"/>
                <w:lang w:val="uk-UA" w:eastAsia="uk-UA" w:bidi="ar-SA"/>
              </w:rPr>
              <w:t>оти транспорту, отримані за допомогою АСООП.</w:t>
            </w:r>
          </w:p>
          <w:p>
            <w:pPr>
              <w:pStyle w:val="Normal"/>
              <w:widowControl w:val="false"/>
              <w:snapToGrid w:val="false"/>
              <w:ind w:firstLine="482"/>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shd w:fill="auto" w:val="clear"/>
                <w:lang w:val="uk-UA" w:eastAsia="uk-UA" w:bidi="ar-SA"/>
              </w:rPr>
              <w:t xml:space="preserve">Всього за допомогою АСООП можна </w:t>
            </w:r>
            <w:r>
              <w:rPr>
                <w:rFonts w:eastAsia="Times New Roman" w:cs="Times New Roman" w:ascii="Times New Roman" w:hAnsi="Times New Roman"/>
                <w:color w:val="000000"/>
                <w:kern w:val="2"/>
                <w:sz w:val="26"/>
                <w:szCs w:val="26"/>
                <w:shd w:fill="auto" w:val="clear"/>
                <w:lang w:val="uk-UA" w:eastAsia="uk-UA" w:bidi="ar-SA"/>
              </w:rPr>
              <w:t>сформувати</w:t>
            </w:r>
            <w:r>
              <w:rPr>
                <w:rFonts w:eastAsia="Times New Roman" w:cs="Times New Roman" w:ascii="Times New Roman" w:hAnsi="Times New Roman"/>
                <w:color w:val="000000"/>
                <w:sz w:val="26"/>
                <w:szCs w:val="26"/>
                <w:shd w:fill="auto" w:val="clear"/>
                <w:lang w:val="uk-UA" w:eastAsia="uk-UA" w:bidi="ar-SA"/>
              </w:rPr>
              <w:t xml:space="preserve"> 34 звіти про пасажиропотоки, про транзакції та звіти управління (</w:t>
            </w:r>
            <w:r>
              <w:rPr>
                <w:rFonts w:ascii="Times New Roman" w:hAnsi="Times New Roman"/>
                <w:color w:val="000000"/>
                <w:sz w:val="26"/>
                <w:szCs w:val="26"/>
                <w:shd w:fill="auto" w:val="clear"/>
                <w:lang w:val="uk-UA"/>
              </w:rPr>
              <w:t xml:space="preserve">про робочий транспорт, виконання розкладу руху, завершення змін контролерів, </w:t>
            </w:r>
            <w:r>
              <w:rPr>
                <w:rFonts w:eastAsia="Times New Roman" w:cs="Times New Roman" w:ascii="Times New Roman" w:hAnsi="Times New Roman"/>
                <w:color w:val="000000"/>
                <w:sz w:val="26"/>
                <w:szCs w:val="26"/>
                <w:shd w:fill="auto" w:val="clear"/>
                <w:lang w:val="uk-UA" w:eastAsia="uk-UA" w:bidi="ar-SA"/>
              </w:rPr>
              <w:t>про пробіг, пасажиропотік в розрізі категорій (щоденний) та ін.).</w:t>
            </w:r>
          </w:p>
        </w:tc>
      </w:tr>
      <w:tr>
        <w:trPr>
          <w:trHeight w:val="288" w:hRule="atLeast"/>
        </w:trPr>
        <w:tc>
          <w:tcPr>
            <w:tcW w:w="57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74" w:type="dxa"/>
            <w:tcBorders>
              <w:left w:val="single" w:sz="4" w:space="0" w:color="000000"/>
              <w:bottom w:val="single" w:sz="4" w:space="0" w:color="000000"/>
            </w:tcBorders>
            <w:shd w:fill="auto" w:val="clear"/>
          </w:tcPr>
          <w:p>
            <w:pPr>
              <w:pStyle w:val="Normal"/>
              <w:widowControl w:val="false"/>
              <w:tabs>
                <w:tab w:val="clear" w:pos="720"/>
                <w:tab w:val="left" w:pos="795"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П</w:t>
            </w:r>
            <w:r>
              <w:rPr>
                <w:rFonts w:eastAsia="Andale Sans UI;Arial Unicode MS" w:cs="Times New Roman" w:ascii="Times New Roman" w:hAnsi="Times New Roman"/>
                <w:color w:val="000000"/>
                <w:sz w:val="26"/>
                <w:szCs w:val="26"/>
                <w:lang w:val="uk-UA"/>
              </w:rPr>
              <w:t>ерепланування, удосконалення транспортної системи, яка буде сприяти підвищенню якості життя громадян та гостей громади</w:t>
            </w:r>
            <w:r>
              <w:rPr>
                <w:rFonts w:cs="Times New Roman" w:ascii="Times New Roman" w:hAnsi="Times New Roman"/>
                <w:color w:val="000000"/>
                <w:sz w:val="26"/>
                <w:szCs w:val="26"/>
                <w:lang w:val="uk-UA"/>
              </w:rPr>
              <w:t>.</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snapToGrid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Приміські автобусні маршрути забезпечують перевезеннями пасажирів всі населені пункти Луцької міської територіальної громади. Всі маршрути організовано, враховуючи побажання жителів сіл громади.</w:t>
            </w:r>
          </w:p>
        </w:tc>
      </w:tr>
    </w:tbl>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3.3. СТВОРЕННЯ УМОВ ДЛЯ ПОКРАЩЕННЯ ЯКОСТІ ЖИТТЯ</w:t>
      </w:r>
    </w:p>
    <w:p>
      <w:pPr>
        <w:pStyle w:val="Normal"/>
        <w:tabs>
          <w:tab w:val="clear" w:pos="720"/>
          <w:tab w:val="left" w:pos="795" w:leader="none"/>
        </w:tabs>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tabs>
          <w:tab w:val="clear" w:pos="720"/>
          <w:tab w:val="left" w:pos="795" w:leader="none"/>
        </w:tabs>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3.3.1. Охорона здоров’я</w:t>
      </w:r>
    </w:p>
    <w:p>
      <w:pPr>
        <w:pStyle w:val="Normal"/>
        <w:tabs>
          <w:tab w:val="clear" w:pos="720"/>
          <w:tab w:val="left" w:pos="795" w:leader="none"/>
        </w:tabs>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58"/>
        <w:gridCol w:w="3794"/>
        <w:gridCol w:w="10781"/>
      </w:tblGrid>
      <w:tr>
        <w:trPr>
          <w:trHeight w:val="615" w:hRule="atLeast"/>
        </w:trPr>
        <w:tc>
          <w:tcPr>
            <w:tcW w:w="558"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94"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2671" w:hRule="atLeast"/>
        </w:trPr>
        <w:tc>
          <w:tcPr>
            <w:tcW w:w="55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94"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Контрактування комунальних підприємств охорони здоров’я Луцької міської територіальної громади з Національної службою здоров’я договорів на пакети надання медичних послуг за програмою державних медичних гарантій на 2024 рік.</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Відповідно до постанови Кабінету міністрів України від 22.12.2023 № 1394 «Деякі питання реалізації програми державних гарантій медичного обслуговування населення у 2024 році» з 01 січня 2024 року комунальними підприємствами охорони здоров’я Луцької міської територіальної громади укладені договори з Національною службою здоров’я України на надання медичних послуг за програмою державних медичних гарантій, в т. ч. за пакетом медичних послуг «Готовність закладу охорони здоров’я до надання медичної допомоги в надзвичайних умовах» на загальну суму 886,9 млн грн. Сплачено за надані послуги у 2024 році 954,7 млн грн (у 2023 році – 806,3 млн грн).</w:t>
            </w:r>
          </w:p>
        </w:tc>
      </w:tr>
      <w:tr>
        <w:trPr>
          <w:trHeight w:val="4229" w:hRule="atLeast"/>
        </w:trPr>
        <w:tc>
          <w:tcPr>
            <w:tcW w:w="55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94"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Виконання соціальних гарантій пільгових категорій мешканців Луцької міської територіальної громади в частині безоплатного та пільгового відпуску лікарських засобів, препаратів за життєво необхідними показами та певними категоріями захворювання в рамках виконання заходів Програми «Здоров’я мешканців Луцької міської територіальної громади на 2021-2025 роки».</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shd w:fill="auto" w:val="clear"/>
                <w:lang w:val="uk-UA"/>
              </w:rPr>
              <w:t>З метою забезпечення пільгових категорій громадян, які потребують постійного дороговартісного лікування та замісної терапії за життєвими показами безоплатними лікарськими засобами, препаратами, виробами медичного призначення, із бюджету було виділено 17 423,1 тис. грн для КП «Луцька міська дитяча поліклініка» та КП «Медичне об'єднання Луцької міської територіальної громади». За звітний період профінансовано 15 576,3 тис. грн та було передано кошти департаменту соціальної політики для надання адресної грошової допомоги пацієнтам у зв’язку з</w:t>
            </w:r>
            <w:r>
              <w:rPr>
                <w:rFonts w:cs="Times New Roman" w:ascii="Times New Roman" w:hAnsi="Times New Roman"/>
                <w:color w:val="000000"/>
                <w:sz w:val="26"/>
                <w:szCs w:val="26"/>
                <w:lang w:val="uk-UA"/>
              </w:rPr>
              <w:t xml:space="preserve"> відсутністю декларованих цін на відшкодування вартості лікарських препаратів на суму 1 828,1 тис. грн.</w:t>
            </w:r>
          </w:p>
        </w:tc>
      </w:tr>
      <w:tr>
        <w:trPr>
          <w:trHeight w:val="288" w:hRule="atLeast"/>
        </w:trPr>
        <w:tc>
          <w:tcPr>
            <w:tcW w:w="55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94"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Зміцнення репродуктивного здоров’я жіночого населення громади як важливої складової загального здоров’я, впливу на демографічну ситуацію, запровадження превентивних заходів у боротьбі з онкопатологіями та зменшення рівня захворюваності на рак шийки матки.</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реалізацію заходів Програми «Профілактика раку шийки матки шляхом вакцинації дівчат віком 9-14 років проти вірусу папіломи людини на 2023-2027 роки» на закупівлю вакцини проти вірусу папіломи людини для вакцинації дівчат віком 9-14 років бюджетом було передбачено 1 000,0 тис. грн (профінансовано 985,8 тис. грн).</w:t>
            </w:r>
          </w:p>
          <w:p>
            <w:pPr>
              <w:pStyle w:val="Normal"/>
              <w:widowControl w:val="false"/>
              <w:shd w:val="clear" w:color="auto" w:fill="FFFFFF"/>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КП «Луцька міська дитяча поліклініка» проведено тендерні процедури та закуплено 234 дози вакцини «Гардасил». Щеплення вакциною потребує двократного введення з інтервалом 6 місяців. Станом на 31.12.2024 двома дозами вакциновано 109 дівчат. У січні-лютому 2025 року підлягають вакцинації другою дозою ще 8 дівчат.</w:t>
            </w:r>
          </w:p>
        </w:tc>
      </w:tr>
      <w:tr>
        <w:trPr>
          <w:trHeight w:val="288" w:hRule="atLeast"/>
        </w:trPr>
        <w:tc>
          <w:tcPr>
            <w:tcW w:w="55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94"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Оновлення та осучаснення матеріально-технічної бази комунальних підприємств охорони здоров’я Луцької міської територіальної громади в (придбання рентгенапарату та пересувного флюорографа для КП «Медичне об’єднання Луцької міської територіальної громади», системи офісної гістероскопії, пульсоксиметру з неонатальним датчиком для КП «Луцький клінічний пологовий будинок», придбання апарату для виготовлення комп’ютерних томографічних знімків для КП «Луцька міська стоматологічна поліклініка» тощо).</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оновлення матеріально-технічної бази комунальних підприємств охорони здоров’я із бюджету профінансовано 9 856,2 тис. грн, а саме</w:t>
            </w:r>
            <w:r>
              <w:rPr>
                <w:rFonts w:ascii="Times New Roman" w:hAnsi="Times New Roman"/>
                <w:color w:val="000000"/>
                <w:sz w:val="26"/>
                <w:szCs w:val="26"/>
                <w:shd w:fill="auto" w:val="clear"/>
                <w:lang w:val="uk-UA"/>
              </w:rPr>
              <w:t xml:space="preserve">: на </w:t>
            </w:r>
            <w:r>
              <w:rPr>
                <w:rFonts w:ascii="Times New Roman" w:hAnsi="Times New Roman"/>
                <w:color w:val="000000"/>
                <w:sz w:val="26"/>
                <w:szCs w:val="26"/>
                <w:lang w:val="uk-UA"/>
              </w:rPr>
              <w:t>придбання рентгенапарату для консультативно-діагностичного центру, пересувного флюорографа, на співфінансування гранту програми Транскордонного Співробітництва Interreg NEXT Польща –Україна (придбання обладнання) для КП "Медичне об'єднання Луцької міської територіальної громади"; на придбання медичних меблів у стерилізаційне відділення, обладнання (системи) для холтерівського моніторування ЕКГ та артеріального тиску, датчика до апарату УЗД, датчика для аудіометра, операційного столу для операційного блоку, ліжок медичних для новонароджених та системи офісної гістероскопії для КП "Луцький клінічний пологовий будинок"; на придбання тренажера для відновлення моторних навичок управління (імітатора легкового автомобіля), комп’ютерної оргтехніки та на капітальний ремонт системи блискавкозахисту, пожежної сигналізації та мовленнєвого оповіщення для КП "Медичний центр реабілітації учасників бойових дій Луцької міської територіальної громади"; на придбання апарату для виготовлення комп'ютерних томографічних знімків для КП "Луцька міська клінічна стоматологічна поліклініка".</w:t>
            </w:r>
          </w:p>
        </w:tc>
      </w:tr>
      <w:tr>
        <w:trPr>
          <w:trHeight w:val="288" w:hRule="atLeast"/>
        </w:trPr>
        <w:tc>
          <w:tcPr>
            <w:tcW w:w="558"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94"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чіткої послідовності («маршрут пацієнта») в наданні якісної і доступної медичної допомоги жителям Луцької міської територіальної громади та підвищення юридичної відповідальності за організацію і наданням медичної допомоги.</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Стандартизація «маршруту пацієнта», посилення концентрації науково-професійного розвитку, матеріальних ресурсів, створення умов для розвитку медичної допомоги на європейському рівні та забезпечення чіткої послідовності в наданні якісної медичної допомоги, створило єдиний дієвий медичний простір, в центрі якого знаходиться пацієнт, з можливістю отримання лікарями повної інформації про стан здоров’я пацієнта і доступної медичної допомоги жителям Луцької міської територіальної громади та акумулювала юридичну відповідальність за організацію і надання медичної допомоги.</w:t>
            </w:r>
          </w:p>
        </w:tc>
      </w:tr>
      <w:tr>
        <w:trPr>
          <w:trHeight w:val="288" w:hRule="atLeast"/>
        </w:trPr>
        <w:tc>
          <w:tcPr>
            <w:tcW w:w="558"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94" w:type="dxa"/>
            <w:tcBorders>
              <w:left w:val="single" w:sz="4" w:space="0" w:color="000000"/>
              <w:bottom w:val="single" w:sz="4" w:space="0" w:color="000000"/>
            </w:tcBorders>
            <w:shd w:fill="auto" w:val="clear"/>
          </w:tcPr>
          <w:p>
            <w:pPr>
              <w:pStyle w:val="Standard"/>
              <w:widowControl w:val="false"/>
              <w:tabs>
                <w:tab w:val="clear" w:pos="720"/>
                <w:tab w:val="left" w:pos="795"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Подальше впровадження сучасних медичних технологій.</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 комунальних підприємствах охорони здоров’я Луцької МТГ постійно проводиться  впровадження наукових нововведень і сучасних методик діагностики та лікування, з них:</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в КП «Медичне об’єднання Луцької міської територіальної громади» </w:t>
            </w:r>
            <w:r>
              <w:rPr>
                <w:rFonts w:eastAsia="Times New Roman" w:cs="Times New Roman" w:ascii="Times New Roman" w:hAnsi="Times New Roman"/>
                <w:color w:val="000000"/>
                <w:sz w:val="26"/>
                <w:szCs w:val="26"/>
                <w:lang w:val="uk-UA"/>
              </w:rPr>
              <w:t>−</w:t>
            </w:r>
            <w:r>
              <w:rPr>
                <w:rFonts w:cs="Times New Roman" w:ascii="Times New Roman" w:hAnsi="Times New Roman"/>
                <w:color w:val="000000"/>
                <w:sz w:val="26"/>
                <w:szCs w:val="26"/>
                <w:lang w:val="uk-UA"/>
              </w:rPr>
              <w:t xml:space="preserve"> удосконалено напрямок ендокринної хірургії – налагоджено виконання оперативних втручань на щитовидній залозі з використанням новітніх технологій, проведення лапароскопічних втручань на наднирках. Розвинуто напрямок судинної хірургії: виконано композитне стегново-підколінне венозне стентування та стегново-передньовеликогомілкове реверсивне аутовенозне шунтування. Продовжує розвиватися напрямок баріатричної хірургії </w:t>
            </w:r>
            <w:r>
              <w:rPr>
                <w:rFonts w:eastAsia="Times New Roman" w:cs="Times New Roman" w:ascii="Times New Roman" w:hAnsi="Times New Roman"/>
                <w:color w:val="000000"/>
                <w:sz w:val="26"/>
                <w:szCs w:val="26"/>
                <w:lang w:val="uk-UA"/>
              </w:rPr>
              <w:t>–</w:t>
            </w:r>
            <w:r>
              <w:rPr>
                <w:rFonts w:cs="Times New Roman" w:ascii="Times New Roman" w:hAnsi="Times New Roman"/>
                <w:color w:val="000000"/>
                <w:sz w:val="26"/>
                <w:szCs w:val="26"/>
                <w:lang w:val="uk-UA"/>
              </w:rPr>
              <w:t xml:space="preserve"> вперше у Волинській області пацієнту з ожирінням виконано лапароскопічний мінігастрікбайпас. Інтервенційними кардіологами Медичного об’єднання запроваджена та широко використовується діагностична внутрішньосудинна процедура FFR </w:t>
            </w:r>
            <w:r>
              <w:rPr>
                <w:rFonts w:eastAsia="Times New Roman" w:cs="Times New Roman" w:ascii="Times New Roman" w:hAnsi="Times New Roman"/>
                <w:color w:val="000000"/>
                <w:sz w:val="26"/>
                <w:szCs w:val="26"/>
                <w:lang w:val="uk-UA"/>
              </w:rPr>
              <w:t>–</w:t>
            </w:r>
            <w:r>
              <w:rPr>
                <w:rFonts w:cs="Times New Roman" w:ascii="Times New Roman" w:hAnsi="Times New Roman"/>
                <w:color w:val="000000"/>
                <w:sz w:val="26"/>
                <w:szCs w:val="26"/>
                <w:lang w:val="uk-UA"/>
              </w:rPr>
              <w:t xml:space="preserve"> визначення функціонального резерву коронарного русла. Методика дає можливість оцінити, чи атеросклеротичне ураження (звуження) судин, які кровопостачають серцевий м’яз, є значимим та потребує лікування – ангіопластики або стентування. Також запроваджено методику IVUS – внутрішньосудинна ультразвукова візуалізація – один із найсучасніших методів діагностики, що дозволяє оцінити структуру, протяжність ушкодження, характер ураження, істинний розмір просвіту судини. Застосовується передовсім для виконання складних методик стентування, що є альтернативною аорто-коронарному шунтуванню. </w:t>
            </w:r>
            <w:r>
              <w:rPr>
                <w:rFonts w:cs="Times New Roman" w:ascii="Times New Roman" w:hAnsi="Times New Roman"/>
                <w:bCs/>
                <w:color w:val="000000"/>
                <w:sz w:val="26"/>
                <w:szCs w:val="26"/>
                <w:lang w:val="uk-UA"/>
              </w:rPr>
              <w:t>21.12.2024 – вперше в області було виконано два надскладних біфуркаційних стентування при ураженому стовбурі лівої коронарної артерії під контролем IVUS</w:t>
            </w:r>
            <w:r>
              <w:rPr>
                <w:rFonts w:cs="Times New Roman" w:ascii="Times New Roman" w:hAnsi="Times New Roman"/>
                <w:color w:val="000000"/>
                <w:sz w:val="26"/>
                <w:szCs w:val="26"/>
                <w:lang w:val="uk-UA"/>
              </w:rPr>
              <w:t>, що дало можливість допомогти пацієнтам малоінвазивним втручанням;</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 КП «Медичний центр реабілітації учасників бойових дій Луцької міської територіальної громади» продовжується впровадження та розвиток біопсихосоціальної моделі надання медичної допомоги;</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в КП «Луцька міська клінічна стоматологічна поліклініка» </w:t>
            </w:r>
            <w:r>
              <w:rPr>
                <w:rFonts w:eastAsia="Times New Roman" w:cs="Times New Roman" w:ascii="Times New Roman" w:hAnsi="Times New Roman"/>
                <w:color w:val="000000"/>
                <w:sz w:val="26"/>
                <w:szCs w:val="26"/>
                <w:lang w:val="uk-UA"/>
              </w:rPr>
              <w:t>−</w:t>
            </w:r>
            <w:r>
              <w:rPr>
                <w:rFonts w:cs="Times New Roman" w:ascii="Times New Roman" w:hAnsi="Times New Roman"/>
                <w:color w:val="000000"/>
                <w:sz w:val="26"/>
                <w:szCs w:val="26"/>
                <w:lang w:val="uk-UA"/>
              </w:rPr>
              <w:t xml:space="preserve"> втілення нових технологій, використання у роботі сучасних матеріалів для лікування твердих тканин зуба, пародонту та слизової оболонки ротової порожнини, виготовлення усіх існуючих на сьогоднішній день ортопедичних конструкцій. В поліклініці розпочали надавати нові послуги з ортодонтичного лікування, лікування зубів під мікроскопом, а також запрацював кабінет комп’ютерної томографії.</w:t>
            </w:r>
          </w:p>
        </w:tc>
      </w:tr>
    </w:tbl>
    <w:p>
      <w:pPr>
        <w:pStyle w:val="Normal"/>
        <w:jc w:val="center"/>
        <w:rPr>
          <w:rFonts w:ascii="Times New Roman" w:hAnsi="Times New Roman"/>
          <w:color w:val="000000"/>
          <w:sz w:val="26"/>
          <w:szCs w:val="26"/>
          <w:lang w:val="uk-UA"/>
        </w:rPr>
      </w:pPr>
      <w:r>
        <w:rPr/>
      </w:r>
    </w:p>
    <w:p>
      <w:pPr>
        <w:pStyle w:val="Normal"/>
        <w:jc w:val="center"/>
        <w:rPr>
          <w:rFonts w:ascii="Times New Roman" w:hAnsi="Times New Roman"/>
          <w:color w:val="000000"/>
          <w:sz w:val="26"/>
          <w:szCs w:val="26"/>
          <w:lang w:val="uk-UA"/>
        </w:rPr>
      </w:pPr>
      <w:r>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 xml:space="preserve">3.3.2. Освіта </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68"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9"/>
        <w:gridCol w:w="3777"/>
        <w:gridCol w:w="10812"/>
      </w:tblGrid>
      <w:tr>
        <w:trPr>
          <w:trHeight w:val="615" w:hRule="atLeast"/>
        </w:trPr>
        <w:tc>
          <w:tcPr>
            <w:tcW w:w="579"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77"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81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7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77"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uk-UA"/>
              </w:rPr>
              <w:t>З</w:t>
            </w:r>
            <w:r>
              <w:rPr>
                <w:rFonts w:cs="Times New Roman" w:ascii="Times New Roman" w:hAnsi="Times New Roman"/>
                <w:color w:val="000000"/>
                <w:sz w:val="26"/>
                <w:szCs w:val="26"/>
                <w:lang w:val="uk-UA"/>
              </w:rPr>
              <w:t>абезпечення психологічного супроводу освітнього процесу та впровадження програм психоемоційної підтримки для учасників освітнього процесу.</w:t>
            </w:r>
          </w:p>
        </w:tc>
        <w:tc>
          <w:tcPr>
            <w:tcW w:w="10812"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2024 році для забезпечення психологічного супроводу освітнього процесу та впровадження програм психоемоційної підтримки учасників освітнього процесу будо реалізовано наступні заходи та проєкти.</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Практичні психологи ЗЗСО взали участь в арттерапевтичному ретриті за програмою «Основи теорії і практики арттерапії в роботі з дітьми» на базі Інтеграційного центру «Замлиння» Ковельського району.</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Департаментом освіти Луцької міської ради, НМК психологічної служби у співпраці з ВБО «Український фонд “Благополуччя дітей”», факультетом педагогічної освіти і соціальної роботи ВНУ імені Лесі Українки продовжено реалізацію програми «Коло сили». Проведений цикл тренінгових занять для молодших школярів, підлітків та їх батьків щодо підтримки життєстійкості, відновлення ментального здоров’я, навчання технік регуляції емоційної сфери, навичок комунікації та безпечної поведінки у період війни (щотижневі інтерактивні зустрічі відвідали 38 дорослих і 40 дітей закладів освіти Луцької МТГ із числа внутрішньо переміщених осіб, родин, у яких батьки мобілізовані або загинули під час виконання бойових завдань).</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 рамках співпраці з ВНУ імені Л. Українки організовано проведення онлайн-опитування серед учнів 9-11 класів та батьків на тему: «Психологічні особливості прояву тривалого травматичного стресу у підлітків під час війни».</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Завершено реалізацію програми для дітей дошкільного віку «Не смійся з мене» (охоплено 119 </w:t>
            </w:r>
            <w:r>
              <w:rPr>
                <w:rFonts w:cs="Times New Roman" w:ascii="Times New Roman" w:hAnsi="Times New Roman"/>
                <w:color w:val="000000"/>
                <w:sz w:val="26"/>
                <w:szCs w:val="26"/>
                <w:lang w:val="uk-UA" w:eastAsia="uk-UA"/>
              </w:rPr>
              <w:t>дітей</w:t>
            </w:r>
            <w:r>
              <w:rPr>
                <w:rFonts w:cs="Times New Roman" w:ascii="Times New Roman" w:hAnsi="Times New Roman"/>
                <w:color w:val="000000"/>
                <w:sz w:val="26"/>
                <w:szCs w:val="26"/>
                <w:lang w:val="uk-UA"/>
              </w:rPr>
              <w:t>), програми з формування стійкості до стресу в дітей дошкільного віку та школярів «Безпечний простір» (охоплено 673 </w:t>
            </w:r>
            <w:r>
              <w:rPr>
                <w:rFonts w:cs="Times New Roman" w:ascii="Times New Roman" w:hAnsi="Times New Roman"/>
                <w:color w:val="000000"/>
                <w:sz w:val="26"/>
                <w:szCs w:val="26"/>
                <w:lang w:val="uk-UA" w:eastAsia="uk-UA"/>
              </w:rPr>
              <w:t>дитини</w:t>
            </w:r>
            <w:r>
              <w:rPr>
                <w:rFonts w:cs="Times New Roman" w:ascii="Times New Roman" w:hAnsi="Times New Roman"/>
                <w:color w:val="000000"/>
                <w:sz w:val="26"/>
                <w:szCs w:val="26"/>
                <w:lang w:val="uk-UA"/>
              </w:rPr>
              <w:t>), «Безпечне місце» (охоплено 42 дитини).</w:t>
            </w:r>
          </w:p>
          <w:p>
            <w:pPr>
              <w:pStyle w:val="ListParagraph"/>
              <w:widowControl w:val="false"/>
              <w:tabs>
                <w:tab w:val="clear" w:pos="720"/>
                <w:tab w:val="left" w:pos="284" w:leader="none"/>
              </w:tabs>
              <w:ind w:left="0"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Організовано участь практичних психологів ЗДО, ЗЗСО в тренінгу «Психологічна підтримка дітей в умовах війни» та </w:t>
            </w:r>
            <w:r>
              <w:rPr>
                <w:rFonts w:cs="Times New Roman" w:ascii="Times New Roman" w:hAnsi="Times New Roman"/>
                <w:b w:val="false"/>
                <w:bCs w:val="false"/>
                <w:i w:val="false"/>
                <w:iCs w:val="false"/>
                <w:color w:val="000000"/>
                <w:sz w:val="26"/>
                <w:szCs w:val="26"/>
                <w:shd w:fill="auto" w:val="clear"/>
                <w:lang w:val="uk-UA"/>
              </w:rPr>
              <w:t>розповсюдження «Кишенькового посібника психологічної допомоги» (в рамках співпраці з БФ «Рокада»).</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b w:val="false"/>
                <w:bCs w:val="false"/>
                <w:i w:val="false"/>
                <w:iCs w:val="false"/>
                <w:color w:val="000000"/>
                <w:sz w:val="26"/>
                <w:szCs w:val="26"/>
                <w:shd w:fill="auto" w:val="clear"/>
                <w:lang w:val="uk-UA"/>
              </w:rPr>
              <w:t>Організовано впровадження занять за навча</w:t>
            </w:r>
            <w:r>
              <w:rPr>
                <w:rFonts w:cs="Times New Roman" w:ascii="Times New Roman" w:hAnsi="Times New Roman"/>
                <w:color w:val="000000"/>
                <w:sz w:val="26"/>
                <w:szCs w:val="26"/>
                <w:lang w:val="uk-UA"/>
              </w:rPr>
              <w:t>льно-методичним посібником «Як ти? Уроки з психології для школярів 10-14 років» на годинах психолога, соціального педагога, виховних годинах тощо.</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Залучено працівників психологічних служб, вчителів ЗЗСО до участі в онлайн-курсах, тренінгах: «Адаптація роботи психологічних служб шкіл до викликів, зумовлених війною; «Про.Безпеку: безпечна екосистема громади» «Психоемоційна підтримка освітян».</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Працівниками НМК ПС проведено інтерактивні заняття для голів профспілкових комітетів ЗДО, ЗЗСО на тему: «Психосоціальна підтримка працівників освіти в умовах викликів війни».</w:t>
            </w:r>
          </w:p>
          <w:p>
            <w:pPr>
              <w:pStyle w:val="ListParagraph"/>
              <w:widowControl w:val="false"/>
              <w:tabs>
                <w:tab w:val="clear" w:pos="720"/>
                <w:tab w:val="left" w:pos="284"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Продовжено викладання факультативних курсів для школярів: «Формування навичок безпечної поведінки дітей» (ЗЗСО №№ 2, 3, 34), «Вирішую конфлікти та будую мир навколо себе» (ЗЗСО №№ 3, 8, 11, 22), «Особиста гідність, безпека життя, громадянська позиція» (ЗЗСО № 10), «Психологія спілкування» (ЗЗСО № 19), «Формування морально-духовних цінностей» (ЗЗСО № 10).</w:t>
            </w:r>
          </w:p>
          <w:p>
            <w:pPr>
              <w:pStyle w:val="ListParagraph"/>
              <w:widowControl w:val="false"/>
              <w:tabs>
                <w:tab w:val="clear" w:pos="720"/>
                <w:tab w:val="left" w:pos="284" w:leader="none"/>
                <w:tab w:val="left" w:pos="457" w:leader="none"/>
              </w:tabs>
              <w:ind w:left="0"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Працівники департаменту освіти, н</w:t>
            </w:r>
            <w:r>
              <w:rPr>
                <w:rFonts w:ascii="Times New Roman" w:hAnsi="Times New Roman"/>
                <w:color w:val="000000"/>
                <w:sz w:val="26"/>
                <w:szCs w:val="26"/>
                <w:lang w:val="uk-UA"/>
              </w:rPr>
              <w:t xml:space="preserve">авчально-методичного кабінету </w:t>
            </w:r>
            <w:r>
              <w:rPr>
                <w:rFonts w:cs="Times New Roman" w:ascii="Times New Roman" w:hAnsi="Times New Roman"/>
                <w:color w:val="000000"/>
                <w:sz w:val="26"/>
                <w:szCs w:val="26"/>
                <w:lang w:val="uk-UA"/>
              </w:rPr>
              <w:t>психологічної служби, практичні психологи ЗДО, ЗЗСО взяли участь у Дні спільнодії «Майстерка ментального здоров’я» в межах Всеукраїнської програми ментального здоров’я «Ти як?», організованому Волинською ОВА у партнерстві з управлінням соціальних служб для сім’ї, дітей та молоді та департаментом освіти Луцької міської ради. Забезпечено роботу діагностичної, консультативної, інтерактивної локацій. Залучено понад 200 дітей та батьків.</w:t>
            </w:r>
          </w:p>
          <w:p>
            <w:pPr>
              <w:pStyle w:val="ListParagraph"/>
              <w:widowControl w:val="false"/>
              <w:tabs>
                <w:tab w:val="clear" w:pos="720"/>
                <w:tab w:val="left" w:pos="284" w:leader="none"/>
                <w:tab w:val="left" w:pos="457" w:leader="none"/>
              </w:tabs>
              <w:ind w:left="0"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rPr>
              <w:t>Проведено засідання Школи початкового соціального педагога на тему «Життя в ритмі війни: інструменти для ресурсної допомоги внутрішньо переміщеним особам та сім’ям військовослужбовців».</w:t>
            </w:r>
          </w:p>
          <w:p>
            <w:pPr>
              <w:pStyle w:val="ListParagraph"/>
              <w:widowControl w:val="false"/>
              <w:tabs>
                <w:tab w:val="clear" w:pos="720"/>
                <w:tab w:val="left" w:pos="284" w:leader="none"/>
                <w:tab w:val="left" w:pos="457" w:leader="none"/>
              </w:tabs>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Працівниками навчально-методичного кабінету психологічної служби </w:t>
            </w:r>
            <w:r>
              <w:rPr>
                <w:rFonts w:eastAsia="Times New Roman" w:cs="Times New Roman" w:ascii="Times New Roman" w:hAnsi="Times New Roman"/>
                <w:color w:val="000000"/>
                <w:sz w:val="26"/>
                <w:szCs w:val="26"/>
                <w:lang w:val="uk-UA" w:eastAsia="ru-RU"/>
              </w:rPr>
              <w:t>для практичних психологів ЗДО</w:t>
            </w:r>
            <w:r>
              <w:rPr>
                <w:rFonts w:cs="Times New Roman" w:ascii="Times New Roman" w:hAnsi="Times New Roman"/>
                <w:color w:val="000000"/>
                <w:sz w:val="26"/>
                <w:szCs w:val="26"/>
                <w:lang w:val="uk-UA"/>
              </w:rPr>
              <w:t xml:space="preserve"> проведено</w:t>
            </w:r>
            <w:r>
              <w:rPr>
                <w:rFonts w:eastAsia="Times New Roman" w:cs="Times New Roman" w:ascii="Times New Roman" w:hAnsi="Times New Roman"/>
                <w:color w:val="000000"/>
                <w:sz w:val="26"/>
                <w:szCs w:val="26"/>
                <w:lang w:val="uk-UA" w:eastAsia="ru-RU"/>
              </w:rPr>
              <w:t xml:space="preserve">: майстер-класи: «Методика МастерМайнд: колективна сила для особистого, творчого та професійного зростання»; «Подолання викликів війни, перша психологічна допомога: алгоритм дій»; </w:t>
            </w:r>
            <w:r>
              <w:rPr>
                <w:rFonts w:cs="Times New Roman" w:ascii="Times New Roman" w:hAnsi="Times New Roman"/>
                <w:color w:val="000000"/>
                <w:sz w:val="26"/>
                <w:szCs w:val="26"/>
                <w:lang w:val="uk-UA"/>
              </w:rPr>
              <w:t>флеш-семінари: «</w:t>
            </w:r>
            <w:r>
              <w:rPr>
                <w:rFonts w:eastAsia="Times New Roman" w:cs="Times New Roman" w:ascii="Times New Roman" w:hAnsi="Times New Roman"/>
                <w:color w:val="000000"/>
                <w:sz w:val="26"/>
                <w:szCs w:val="26"/>
                <w:lang w:val="uk-UA" w:eastAsia="ru-RU"/>
              </w:rPr>
              <w:t>Прив’язаність як ознака якості первинних стосунків</w:t>
            </w:r>
            <w:r>
              <w:rPr>
                <w:rFonts w:cs="Times New Roman" w:ascii="Times New Roman" w:hAnsi="Times New Roman"/>
                <w:color w:val="000000"/>
                <w:sz w:val="26"/>
                <w:szCs w:val="26"/>
                <w:lang w:val="uk-UA"/>
              </w:rPr>
              <w:t>» та ін.</w:t>
            </w:r>
          </w:p>
          <w:p>
            <w:pPr>
              <w:pStyle w:val="ListParagraph"/>
              <w:widowControl w:val="false"/>
              <w:tabs>
                <w:tab w:val="clear" w:pos="720"/>
                <w:tab w:val="left" w:pos="284" w:leader="none"/>
                <w:tab w:val="left" w:pos="426" w:leader="none"/>
                <w:tab w:val="left" w:pos="457" w:leader="none"/>
              </w:tabs>
              <w:ind w:left="0"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eastAsia="uk-UA"/>
              </w:rPr>
              <w:t>В</w:t>
            </w:r>
            <w:r>
              <w:rPr>
                <w:rFonts w:eastAsia="Calibri" w:cs="Times New Roman" w:ascii="Times New Roman" w:hAnsi="Times New Roman"/>
                <w:color w:val="000000"/>
                <w:sz w:val="26"/>
                <w:szCs w:val="26"/>
                <w:lang w:val="uk-UA"/>
              </w:rPr>
              <w:t xml:space="preserve"> рамках Дня ментального здоров’я працівниками психологічних служб, </w:t>
            </w:r>
            <w:r>
              <w:rPr>
                <w:rFonts w:eastAsia="Times New Roman" w:cs="Times New Roman" w:ascii="Times New Roman" w:hAnsi="Times New Roman"/>
                <w:color w:val="000000"/>
                <w:sz w:val="26"/>
                <w:szCs w:val="26"/>
                <w:lang w:val="uk-UA" w:eastAsia="ru-RU"/>
              </w:rPr>
              <w:t xml:space="preserve">вчителями </w:t>
            </w:r>
            <w:r>
              <w:rPr>
                <w:rFonts w:eastAsia="Calibri" w:cs="Times New Roman" w:ascii="Times New Roman" w:hAnsi="Times New Roman"/>
                <w:color w:val="000000"/>
                <w:sz w:val="26"/>
                <w:szCs w:val="26"/>
                <w:lang w:val="uk-UA"/>
              </w:rPr>
              <w:t xml:space="preserve">ЗЗСО, ЗПО </w:t>
            </w:r>
            <w:r>
              <w:rPr>
                <w:rFonts w:eastAsia="Times New Roman" w:cs="Times New Roman" w:ascii="Times New Roman" w:hAnsi="Times New Roman"/>
                <w:color w:val="000000"/>
                <w:sz w:val="26"/>
                <w:szCs w:val="26"/>
                <w:lang w:val="uk-UA" w:eastAsia="ru-RU"/>
              </w:rPr>
              <w:t xml:space="preserve">Луцької МТГ </w:t>
            </w:r>
            <w:r>
              <w:rPr>
                <w:rFonts w:eastAsia="Calibri" w:cs="Times New Roman" w:ascii="Times New Roman" w:hAnsi="Times New Roman"/>
                <w:color w:val="000000"/>
                <w:sz w:val="26"/>
                <w:szCs w:val="26"/>
                <w:lang w:val="uk-UA"/>
              </w:rPr>
              <w:t xml:space="preserve">проведено </w:t>
            </w:r>
            <w:r>
              <w:rPr>
                <w:rFonts w:cs="Times New Roman" w:ascii="Times New Roman" w:hAnsi="Times New Roman"/>
                <w:color w:val="000000"/>
                <w:sz w:val="26"/>
                <w:szCs w:val="26"/>
                <w:lang w:val="uk-UA"/>
              </w:rPr>
              <w:t xml:space="preserve">Всеукраїнську практику «Моментал – момент турботи про себе»; </w:t>
            </w:r>
            <w:r>
              <w:rPr>
                <w:rFonts w:eastAsia="Times New Roman" w:cs="Times New Roman" w:ascii="Times New Roman" w:hAnsi="Times New Roman"/>
                <w:color w:val="000000"/>
                <w:sz w:val="26"/>
                <w:szCs w:val="26"/>
                <w:lang w:val="uk-UA" w:eastAsia="ru-RU"/>
              </w:rPr>
              <w:t>просвітницькі уроки, практикуми з ментального здоров’я та інші.</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77" w:type="dxa"/>
            <w:tcBorders>
              <w:left w:val="single" w:sz="4" w:space="0" w:color="000000"/>
              <w:bottom w:val="single" w:sz="4" w:space="0" w:color="000000"/>
            </w:tcBorders>
            <w:shd w:fill="auto" w:val="clear"/>
          </w:tcPr>
          <w:p>
            <w:pPr>
              <w:pStyle w:val="Normal"/>
              <w:widowControl w:val="false"/>
              <w:tabs>
                <w:tab w:val="clear" w:pos="720"/>
                <w:tab w:val="left" w:pos="2520"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uk-UA"/>
              </w:rPr>
              <w:t>Забезпечення належної к</w:t>
            </w:r>
            <w:r>
              <w:rPr>
                <w:rFonts w:cs="Times New Roman" w:ascii="Times New Roman" w:hAnsi="Times New Roman"/>
                <w:color w:val="000000"/>
                <w:sz w:val="26"/>
                <w:szCs w:val="26"/>
                <w:lang w:val="uk-UA"/>
              </w:rPr>
              <w:t>оординації процесу впровадження в практику роботи закладів загальної середньої освіти електронних журналів.</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 2023/2024, 2024/2025 навчальних роках в усіх закладах загальної середньої освіти застосовувались електронні журнали та щоденники на самостійно обраних ЗЗСО платформах, серед яких: «Нові знання», «Єдина школа», «Prosvita», «E-Jornal» та інші.</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22 ЗЗСО паралельно ведуть паперові журнали для випускних класів (пересторога щодо відключення подачі електроенергії та інші ситуації, що пов’язані із військовим станом).</w:t>
            </w:r>
          </w:p>
        </w:tc>
      </w:tr>
      <w:tr>
        <w:trPr>
          <w:trHeight w:val="288" w:hRule="atLeast"/>
        </w:trPr>
        <w:tc>
          <w:tcPr>
            <w:tcW w:w="57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77"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Продовження дієвої співпраці із закладами дошкільної та загальної середньої освіти приватної форми власності, що розташовані на території Луцької міської територіальної громади.</w:t>
            </w:r>
          </w:p>
        </w:tc>
        <w:tc>
          <w:tcPr>
            <w:tcW w:w="1081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Продовжується співпраця з приватними закладами освіти щодо наповнення інформаційної системи АІКОМ (освітня субвенція), ЄДЕБО (видача документів про освіту випускникам 4, 9, 11 класів).</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Також приватні заклади освіти долучені до методичної роботи з педагогами, беруть участь у навчально-методичних семінарах заступників директорів. Учні приватних ЗЗСО («Скарбниця мудрості», «Ай ті степ скул») брали участь у різноманітних конкурсах, спортивних змаганнях, олімпіадах.</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7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Впровадження енергосервісних послуг у 35 закладах освіти.</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даний час здійснюється надання послуг з енергосервісу у 35 закладах освіти на загальну суму 230,0 млн грн. Утеплено горища у 8 будівлях.</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Виконано утеплення фасадів 18 будівель, заплановано утеплення фасадів у 4 будівлях. Також виконано монтаж теплових насосів, ІТП, модернізовано внутрішні системи опалення та освітлення. Впроваджено систему диспетчеризації та віддаленого управління і контролю (аналізу) енергоспоживання на об’єктах </w:t>
            </w:r>
            <w:r>
              <w:rPr>
                <w:rFonts w:cs="Times New Roman" w:ascii="Times New Roman" w:hAnsi="Times New Roman"/>
                <w:color w:val="000000"/>
                <w:sz w:val="26"/>
                <w:szCs w:val="26"/>
                <w:lang w:val="uk-UA"/>
              </w:rPr>
              <w:t>енергосервісу.</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77" w:type="dxa"/>
            <w:tcBorders>
              <w:left w:val="single" w:sz="4" w:space="0" w:color="000000"/>
              <w:bottom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uk-UA"/>
              </w:rPr>
              <w:t>Продовження удосконалення мережевої освіти на базі Міжшкільного ресурсного центру.</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shd w:fill="auto" w:val="clear"/>
                <w:lang w:val="uk-UA"/>
              </w:rPr>
              <w:t xml:space="preserve">У </w:t>
            </w:r>
            <w:r>
              <w:rPr>
                <w:rFonts w:cs="Times New Roman" w:ascii="Times New Roman" w:hAnsi="Times New Roman"/>
                <w:color w:val="000000"/>
                <w:sz w:val="26"/>
                <w:szCs w:val="26"/>
                <w:shd w:fill="auto" w:val="clear"/>
                <w:lang w:val="uk-UA" w:eastAsia="uk-UA"/>
              </w:rPr>
              <w:t>Міжшкільному ресурсному центрі</w:t>
            </w:r>
            <w:r>
              <w:rPr>
                <w:rFonts w:cs="Times New Roman" w:ascii="Times New Roman" w:hAnsi="Times New Roman"/>
                <w:color w:val="000000"/>
                <w:sz w:val="26"/>
                <w:szCs w:val="26"/>
                <w:shd w:fill="auto" w:val="clear"/>
                <w:lang w:val="uk-UA"/>
              </w:rPr>
              <w:t xml:space="preserve"> здійснюється допрофесійна і професійна підготовка старшокласників за профілями «Водій категорії С», «Перукар-візажист», «Кравець». У 2024 році за результатами навчання 189 учнів отримали документи про допрофесійну підготовку. </w:t>
            </w:r>
            <w:r>
              <w:rPr>
                <w:rFonts w:ascii="Times New Roman" w:hAnsi="Times New Roman"/>
                <w:bCs/>
                <w:color w:val="000000"/>
                <w:spacing w:val="-1"/>
                <w:sz w:val="26"/>
                <w:szCs w:val="26"/>
                <w:shd w:fill="auto" w:val="clear"/>
                <w:lang w:val="uk-UA" w:eastAsia="uk-UA"/>
              </w:rPr>
              <w:t xml:space="preserve">Планується розпочати роботу на таких нових профілях, як: «Тракторист-машиніст», «Майстер художніх виробів з дерева», «Захист Вітчизни», «Укладач бруківки» та розширити співпрацю з обласним центрами зайнятості. </w:t>
            </w:r>
            <w:r>
              <w:rPr>
                <w:rFonts w:cs="Times New Roman" w:ascii="Times New Roman" w:hAnsi="Times New Roman"/>
                <w:bCs/>
                <w:color w:val="000000"/>
                <w:spacing w:val="-1"/>
                <w:sz w:val="26"/>
                <w:szCs w:val="26"/>
                <w:shd w:fill="auto" w:val="clear"/>
                <w:lang w:val="uk-UA" w:eastAsia="uk-UA"/>
              </w:rPr>
              <w:t>У 2024 - 2026 роках на базі Центру планується впровадження міжнародного проєкту «Розвиваємо STEM-освіту разом: інноваційне навчання в Ліппе та Луцьку».</w:t>
            </w:r>
          </w:p>
        </w:tc>
      </w:tr>
      <w:tr>
        <w:trPr>
          <w:trHeight w:val="288" w:hRule="atLeast"/>
        </w:trPr>
        <w:tc>
          <w:tcPr>
            <w:tcW w:w="57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77" w:type="dxa"/>
            <w:tcBorders>
              <w:top w:val="single" w:sz="4" w:space="0" w:color="000000"/>
              <w:left w:val="single" w:sz="4" w:space="0" w:color="000000"/>
              <w:bottom w:val="single" w:sz="4" w:space="0" w:color="000000"/>
            </w:tcBorders>
            <w:shd w:fill="auto" w:val="clear"/>
          </w:tcPr>
          <w:p>
            <w:pPr>
              <w:pStyle w:val="Standard"/>
              <w:widowControl w:val="false"/>
              <w:ind w:firstLine="323"/>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Добудова закладу загальної середньої освіти № 13.</w:t>
            </w:r>
          </w:p>
        </w:tc>
        <w:tc>
          <w:tcPr>
            <w:tcW w:w="1081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rFonts w:ascii="Times New Roman" w:hAnsi="Times New Roman" w:cs="Times New Roman"/>
                <w:color w:val="000000"/>
                <w:sz w:val="26"/>
                <w:szCs w:val="26"/>
                <w:shd w:fill="auto" w:val="clear"/>
                <w:lang w:val="uk-UA"/>
              </w:rPr>
            </w:pPr>
            <w:r>
              <w:rPr>
                <w:rFonts w:cs="Times New Roman" w:ascii="Times New Roman" w:hAnsi="Times New Roman"/>
                <w:color w:val="000000"/>
                <w:kern w:val="0"/>
                <w:sz w:val="26"/>
                <w:szCs w:val="26"/>
                <w:shd w:fill="auto" w:val="clear"/>
                <w:lang w:val="uk-UA"/>
              </w:rPr>
              <w:t>У 2024 році проведено тендер на визначення переможця для виконання відповідних робіт, підписано договір з підрядником та розпочато будівельні роботи.</w:t>
            </w:r>
          </w:p>
        </w:tc>
      </w:tr>
      <w:tr>
        <w:trPr>
          <w:trHeight w:val="288" w:hRule="atLeast"/>
        </w:trPr>
        <w:tc>
          <w:tcPr>
            <w:tcW w:w="57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777" w:type="dxa"/>
            <w:tcBorders>
              <w:top w:val="single" w:sz="4" w:space="0" w:color="000000"/>
              <w:left w:val="single" w:sz="4" w:space="0" w:color="000000"/>
              <w:bottom w:val="single" w:sz="4" w:space="0" w:color="000000"/>
            </w:tcBorders>
            <w:shd w:fill="auto" w:val="clear"/>
          </w:tcPr>
          <w:p>
            <w:pPr>
              <w:pStyle w:val="Normal"/>
              <w:widowControl w:val="false"/>
              <w:ind w:firstLine="323"/>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Добудова закладу загальної середньої освіти № 32.</w:t>
            </w:r>
          </w:p>
        </w:tc>
        <w:tc>
          <w:tcPr>
            <w:tcW w:w="1081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2024 році роботи не проводились. Виконується коригування ПКД.</w:t>
            </w:r>
          </w:p>
        </w:tc>
      </w:tr>
      <w:tr>
        <w:trPr>
          <w:trHeight w:val="5610" w:hRule="atLeast"/>
        </w:trPr>
        <w:tc>
          <w:tcPr>
            <w:tcW w:w="57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777" w:type="dxa"/>
            <w:tcBorders>
              <w:top w:val="single" w:sz="4" w:space="0" w:color="000000"/>
              <w:left w:val="single" w:sz="4" w:space="0" w:color="000000"/>
              <w:bottom w:val="single" w:sz="4" w:space="0" w:color="000000"/>
            </w:tcBorders>
            <w:shd w:fill="auto" w:val="clear"/>
          </w:tcPr>
          <w:p>
            <w:pPr>
              <w:pStyle w:val="Normal"/>
              <w:widowControl w:val="false"/>
              <w:ind w:firstLine="323"/>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Формування регіонального замовлення на підготовку робітничих кадрів (мережі спеціальностей, груп та учнів) у закладах професійно-технічної освіти.</w:t>
            </w:r>
          </w:p>
        </w:tc>
        <w:tc>
          <w:tcPr>
            <w:tcW w:w="1081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bCs/>
                <w:color w:val="000000"/>
                <w:spacing w:val="-1"/>
                <w:sz w:val="26"/>
                <w:szCs w:val="26"/>
                <w:lang w:val="uk-UA" w:eastAsia="uk-UA"/>
              </w:rPr>
            </w:pPr>
            <w:r>
              <w:rPr>
                <w:rFonts w:ascii="Times New Roman" w:hAnsi="Times New Roman"/>
                <w:bCs/>
                <w:color w:val="000000"/>
                <w:spacing w:val="-1"/>
                <w:sz w:val="26"/>
                <w:szCs w:val="26"/>
                <w:lang w:val="uk-UA" w:eastAsia="uk-UA"/>
              </w:rPr>
              <w:t>Розпорядженням Волинської обласної військової адміністрації від 10.06.2024 № 234 затверджено обсяг регіонального замовлення на підготовку фахівців та робітничих кадрів у закладах професійної (професійно-технічної), фахової передвищої та вищої освіти Волинської області на 2024 рік та прогнозних обсягів регіонального замовлення на 2024-2026 роки.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бюджету Луцької МТГ продовжують фінансуватися п’ять  закладів професійної освіти, з них два є структурними підрозділами закладів вищої освіти. Загалом обсяг регіонального замовлення на підготовку робітничих кадрів та фахових молодших бакалаврів у закладах професійної (професійно-технічної) освіти на 2024 рік змінився з 1 079 осіб на 1 129 осіб. Виконання обсягу державного (регіонального) замовлення робітничих кадрів та фахових молодших бакалаврів у 2024 році склало 1 061 учень.</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базі Державного професійно-технічного навчального закладу «Луцьке вище професійне училище» створено навчально-практичний центр з підготовки кваліфікованих робітників за професією «Верстатник широкого профілю». Співфінансування з бюджету Луцької МТГ становить 3 000 000,0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базі Державного професійно-технічного навчального закладу «Луцьке вище професійне училище будівництва та архітектури» створено навчально-практичний центр з підготовки кваліфікованих робітників за професіями: «Верстатник деревообробних верстатів», «Столяр», «Столяр будівельний», спеціальність «Лісове господарство», ОПП «Обробка деревини». Співфінансування з бюджету Луцької МТГ становить 100 000,0 грн.</w:t>
            </w:r>
          </w:p>
          <w:p>
            <w:pPr>
              <w:pStyle w:val="Normal"/>
              <w:widowControl w:val="false"/>
              <w:ind w:firstLine="567"/>
              <w:jc w:val="both"/>
              <w:rPr>
                <w:rFonts w:ascii="Times New Roman" w:hAnsi="Times New Roman"/>
                <w:bCs/>
                <w:color w:val="000000"/>
                <w:spacing w:val="-1"/>
                <w:sz w:val="26"/>
                <w:szCs w:val="26"/>
                <w:lang w:val="uk-UA" w:eastAsia="uk-UA"/>
              </w:rPr>
            </w:pPr>
            <w:r>
              <w:rPr>
                <w:rFonts w:ascii="Times New Roman" w:hAnsi="Times New Roman"/>
                <w:bCs/>
                <w:color w:val="000000"/>
                <w:spacing w:val="-1"/>
                <w:sz w:val="26"/>
                <w:szCs w:val="26"/>
                <w:lang w:val="uk-UA" w:eastAsia="uk-UA"/>
              </w:rPr>
              <w:t>Офіційне відкриття центрів – у 2025 році.</w:t>
            </w:r>
          </w:p>
        </w:tc>
      </w:tr>
      <w:tr>
        <w:trPr>
          <w:trHeight w:val="3400"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777" w:type="dxa"/>
            <w:tcBorders>
              <w:left w:val="single" w:sz="4" w:space="0" w:color="000000"/>
              <w:bottom w:val="single" w:sz="4" w:space="0" w:color="000000"/>
            </w:tcBorders>
            <w:shd w:fill="auto" w:val="clear"/>
          </w:tcPr>
          <w:p>
            <w:pPr>
              <w:pStyle w:val="Normal"/>
              <w:widowControl w:val="false"/>
              <w:ind w:firstLine="323"/>
              <w:jc w:val="both"/>
              <w:rPr>
                <w:rFonts w:ascii="Times New Roman" w:hAnsi="Times New Roman"/>
                <w:color w:val="000000"/>
                <w:sz w:val="26"/>
                <w:szCs w:val="26"/>
                <w:lang w:val="uk-UA"/>
              </w:rPr>
            </w:pPr>
            <w:r>
              <w:rPr>
                <w:rFonts w:ascii="Times New Roman" w:hAnsi="Times New Roman"/>
                <w:color w:val="000000"/>
                <w:sz w:val="26"/>
                <w:szCs w:val="26"/>
                <w:lang w:val="uk-UA" w:eastAsia="uk-UA"/>
              </w:rPr>
              <w:t xml:space="preserve">Реалізація </w:t>
            </w:r>
            <w:r>
              <w:rPr>
                <w:rFonts w:ascii="Times New Roman" w:hAnsi="Times New Roman"/>
                <w:color w:val="000000"/>
                <w:sz w:val="26"/>
                <w:szCs w:val="26"/>
                <w:lang w:val="uk-UA"/>
              </w:rPr>
              <w:t xml:space="preserve">проєктів-переможців </w:t>
            </w:r>
            <w:r>
              <w:rPr>
                <w:rFonts w:ascii="Times New Roman" w:hAnsi="Times New Roman"/>
                <w:color w:val="000000"/>
                <w:sz w:val="26"/>
                <w:szCs w:val="26"/>
                <w:lang w:val="uk-UA" w:eastAsia="uk-UA"/>
              </w:rPr>
              <w:t>Бюджету участі Луцької міської територіальної громади:</w:t>
            </w:r>
          </w:p>
          <w:p>
            <w:pPr>
              <w:pStyle w:val="Normal"/>
              <w:widowControl w:val="false"/>
              <w:ind w:firstLine="323"/>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Укомплектування укриття у ліцеї № 26 для організації безперервного освітнього процесу;</w:t>
            </w:r>
          </w:p>
          <w:p>
            <w:pPr>
              <w:pStyle w:val="Normal"/>
              <w:widowControl w:val="false"/>
              <w:ind w:firstLine="323"/>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Легко дихати: облаштування елементів вентиляції в укритті Луцького ліцею № 21;</w:t>
            </w:r>
          </w:p>
          <w:p>
            <w:pPr>
              <w:pStyle w:val="Normal"/>
              <w:widowControl w:val="false"/>
              <w:ind w:firstLine="323"/>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3D-лабораторія в Луцькому ліцеї № 27 Луцької міської ради.</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ЗЗСО № 26 </w:t>
            </w:r>
            <w:r>
              <w:rPr>
                <w:rFonts w:cs="Times New Roman" w:ascii="Times New Roman" w:hAnsi="Times New Roman"/>
                <w:color w:val="000000"/>
                <w:sz w:val="26"/>
                <w:szCs w:val="26"/>
                <w:lang w:val="uk-UA"/>
              </w:rPr>
              <w:t>–</w:t>
            </w:r>
            <w:r>
              <w:rPr>
                <w:rFonts w:ascii="Times New Roman" w:hAnsi="Times New Roman"/>
                <w:color w:val="000000"/>
                <w:sz w:val="26"/>
                <w:szCs w:val="26"/>
                <w:lang w:val="uk-UA"/>
              </w:rPr>
              <w:t xml:space="preserve"> обладнання придбано;</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ЗЗСО № 21 – роботи виконані;</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ЗЗСО № 27 – обладнання придбано.</w:t>
            </w:r>
          </w:p>
        </w:tc>
      </w:tr>
      <w:tr>
        <w:trPr>
          <w:trHeight w:val="6180"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777" w:type="dxa"/>
            <w:tcBorders>
              <w:left w:val="single" w:sz="4" w:space="0" w:color="000000"/>
              <w:bottom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uk-UA"/>
              </w:rPr>
              <w:t xml:space="preserve">Координація роботи департаменту освіти, адміністрацій закладів та установ освіти зі </w:t>
            </w:r>
            <w:r>
              <w:rPr>
                <w:rFonts w:cs="Times New Roman" w:ascii="Times New Roman" w:hAnsi="Times New Roman"/>
                <w:color w:val="000000"/>
                <w:sz w:val="26"/>
                <w:szCs w:val="26"/>
                <w:lang w:val="uk-UA"/>
              </w:rPr>
              <w:t xml:space="preserve">створення безбар’єрного простору на територіях та у приміщеннях закладів дошкільної освіти, закладів загальної середньої освіти, закладів позашкільної освіти Луцької </w:t>
            </w:r>
            <w:r>
              <w:rPr>
                <w:rFonts w:cs="Times New Roman" w:ascii="Times New Roman" w:hAnsi="Times New Roman"/>
                <w:color w:val="000000"/>
                <w:sz w:val="26"/>
                <w:szCs w:val="26"/>
                <w:lang w:val="uk-UA" w:eastAsia="uk-UA"/>
              </w:rPr>
              <w:t>міської територіальної громади</w:t>
            </w:r>
            <w:r>
              <w:rPr>
                <w:rFonts w:cs="Times New Roman" w:ascii="Times New Roman" w:hAnsi="Times New Roman"/>
                <w:color w:val="000000"/>
                <w:sz w:val="26"/>
                <w:szCs w:val="26"/>
                <w:lang w:val="uk-UA"/>
              </w:rPr>
              <w:t>.</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Розроблений проєкт із забезпечення доступу маломобільних груп населення до укриття  (встановлення підйомника) Луцького закладу дошкільної освіти (ясла-садок) № 9 комбінованого типу Луцької міської ради (просп. Молоді, 2А). На даний час роботи не виконані.</w:t>
            </w:r>
          </w:p>
          <w:p>
            <w:pPr>
              <w:pStyle w:val="Normal"/>
              <w:widowControl w:val="false"/>
              <w:ind w:firstLine="567"/>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Для перевезення вихованців, КЗ «Палац учнівської молоді Луцької міської ради» передано в тимчасове користування автобус, що належить Луцькій міській територіальній громаді та перебуває на балансі виконавчого комітету Луцької міської ради.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початку червня 2024 року відбувся моніторинг освітнього середовища, доступності до закладів освіти, облаштування ресурсних кімнат, роботи ліфтів та підйомників для осіб з особливими освітніми потребами у ЗЗСО № 27 та ЗДО №</w:t>
            </w:r>
            <w:r>
              <w:rPr>
                <w:rFonts w:ascii="Times New Roman" w:hAnsi="Times New Roman"/>
                <w:color w:val="000000"/>
                <w:sz w:val="26"/>
                <w:szCs w:val="26"/>
                <w:lang w:val="uk-UA" w:eastAsia="zh-CN" w:bidi="hi-IN"/>
              </w:rPr>
              <w:t xml:space="preserve"> 42 </w:t>
            </w:r>
            <w:r>
              <w:rPr>
                <w:rFonts w:ascii="Times New Roman" w:hAnsi="Times New Roman"/>
                <w:b w:val="false"/>
                <w:i w:val="false"/>
                <w:caps w:val="false"/>
                <w:smallCaps w:val="false"/>
                <w:color w:val="000000"/>
                <w:spacing w:val="0"/>
                <w:sz w:val="26"/>
                <w:szCs w:val="26"/>
                <w:lang w:val="uk-UA" w:eastAsia="zh-CN" w:bidi="hi-IN"/>
              </w:rPr>
              <w:t xml:space="preserve">Радником </w:t>
            </w:r>
            <w:r>
              <w:rPr>
                <w:rFonts w:eastAsia="Times New Roman" w:cs="Times New Roman" w:ascii="Times New Roman" w:hAnsi="Times New Roman"/>
                <w:b w:val="false"/>
                <w:i w:val="false"/>
                <w:caps w:val="false"/>
                <w:smallCaps w:val="false"/>
                <w:color w:val="000000"/>
                <w:spacing w:val="0"/>
                <w:sz w:val="26"/>
                <w:szCs w:val="26"/>
                <w:lang w:val="uk-UA" w:eastAsia="zh-CN" w:bidi="hi-IN"/>
              </w:rPr>
              <w:t>–</w:t>
            </w:r>
            <w:r>
              <w:rPr>
                <w:rFonts w:ascii="Times New Roman" w:hAnsi="Times New Roman"/>
                <w:b w:val="false"/>
                <w:i w:val="false"/>
                <w:caps w:val="false"/>
                <w:smallCaps w:val="false"/>
                <w:color w:val="000000"/>
                <w:spacing w:val="0"/>
                <w:sz w:val="26"/>
                <w:szCs w:val="26"/>
                <w:lang w:val="uk-UA" w:eastAsia="zh-CN" w:bidi="hi-IN"/>
              </w:rPr>
              <w:t xml:space="preserve"> уповноваженою Президента України з питань безбар’єрності</w:t>
            </w:r>
            <w:r>
              <w:rPr>
                <w:rFonts w:ascii="Times New Roman" w:hAnsi="Times New Roman"/>
                <w:color w:val="000000"/>
                <w:sz w:val="26"/>
                <w:szCs w:val="26"/>
                <w:lang w:val="uk-UA" w:eastAsia="zh-CN" w:bidi="hi-IN"/>
              </w:rPr>
              <w:t>.</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 заклади освіти надіслано матеріали (нормативні документи, презентації, рекомендації) щодо заходів із забезпечення безбар’єрного простору на територіях та у приміщеннях закладів та установ освіти.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 рамках Тижня інклюзивної освіти в 35 ЗДО та 33 ЗЗСО проведено інформаційні заходи з метою отримання рівних можливостей та безперешкодного доступу до освіти.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Працівники навчально-методичного кабінету психологічної служби департаменту освіти взяли участь у дискусійній панелі «Доступність, як її досягти» на базі Луцького національного технічного університету.</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Організовано участь вчителів закладів ЗСО в онлайн-вебінарі «Безбар`єрне середовище в закладі освіти» за сприяння Освітнього центру «Інтеграл» з отриманням відповідних сертифікатів.</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shd w:fill="auto" w:val="clear"/>
                <w:lang w:val="uk-UA"/>
              </w:rPr>
              <w:t>11.</w:t>
            </w:r>
          </w:p>
        </w:tc>
        <w:tc>
          <w:tcPr>
            <w:tcW w:w="3777" w:type="dxa"/>
            <w:tcBorders>
              <w:left w:val="single" w:sz="4" w:space="0" w:color="000000"/>
              <w:bottom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shd w:fill="auto" w:val="clear"/>
                <w:lang w:val="uk-UA"/>
              </w:rPr>
              <w:t>Оновлення матеріально-технічної та навчально-методичної бази навчальних кабінетів закладів освіти, які здійснюють освітній процес за Державним</w:t>
            </w:r>
            <w:r>
              <w:rPr>
                <w:rFonts w:ascii="Times New Roman" w:hAnsi="Times New Roman"/>
                <w:color w:val="000000"/>
                <w:spacing w:val="1"/>
                <w:sz w:val="26"/>
                <w:szCs w:val="26"/>
                <w:shd w:fill="auto" w:val="clear"/>
                <w:lang w:val="uk-UA"/>
              </w:rPr>
              <w:t xml:space="preserve"> </w:t>
            </w:r>
            <w:r>
              <w:rPr>
                <w:rFonts w:ascii="Times New Roman" w:hAnsi="Times New Roman"/>
                <w:color w:val="000000"/>
                <w:sz w:val="26"/>
                <w:szCs w:val="26"/>
                <w:shd w:fill="auto" w:val="clear"/>
                <w:lang w:val="uk-UA"/>
              </w:rPr>
              <w:t>стандартом базової середньої освіти</w:t>
            </w:r>
            <w:r>
              <w:rPr>
                <w:rFonts w:ascii="Times New Roman" w:hAnsi="Times New Roman"/>
                <w:color w:val="000000"/>
                <w:spacing w:val="1"/>
                <w:sz w:val="26"/>
                <w:szCs w:val="26"/>
                <w:shd w:fill="auto" w:val="clear"/>
                <w:lang w:val="uk-UA"/>
              </w:rPr>
              <w:t xml:space="preserve"> </w:t>
            </w:r>
            <w:r>
              <w:rPr>
                <w:rFonts w:ascii="Times New Roman" w:hAnsi="Times New Roman"/>
                <w:color w:val="000000"/>
                <w:sz w:val="26"/>
                <w:szCs w:val="26"/>
                <w:shd w:fill="auto" w:val="clear"/>
                <w:lang w:val="uk-UA"/>
              </w:rPr>
              <w:t>в першому (адаптаційному) циклі середньої освіти (5-6 класи) та пілотних 7-их класів закладів загальної середньої освіти №№ 1, 4.</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shd w:fill="auto" w:val="clear"/>
                <w:lang w:val="uk-UA"/>
              </w:rPr>
              <w:t>На закупівлю мультимедійного обладнання НУШ для 5-6 класів виділено та освоєно 8 093 067,0 грн коштів державного бюджету, співфінансування з бюджету громади склало 3 468 500,0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shd w:fill="auto" w:val="clear"/>
                <w:lang w:val="uk-UA"/>
              </w:rPr>
              <w:t>На закупівлю засобів навчання та обладнання, комп’ютерного та мультимедійного обладнання НУШ для 7-8 класів з державного бюджету виділено та освоєно коштів на суму 8 994 100,0 грн, співфінансування з бюджету громади склало 3 872 200,0 грн.  Крім того, закуплено меблі, підручники, засоби навчання та обладнання на пілотні класи НУШ за рахунок коштів державного бюджету на суму 1 705 700,0 грн, співфінансування з бюджету громади становило 739 580,0 грн.</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12.</w:t>
            </w:r>
          </w:p>
        </w:tc>
        <w:tc>
          <w:tcPr>
            <w:tcW w:w="3777" w:type="dxa"/>
            <w:tcBorders>
              <w:left w:val="single" w:sz="4" w:space="0" w:color="000000"/>
              <w:bottom w:val="single" w:sz="4" w:space="0" w:color="000000"/>
            </w:tcBorders>
            <w:shd w:fill="auto" w:val="clear"/>
          </w:tcPr>
          <w:p>
            <w:pPr>
              <w:pStyle w:val="Normal"/>
              <w:widowControl w:val="false"/>
              <w:ind w:firstLine="323"/>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Підтримання інженерних мереж закладів освіти в робочому стані.</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Протягом звітного періоду постійно проводились поточні ремонти інженерних мереж у закладах освіти.</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13.</w:t>
            </w:r>
          </w:p>
        </w:tc>
        <w:tc>
          <w:tcPr>
            <w:tcW w:w="3777" w:type="dxa"/>
            <w:tcBorders>
              <w:left w:val="single" w:sz="4" w:space="0" w:color="000000"/>
              <w:bottom w:val="single" w:sz="4" w:space="0" w:color="000000"/>
            </w:tcBorders>
            <w:shd w:fill="auto" w:val="clear"/>
          </w:tcPr>
          <w:p>
            <w:pPr>
              <w:pStyle w:val="Normal"/>
              <w:widowControl w:val="false"/>
              <w:ind w:firstLine="323"/>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капітального ремонту будівлі (підсилення несучих конструкцій для усунення аварійного стану) комунального закладу загальної середньої освіти «Луцький ліцей № 2 Луцької міської ради» на вул. Львівській, 28 у м. Луцьку.</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Роботи із капітального ремонту будівлі (підсилення несучих конструкцій для усунення аварійного стану) Луцького ліцею № 2 завершені.</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14.</w:t>
            </w:r>
          </w:p>
        </w:tc>
        <w:tc>
          <w:tcPr>
            <w:tcW w:w="3777" w:type="dxa"/>
            <w:tcBorders>
              <w:left w:val="single" w:sz="4" w:space="0" w:color="000000"/>
              <w:bottom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Здійснення капітального ремонту харчоблоку у комунальному закладі дошкільної освіти (ясла-садок) № 38 комбінованого Луцької міської ради.</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Роботи із капітального ремонту харчоблоку ЗДО № 38 виконані.</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15.</w:t>
            </w:r>
          </w:p>
        </w:tc>
        <w:tc>
          <w:tcPr>
            <w:tcW w:w="377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Встановлення пожежної сигналізації в закладі загальної середньої освіти № 7, закладах дошкільної освіти №№ 1, 2.</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 бюджетних призначеннях 2024 року кошти на встановлення пожежної сигналізації не були передбачені.</w:t>
            </w:r>
          </w:p>
        </w:tc>
      </w:tr>
      <w:tr>
        <w:trPr>
          <w:trHeight w:val="288" w:hRule="atLeast"/>
        </w:trPr>
        <w:tc>
          <w:tcPr>
            <w:tcW w:w="57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tc>
        <w:tc>
          <w:tcPr>
            <w:tcW w:w="3777" w:type="dxa"/>
            <w:tcBorders>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Додатково</w:t>
            </w:r>
          </w:p>
        </w:tc>
        <w:tc>
          <w:tcPr>
            <w:tcW w:w="10812"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 2024 році в усіх закладах освіти проведені благодійні заходи, ярмарки, на яких здійснювався збір коштів для ЗСУ. Також, школи були залучені до плетіння маскувальних сіток: у різні військові частини було передано 1 146 маскувальних сіток на загальну суму 1 371 535,9 грн.</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Результати своєї волонтерської діяльності з придбання автівок, дронів, тепловізорів, збору коштів на інші потреби ЗСУ освітні заклади розміщують на сторінках своїх сайтів, вивішують на інформаційних стендах.</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ind w:firstLine="709"/>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 xml:space="preserve">3.3.3. Зайнятість населення та охорона праці </w:t>
      </w:r>
    </w:p>
    <w:p>
      <w:pPr>
        <w:pStyle w:val="Normal"/>
        <w:ind w:firstLine="709"/>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4"/>
        <w:gridCol w:w="3791"/>
        <w:gridCol w:w="10778"/>
      </w:tblGrid>
      <w:tr>
        <w:trPr>
          <w:trHeight w:val="615" w:hRule="atLeast"/>
        </w:trPr>
        <w:tc>
          <w:tcPr>
            <w:tcW w:w="564"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91"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7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Сприяння непрацюючим громадянам у пошуку та підборі робочого місця, а роботодавцям – у підборі на вакантні робочі місця тих працівників, які володіють необхідними професійними навичками. Поширення інформації про ринок праці шляхом організації міні-ярмарків вакансій, презентацій роботодавця, економічних екскурсій, використання рекрутингового підходу та електронних сервісів служби зайнятості.</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Впродовж 2024 року до Луцької філії Волинського обласного центру зайнятості 1 591 роботодавець надав інформацію про 5 015 вільних робочих місць та вакантних посад. На початок січня 2025 року актуальними були 817 вакансій.</w:t>
            </w:r>
          </w:p>
          <w:p>
            <w:pPr>
              <w:pStyle w:val="Normal"/>
              <w:widowControl w:val="false"/>
              <w:tabs>
                <w:tab w:val="clear" w:pos="720"/>
                <w:tab w:val="left" w:pos="840" w:leader="none"/>
                <w:tab w:val="center" w:pos="4819" w:leader="none"/>
              </w:tabs>
              <w:ind w:firstLine="492"/>
              <w:jc w:val="both"/>
              <w:rPr>
                <w:rFonts w:ascii="Times New Roman" w:hAnsi="Times New Roman"/>
                <w:color w:val="000000"/>
                <w:sz w:val="26"/>
                <w:szCs w:val="26"/>
                <w:lang w:val="uk-UA"/>
              </w:rPr>
            </w:pPr>
            <w:r>
              <w:rPr>
                <w:rFonts w:ascii="Times New Roman" w:hAnsi="Times New Roman"/>
                <w:color w:val="000000"/>
                <w:sz w:val="26"/>
                <w:szCs w:val="26"/>
                <w:lang w:val="uk-UA"/>
              </w:rPr>
              <w:t>Для оперативного укомплектування вакансій, поданих роботодавцями, службою зайнятості організовано два ярмарки вакансій для 25 осіб та 18 презентацій роботодавця, участь у яких взяли 225 пошукачів роботи. Для ознайомлення з роботою підприємства, основними напрямками його діяльності та перспективами розвитку у 2024 році організовано професіографічну екскурсію для 7 безробітних на ТОВ «Клауд Кастл Лаб».</w:t>
            </w:r>
          </w:p>
          <w:p>
            <w:pPr>
              <w:pStyle w:val="Normal"/>
              <w:widowControl w:val="false"/>
              <w:tabs>
                <w:tab w:val="clear" w:pos="720"/>
                <w:tab w:val="left" w:pos="840" w:leader="none"/>
                <w:tab w:val="center" w:pos="4819" w:leader="none"/>
              </w:tabs>
              <w:ind w:firstLine="567"/>
              <w:jc w:val="both"/>
              <w:rPr>
                <w:rFonts w:ascii="Times New Roman" w:hAnsi="Times New Roman"/>
                <w:color w:val="000000"/>
                <w:sz w:val="26"/>
                <w:szCs w:val="26"/>
                <w:lang w:val="uk-UA"/>
              </w:rPr>
            </w:pPr>
            <w:r>
              <w:rPr>
                <w:rFonts w:ascii="Times New Roman" w:hAnsi="Times New Roman"/>
                <w:bCs/>
                <w:color w:val="000000"/>
                <w:sz w:val="26"/>
                <w:szCs w:val="26"/>
                <w:lang w:val="uk-UA"/>
              </w:rPr>
              <w:t>Спільно з БФ «Рокада» 18 червня проведено економічну екскурсію для 19 внутрішньо переміщених громадян одними з найбільших підприємств міста: ПрАТ «ЛУЦЬК ФУДЗ», ТОВ «Луцька картонно-паперова фабрика», ПрАТ «Едельвіка».</w:t>
            </w:r>
          </w:p>
          <w:p>
            <w:pPr>
              <w:pStyle w:val="Normal"/>
              <w:widowControl w:val="false"/>
              <w:tabs>
                <w:tab w:val="clear" w:pos="720"/>
                <w:tab w:val="left" w:pos="840" w:leader="none"/>
                <w:tab w:val="center" w:pos="4819" w:leader="none"/>
              </w:tabs>
              <w:ind w:firstLine="567"/>
              <w:jc w:val="both"/>
              <w:rPr>
                <w:rFonts w:ascii="Times New Roman" w:hAnsi="Times New Roman"/>
                <w:bCs/>
                <w:color w:val="000000"/>
                <w:sz w:val="26"/>
                <w:szCs w:val="26"/>
                <w:lang w:val="uk-UA"/>
              </w:rPr>
            </w:pPr>
            <w:r>
              <w:rPr>
                <w:rFonts w:ascii="Times New Roman" w:hAnsi="Times New Roman"/>
                <w:bCs/>
                <w:color w:val="000000"/>
                <w:sz w:val="26"/>
                <w:szCs w:val="26"/>
                <w:lang w:val="uk-UA"/>
              </w:rPr>
              <w:t>В грудні 2024 року Державна служба зайнятості запустила всеукраїнське опитування роботодавців, метою якого є вивчення поточної та перспективної потреби підприємств у працівниках, виявлення можливих перешкод у працевлаштуванні різних категорій громадян. Окремо фахівці служби вивчатимуть готовність бізнесу до залучення кадрів серед ветеранської спільноти, створення можливостей для працевлаштування внутрішньо переміщених громадян. Планується опитування близько 900 роботодавців Луцької громади.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Для підвищення рівня обізнаності із законодавством про зайнятість в Луцькій філії </w:t>
            </w:r>
            <w:r>
              <w:rPr>
                <w:rFonts w:ascii="Times New Roman" w:hAnsi="Times New Roman"/>
                <w:color w:val="000000"/>
                <w:sz w:val="26"/>
                <w:szCs w:val="26"/>
                <w:lang w:val="uk-UA" w:eastAsia="uk-UA"/>
              </w:rPr>
              <w:t>Волинського обласного центру зайнятості</w:t>
            </w:r>
            <w:r>
              <w:rPr>
                <w:rFonts w:ascii="Times New Roman" w:hAnsi="Times New Roman"/>
                <w:color w:val="000000"/>
                <w:sz w:val="26"/>
                <w:szCs w:val="26"/>
                <w:lang w:val="uk-UA"/>
              </w:rPr>
              <w:t xml:space="preserve"> організовано 7 заходів за участю роботодавців та соціальних партнерів: «круглий стіл» та бліц навчання, участь у яких взяли 95 роботодавців та пошукачі роботи.</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Послугами рекрутингу за 2024 рік скористалися 1 468 роботодавців, укомплектували 466 вакансії. Опрацьовано 5 681 анкета пошукачів роботи та резюме осіб, які шукають роботу.</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Розширення сфери застосування праці та стимулювання заінтересованості роботодавців у створенні нових робочих місць шляхом застосування компенсаторних механізмів працевлаштування зареєстрованих безробітних.</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Впродовж звітного періоду послугою компенсації фактичних витрат роботодавця на сплату єдиного внеску на загальнообов’язкове державне соціальне страхування скористалися 125 роботодавців, які у такий спосіб забезпечили роботою 161 особу, в т. ч. недостатньо конкурентоспроможних на ринку праці.</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З метою підтримки роботодавців, які працевлаштовують внутрішньо переміщених осіб, введено в дію Порядок, який визначає умови та механізм виплати коштів для надання роботодавцю компенсацій витрат на їх оплату праці. Компенсація надається у розмірі мінімальної заробітної плати щомісяця за кожну працевлаштовану особу з числа внутрішньо переміщених осіб, але не більше трьох місяців. У 2024 році компенсація надана 81 роботодавцю за працевлаштування 127 внутрішньо переміщених осіб. Серед цих роботодавців </w:t>
            </w:r>
            <w:r>
              <w:rPr>
                <w:rFonts w:cs="Times New Roman" w:ascii="Times New Roman" w:hAnsi="Times New Roman"/>
                <w:color w:val="000000"/>
                <w:sz w:val="26"/>
                <w:szCs w:val="26"/>
                <w:lang w:val="uk-UA"/>
              </w:rPr>
              <w:t>–</w:t>
            </w:r>
            <w:r>
              <w:rPr>
                <w:rFonts w:ascii="Times New Roman" w:hAnsi="Times New Roman"/>
                <w:color w:val="000000"/>
                <w:sz w:val="26"/>
                <w:szCs w:val="26"/>
                <w:lang w:val="uk-UA"/>
              </w:rPr>
              <w:t xml:space="preserve"> комунальні та приватні підприємства Луцької громади в сферах виробництва, торгівлі, будівництва та надання послуг.</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eastAsia="uk-UA"/>
              </w:rPr>
              <w:t xml:space="preserve">Крім того, впродовж 2024 року Луцькою філією Волинського обласного центру зайнятості укладено договір з трьома роботодавцями </w:t>
            </w:r>
            <w:r>
              <w:rPr>
                <w:rFonts w:ascii="Times New Roman" w:hAnsi="Times New Roman"/>
                <w:color w:val="000000"/>
                <w:sz w:val="26"/>
                <w:szCs w:val="26"/>
                <w:lang w:val="uk-UA"/>
              </w:rPr>
              <w:t xml:space="preserve">щодо надання </w:t>
            </w:r>
            <w:r>
              <w:rPr>
                <w:rFonts w:ascii="Times New Roman" w:hAnsi="Times New Roman"/>
                <w:color w:val="000000"/>
                <w:sz w:val="26"/>
                <w:szCs w:val="26"/>
                <w:lang w:val="uk-UA" w:eastAsia="uk-UA"/>
              </w:rPr>
              <w:t>компенсації витрат роботодавця на оплату праці за працевлаштування на умовах строкового трудового договору трьох зареєстрованих безробітних з числа внутрішньо переміщених осіб.</w:t>
            </w:r>
          </w:p>
          <w:p>
            <w:pPr>
              <w:pStyle w:val="Normal"/>
              <w:widowControl w:val="false"/>
              <w:shd w:val="clear" w:color="auto" w:fill="FFFFFF"/>
              <w:ind w:firstLine="567"/>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Для роботодавців, які працевлаштовують осіб з інвалідністю І та ІІ груп, служба зайнятості надає компенсацію за облаштування робочих місць. Розмір компенсації за придбані допоміжні засоби для облаштування робочих місць складає від 10 до 15 мінімальних заробітних плат в залежності від групи інвалідності. З початку року цією програмою скористалися 27 роботодавців, які працевлаштували 32 особи з інвалідністю.</w:t>
            </w:r>
          </w:p>
          <w:p>
            <w:pPr>
              <w:pStyle w:val="Normal"/>
              <w:widowControl w:val="false"/>
              <w:shd w:val="clear" w:color="auto" w:fill="FFFFFF"/>
              <w:ind w:firstLine="567"/>
              <w:jc w:val="both"/>
              <w:rPr>
                <w:rFonts w:ascii="Times New Roman" w:hAnsi="Times New Roman" w:cs="Times New Roman"/>
                <w:color w:val="000000"/>
                <w:sz w:val="26"/>
                <w:szCs w:val="26"/>
                <w:lang w:val="uk-UA" w:eastAsia="uk-UA"/>
              </w:rPr>
            </w:pPr>
            <w:r>
              <w:rPr>
                <w:rFonts w:cs="Times New Roman" w:ascii="Times New Roman" w:hAnsi="Times New Roman"/>
                <w:color w:val="000000"/>
                <w:sz w:val="26"/>
                <w:szCs w:val="26"/>
                <w:lang w:val="uk-UA" w:eastAsia="uk-UA"/>
              </w:rPr>
              <w:t>У рамках урядового проєкту «єРобота» для підтримки малого та середнього бізнесу 129 громадянам надано безповоротні мікрогранти для створення та розвитку власного бізнесу. Для 12 осіб з числа учасників бойових дій та членів їх сімей надано гранти на створення та розвиток власного бізнесу.</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Сприяння продуктивній зайнятості населення, у тому числі молоді, внутрішньо переміщеним особам, учасникам бойових дій, іншим соціально-вразливим категоріям населення, шляхом індивідуального та адресного підходу у вирішенні питань зайнятості.</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Протягом 2024 року було працевлаштовано 1 869 осіб (з них 1 025 </w:t>
            </w:r>
            <w:r>
              <w:rPr>
                <w:rFonts w:cs="Times New Roman" w:ascii="Times New Roman" w:hAnsi="Times New Roman"/>
                <w:color w:val="000000"/>
                <w:sz w:val="26"/>
                <w:szCs w:val="26"/>
                <w:lang w:val="uk-UA"/>
              </w:rPr>
              <w:t xml:space="preserve">– </w:t>
            </w:r>
            <w:r>
              <w:rPr>
                <w:rFonts w:ascii="Times New Roman" w:hAnsi="Times New Roman"/>
                <w:color w:val="000000"/>
                <w:sz w:val="26"/>
                <w:szCs w:val="26"/>
                <w:lang w:val="uk-UA"/>
              </w:rPr>
              <w:t>безробітні) у сфери оптової та роздрібної торгівлі, ремонту транспортних засобів, переробної промисловості, освіти.</w:t>
            </w:r>
          </w:p>
          <w:p>
            <w:pPr>
              <w:pStyle w:val="Normal"/>
              <w:widowControl w:val="false"/>
              <w:tabs>
                <w:tab w:val="clear" w:pos="720"/>
                <w:tab w:val="left" w:pos="900"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 2024 році послугами служби зайнятості міста скористалося 817 </w:t>
            </w:r>
            <w:r>
              <w:rPr>
                <w:rFonts w:ascii="Times New Roman" w:hAnsi="Times New Roman"/>
                <w:bCs/>
                <w:color w:val="000000"/>
                <w:sz w:val="26"/>
                <w:szCs w:val="26"/>
                <w:lang w:val="uk-UA"/>
              </w:rPr>
              <w:t>осіб, які потребують додаткових гарантій соціального захисту, 752 з яких безробітні; 454 особи з інвалідністю, з них 340 – безробітні. Працевлаштовано 359 безробітних з числа соціально вразливих категорій. Продовжують перебувати на обліку 80 безробітних з інвалідністю.</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До служби зайнятості впродовж 2024 року звернулось 549 осіб з числа внутрішньо переміщених, з яких 273 отримали статус безробітного. Працевлаштовано 112 безробітних з числа внутрішньо переміщених. Проходили навчання за направленням служби зайнятості 22 громадянина. На початок 2025 року перебувають на обліку як безробітні 58 осіб з числа внутрішньо переміщених.</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91" w:type="dxa"/>
            <w:tcBorders>
              <w:top w:val="single" w:sz="4" w:space="0" w:color="000000"/>
              <w:left w:val="single" w:sz="4" w:space="0" w:color="000000"/>
              <w:bottom w:val="single" w:sz="4" w:space="0" w:color="000000"/>
            </w:tcBorders>
            <w:shd w:fill="auto" w:val="clear"/>
          </w:tcPr>
          <w:p>
            <w:pPr>
              <w:pStyle w:val="116"/>
              <w:widowControl w:val="false"/>
              <w:spacing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Підвищення конкурентоспроможності на ринку праці осіб, віком старше 45 років, учасників бойових дій, внутрішньо переміщених громадян, осіб з інвалідністю, шляхом отримання ваучера для проходження перепідготовки або підвищення кваліфікації.</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eastAsia="en-US"/>
              </w:rPr>
            </w:pPr>
            <w:r>
              <w:rPr>
                <w:rFonts w:cs="Times New Roman" w:ascii="Times New Roman" w:hAnsi="Times New Roman"/>
                <w:bCs/>
                <w:color w:val="000000"/>
                <w:sz w:val="26"/>
                <w:szCs w:val="26"/>
                <w:lang w:val="uk-UA" w:eastAsia="en-US"/>
              </w:rPr>
              <w:t xml:space="preserve">Для підтримання конкурентоспроможності деяких категорій громадян на ринку праці </w:t>
            </w:r>
            <w:r>
              <w:rPr>
                <w:rFonts w:cs="Times New Roman" w:ascii="Times New Roman" w:hAnsi="Times New Roman"/>
                <w:color w:val="000000"/>
                <w:sz w:val="26"/>
                <w:szCs w:val="26"/>
                <w:lang w:val="uk-UA" w:eastAsia="en-US"/>
              </w:rPr>
              <w:t xml:space="preserve">видано 119 ваучерів для здобуття таких спеціальностей та професій: «Медицина», «Медсестринство», </w:t>
            </w:r>
            <w:r>
              <w:rPr>
                <w:rFonts w:eastAsia="Times New Roman" w:cs="Times New Roman" w:ascii="Times New Roman" w:hAnsi="Times New Roman"/>
                <w:color w:val="000000"/>
                <w:sz w:val="26"/>
                <w:szCs w:val="26"/>
                <w:lang w:val="uk-UA" w:eastAsia="en-US"/>
              </w:rPr>
              <w:t>«Ф</w:t>
            </w:r>
            <w:r>
              <w:rPr>
                <w:rFonts w:cs="Times New Roman" w:ascii="Times New Roman" w:hAnsi="Times New Roman"/>
                <w:color w:val="000000"/>
                <w:sz w:val="26"/>
                <w:szCs w:val="26"/>
                <w:lang w:val="uk-UA" w:eastAsia="en-US"/>
              </w:rPr>
              <w:t>ізична терапія</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«Психологія», «Бджоляр», «Дошкільна освіта», «Швачка», «Тракторист-машиніст сільськогосподарського (лісогосподарського) виробництва», «Екстренний медичний технік», </w:t>
            </w:r>
            <w:r>
              <w:rPr>
                <w:rFonts w:eastAsia="Times New Roman" w:cs="Times New Roman" w:ascii="Times New Roman" w:hAnsi="Times New Roman"/>
                <w:color w:val="000000"/>
                <w:sz w:val="26"/>
                <w:szCs w:val="26"/>
                <w:lang w:val="uk-UA" w:eastAsia="en-US"/>
              </w:rPr>
              <w:t>«С</w:t>
            </w:r>
            <w:r>
              <w:rPr>
                <w:rFonts w:cs="Times New Roman" w:ascii="Times New Roman" w:hAnsi="Times New Roman"/>
                <w:color w:val="000000"/>
                <w:sz w:val="26"/>
                <w:szCs w:val="26"/>
                <w:lang w:val="uk-UA" w:eastAsia="en-US"/>
              </w:rPr>
              <w:t>ередня освіта</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«Ф</w:t>
            </w:r>
            <w:r>
              <w:rPr>
                <w:rFonts w:cs="Times New Roman" w:ascii="Times New Roman" w:hAnsi="Times New Roman"/>
                <w:color w:val="000000"/>
                <w:sz w:val="26"/>
                <w:szCs w:val="26"/>
                <w:lang w:val="uk-UA" w:eastAsia="en-US"/>
              </w:rPr>
              <w:t>ізична культура і спорт</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«Е</w:t>
            </w:r>
            <w:r>
              <w:rPr>
                <w:rFonts w:cs="Times New Roman" w:ascii="Times New Roman" w:hAnsi="Times New Roman"/>
                <w:color w:val="000000"/>
                <w:sz w:val="26"/>
                <w:szCs w:val="26"/>
                <w:lang w:val="uk-UA" w:eastAsia="en-US"/>
              </w:rPr>
              <w:t>лектроенергетика, електротехніка та електромеханіка</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«А</w:t>
            </w:r>
            <w:r>
              <w:rPr>
                <w:rFonts w:cs="Times New Roman" w:ascii="Times New Roman" w:hAnsi="Times New Roman"/>
                <w:color w:val="000000"/>
                <w:sz w:val="26"/>
                <w:szCs w:val="26"/>
                <w:lang w:val="uk-UA" w:eastAsia="en-US"/>
              </w:rPr>
              <w:t>втоматизація, комп’ютерно-інтегровані технології та робототехніка</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«А</w:t>
            </w:r>
            <w:r>
              <w:rPr>
                <w:rFonts w:cs="Times New Roman" w:ascii="Times New Roman" w:hAnsi="Times New Roman"/>
                <w:color w:val="000000"/>
                <w:sz w:val="26"/>
                <w:szCs w:val="26"/>
                <w:lang w:val="uk-UA" w:eastAsia="en-US"/>
              </w:rPr>
              <w:t>рхітектура та містобудування</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«Б</w:t>
            </w:r>
            <w:r>
              <w:rPr>
                <w:rFonts w:cs="Times New Roman" w:ascii="Times New Roman" w:hAnsi="Times New Roman"/>
                <w:color w:val="000000"/>
                <w:sz w:val="26"/>
                <w:szCs w:val="26"/>
                <w:lang w:val="uk-UA" w:eastAsia="en-US"/>
              </w:rPr>
              <w:t>удівництво та цивільна інженерія</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«С</w:t>
            </w:r>
            <w:r>
              <w:rPr>
                <w:rFonts w:cs="Times New Roman" w:ascii="Times New Roman" w:hAnsi="Times New Roman"/>
                <w:color w:val="000000"/>
                <w:sz w:val="26"/>
                <w:szCs w:val="26"/>
                <w:lang w:val="uk-UA" w:eastAsia="en-US"/>
              </w:rPr>
              <w:t>оціальна робота</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«С</w:t>
            </w:r>
            <w:r>
              <w:rPr>
                <w:rFonts w:cs="Times New Roman" w:ascii="Times New Roman" w:hAnsi="Times New Roman"/>
                <w:color w:val="000000"/>
                <w:sz w:val="26"/>
                <w:szCs w:val="26"/>
                <w:lang w:val="uk-UA" w:eastAsia="en-US"/>
              </w:rPr>
              <w:t>оціальне забезпечення</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«Т</w:t>
            </w:r>
            <w:r>
              <w:rPr>
                <w:rFonts w:cs="Times New Roman" w:ascii="Times New Roman" w:hAnsi="Times New Roman"/>
                <w:color w:val="000000"/>
                <w:sz w:val="26"/>
                <w:szCs w:val="26"/>
                <w:lang w:val="uk-UA" w:eastAsia="en-US"/>
              </w:rPr>
              <w:t>уризм і рекреація</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«Ц</w:t>
            </w:r>
            <w:r>
              <w:rPr>
                <w:rFonts w:cs="Times New Roman" w:ascii="Times New Roman" w:hAnsi="Times New Roman"/>
                <w:color w:val="000000"/>
                <w:sz w:val="26"/>
                <w:szCs w:val="26"/>
                <w:lang w:val="uk-UA" w:eastAsia="en-US"/>
              </w:rPr>
              <w:t>ивільна безпека</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«А</w:t>
            </w:r>
            <w:r>
              <w:rPr>
                <w:rFonts w:cs="Times New Roman" w:ascii="Times New Roman" w:hAnsi="Times New Roman"/>
                <w:color w:val="000000"/>
                <w:sz w:val="26"/>
                <w:szCs w:val="26"/>
                <w:lang w:val="uk-UA" w:eastAsia="en-US"/>
              </w:rPr>
              <w:t>втомобільний транспорт</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«Е</w:t>
            </w:r>
            <w:r>
              <w:rPr>
                <w:rFonts w:cs="Times New Roman" w:ascii="Times New Roman" w:hAnsi="Times New Roman"/>
                <w:color w:val="000000"/>
                <w:sz w:val="26"/>
                <w:szCs w:val="26"/>
                <w:lang w:val="uk-UA" w:eastAsia="en-US"/>
              </w:rPr>
              <w:t>лектрогазозварник</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«К</w:t>
            </w:r>
            <w:r>
              <w:rPr>
                <w:rFonts w:cs="Times New Roman" w:ascii="Times New Roman" w:hAnsi="Times New Roman"/>
                <w:color w:val="000000"/>
                <w:sz w:val="26"/>
                <w:szCs w:val="26"/>
                <w:lang w:val="uk-UA" w:eastAsia="en-US"/>
              </w:rPr>
              <w:t>ондитер</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xml:space="preserve">, </w:t>
            </w:r>
            <w:r>
              <w:rPr>
                <w:rFonts w:eastAsia="Times New Roman" w:cs="Times New Roman" w:ascii="Times New Roman" w:hAnsi="Times New Roman"/>
                <w:color w:val="000000"/>
                <w:sz w:val="26"/>
                <w:szCs w:val="26"/>
                <w:lang w:val="uk-UA" w:eastAsia="en-US"/>
              </w:rPr>
              <w:t>«К</w:t>
            </w:r>
            <w:r>
              <w:rPr>
                <w:rFonts w:cs="Times New Roman" w:ascii="Times New Roman" w:hAnsi="Times New Roman"/>
                <w:color w:val="000000"/>
                <w:sz w:val="26"/>
                <w:szCs w:val="26"/>
                <w:lang w:val="uk-UA" w:eastAsia="en-US"/>
              </w:rPr>
              <w:t>ухар</w:t>
            </w:r>
            <w:r>
              <w:rPr>
                <w:rFonts w:eastAsia="Times New Roman" w:cs="Times New Roman" w:ascii="Times New Roman" w:hAnsi="Times New Roman"/>
                <w:color w:val="000000"/>
                <w:sz w:val="26"/>
                <w:szCs w:val="26"/>
                <w:lang w:val="uk-UA" w:eastAsia="en-US"/>
              </w:rPr>
              <w:t>»</w:t>
            </w:r>
            <w:r>
              <w:rPr>
                <w:rFonts w:cs="Times New Roman" w:ascii="Times New Roman" w:hAnsi="Times New Roman"/>
                <w:color w:val="000000"/>
                <w:sz w:val="26"/>
                <w:szCs w:val="26"/>
                <w:lang w:val="uk-UA" w:eastAsia="en-US"/>
              </w:rPr>
              <w:t>. Серед громадян, що отримали ваучер: 13 осіб з числа внутрішньо переміщених, 4 учасника бойових дій та 5 осіб з інвалідністю.</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Організація заходів, спрямованих на підвищення активності безробітних у пошуку роботи, посилення їхньої мотивації до трудової діяльності, підвищення конкурентоспроможності на ринку праці: організація професійного навчання, у тому числі проходження стажування безпосередньо на робочому місці; проведення семінарів з безробітними по техніці пошуку роботи; залучення незайнятих громадян до участі в громадських та інших роботах тимчасового характеру, а в умовах воєнного стану – до суспільно корисних робіт.</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eastAsia="en-US"/>
              </w:rPr>
            </w:pPr>
            <w:r>
              <w:rPr>
                <w:rFonts w:ascii="Times New Roman" w:hAnsi="Times New Roman"/>
                <w:color w:val="000000"/>
                <w:sz w:val="26"/>
                <w:szCs w:val="26"/>
                <w:lang w:val="uk-UA" w:eastAsia="en-US"/>
              </w:rPr>
              <w:t>Впродовж 2024 року проходили професійне навчання 205 осіб. На замовлення роботодавців безробітні громадяни навчалися за такими робітничими професіями та спеціальностями: «Швачка», «Кравець», «Флорист», «Продавець непродовольчих товарів», «Кухар», «Касир торговельного залу», «Комп’ютеризований бухгалтерський облік», «Оператор котельні». Підвищення кваліфікації шляхом стажування у роботодавців проходили 118 безробітних громадян.</w:t>
            </w:r>
          </w:p>
          <w:p>
            <w:pPr>
              <w:pStyle w:val="Normal"/>
              <w:widowControl w:val="false"/>
              <w:ind w:firstLine="567"/>
              <w:jc w:val="both"/>
              <w:rPr>
                <w:rFonts w:ascii="Times New Roman" w:hAnsi="Times New Roman"/>
                <w:color w:val="000000"/>
                <w:sz w:val="26"/>
                <w:szCs w:val="26"/>
                <w:lang w:val="uk-UA" w:eastAsia="en-US"/>
              </w:rPr>
            </w:pPr>
            <w:r>
              <w:rPr>
                <w:rFonts w:ascii="Times New Roman" w:hAnsi="Times New Roman"/>
                <w:color w:val="000000"/>
                <w:sz w:val="26"/>
                <w:szCs w:val="26"/>
                <w:lang w:val="uk-UA" w:eastAsia="en-US"/>
              </w:rPr>
              <w:t>Службою зайнятості реалізовується експериментальний проєкт (постанова Кабінету Міністрів України від 15.09.2023 № 984 “Про реалізацію експериментального проекту з організації навчання учасників бойових дій та осіб з інвалідністю внаслідок війни в закладах професійної (професійно-технічної) освіти Державної служби зайнятості”), за яким  направлено 7 учасників бойових дій на навчання. Здобувають професії водія автотранспортних засобів та дизайнера за напрямком «Створення тривимірної графіки у програмі "Autodesk 3ds Max"».</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Для додаткового стимулювання мотивації до праці, матеріальної підтримки безробітних, службою зайнятості організовуються громадські та інші роботи тимчасового характеру, до яких впродовж 2024 року залучено 44 безробітних. </w:t>
            </w:r>
            <w:r>
              <w:rPr>
                <w:rFonts w:ascii="Times New Roman" w:hAnsi="Times New Roman"/>
                <w:color w:val="000000"/>
                <w:sz w:val="26"/>
                <w:szCs w:val="26"/>
                <w:lang w:val="uk-UA" w:eastAsia="en-US"/>
              </w:rPr>
              <w:t xml:space="preserve">Особлива увага при цьому приділяється співпраці з об’єднаними територіальними громадами в напрямку організації суспільно корисних робіт. Впродовж звітного року до суспільно корисних робіт залучено 335 безробітних, які здійснювали роботи з </w:t>
            </w:r>
            <w:r>
              <w:rPr>
                <w:rFonts w:ascii="Times New Roman" w:hAnsi="Times New Roman"/>
                <w:color w:val="000000"/>
                <w:sz w:val="26"/>
                <w:szCs w:val="26"/>
                <w:lang w:val="uk-UA" w:eastAsia="ru-RU"/>
              </w:rPr>
              <w:t>п</w:t>
            </w:r>
            <w:r>
              <w:rPr>
                <w:rFonts w:ascii="Times New Roman" w:hAnsi="Times New Roman"/>
                <w:color w:val="000000"/>
                <w:sz w:val="26"/>
                <w:szCs w:val="26"/>
                <w:lang w:val="uk-UA" w:eastAsia="en-US"/>
              </w:rPr>
              <w:t>летіння маскувальних сіток та пошиття інших допоміжних засобів для потреб ЗСУ та інші</w:t>
            </w:r>
            <w:r>
              <w:rPr>
                <w:rFonts w:ascii="Times New Roman" w:hAnsi="Times New Roman"/>
                <w:bCs/>
                <w:color w:val="000000"/>
                <w:sz w:val="26"/>
                <w:szCs w:val="26"/>
                <w:lang w:val="uk-UA" w:eastAsia="ru-RU"/>
              </w:rPr>
              <w:t>.</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системної роботи щодо орієнтації безробітних громадян на організацію власної справи, залучення до участі у грантових програмах різного спрямування.</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Для підтримки та розвитку підприємницьких ініціатив серед безробітних Державна служба зайнятості залучає осіб, які бажають започаткувати власну справу, до інформаційних семінарів з питань самозайнятості, вибору перспективного виду діяльності, реєстрації суб’єкту підприємницької діяльності. До участі в заходах запрошуються представники Головного управління Пенсійного фонду України у Волинській області, Регіонального відділення Фонду державного майна України по Львівській, Закарпатській та Волинської областях, ГО «Молодіжний центр Волині». Громадяни, які виявили бажання розпочати власну справу, проходять професійне психодіагностичне обстеження щодо наявності здібностей до ведення підприємницької діяльності.</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У </w:t>
            </w:r>
            <w:r>
              <w:rPr>
                <w:rFonts w:ascii="Times New Roman" w:hAnsi="Times New Roman"/>
                <w:color w:val="000000"/>
                <w:sz w:val="26"/>
                <w:szCs w:val="26"/>
                <w:lang w:val="uk-UA" w:eastAsia="en-US"/>
              </w:rPr>
              <w:t>2024 році</w:t>
            </w:r>
            <w:r>
              <w:rPr>
                <w:rFonts w:ascii="Times New Roman" w:hAnsi="Times New Roman"/>
                <w:color w:val="000000"/>
                <w:sz w:val="26"/>
                <w:szCs w:val="26"/>
                <w:lang w:val="uk-UA"/>
              </w:rPr>
              <w:t xml:space="preserve"> проведено 23 заходи на тему «Генеруй бізнес-ідею та розпочни свій бізнес» для 149 осіб.</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серпні на базі Луцької філії Волинського обласного центру зайнятості відкрили офіс «Зроблено в Україні», де надаються консультації щодо започаткування або розширення вже існуючого бізнесу.</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В рамках проєкту «Підприємливі діти» та в рамках співпраці з Центром кар’єри Волинського національного університету імені Лесі Українки, у Луцькій філії Волинського обласного центру зайнятості проведено дві зустрічі зі студентами факультету «Педагогічної освіти та соціальної роботи». Майбутні педагоги </w:t>
            </w:r>
            <w:r>
              <w:rPr>
                <w:rFonts w:cs="Times New Roman" w:ascii="Times New Roman" w:hAnsi="Times New Roman"/>
                <w:color w:val="000000"/>
                <w:sz w:val="26"/>
                <w:szCs w:val="26"/>
                <w:lang w:val="uk-UA" w:eastAsia="uk-UA"/>
              </w:rPr>
              <w:t>дізнались про функціонування Центру розвитку підприємництва Луцької філії Волинського обласного центру зайнятості та напрямки його діяльності, з перевагами ведення бізнесу, можливостями започаткування власної справи.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Для військовослужбовців, які перебувають на лікуванні у реабілітаційних центрах м. Луцька, у травні 2024 року організовано туристично-реабілітаційний маршрут «Вільні духом» у с. Шепель </w:t>
            </w:r>
            <w:r>
              <w:rPr>
                <w:rFonts w:cs="Times New Roman" w:ascii="Times New Roman" w:hAnsi="Times New Roman"/>
                <w:color w:val="000000"/>
                <w:sz w:val="26"/>
                <w:szCs w:val="26"/>
                <w:lang w:val="uk-UA"/>
              </w:rPr>
              <w:t xml:space="preserve">Заборольського </w:t>
            </w:r>
            <w:r>
              <w:rPr>
                <w:rFonts w:ascii="Times New Roman" w:hAnsi="Times New Roman"/>
                <w:color w:val="000000"/>
                <w:sz w:val="26"/>
                <w:szCs w:val="26"/>
                <w:lang w:val="uk-UA"/>
              </w:rPr>
              <w:t>старостинського округ</w:t>
            </w:r>
            <w:r>
              <w:rPr>
                <w:rFonts w:cs="Times New Roman" w:ascii="Times New Roman" w:hAnsi="Times New Roman"/>
                <w:color w:val="000000"/>
                <w:sz w:val="26"/>
                <w:szCs w:val="26"/>
                <w:lang w:val="uk-UA"/>
              </w:rPr>
              <w:t>у</w:t>
            </w:r>
            <w:r>
              <w:rPr>
                <w:rFonts w:ascii="Times New Roman" w:hAnsi="Times New Roman"/>
                <w:color w:val="000000"/>
                <w:sz w:val="26"/>
                <w:szCs w:val="26"/>
                <w:lang w:val="uk-UA"/>
              </w:rPr>
              <w:t>. У соціально відновлювальному ретриті взяли участь фахівці Луцької філії Волинського обласного центру зайнятості за запрошенням Луцького національного технічного університету. Учасників зустрічі ознайомили з програмами безкоштовного навчання учасників бойових дій, осіб з інвалідністю внаслідок війни в центрах професійно-технічної освіти державної служби зайнятості; отримання ваучера для підвищення конкурентоспроможності на ринку праці; надання мікрогрантів на створення чи розвиток бізнесу; фінансову підтримку роботодавців при працевлаштуванні учасників бойових дій.</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Упродовж звітного року діяли програми «Надання грантів для створення або розвитку бізнесу», «Порядок надання грантів на створення або розвиток власного бізнесу учасникам бойових дій, особам з інвалідністю внаслідок війни та членам їх сімей».</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Забезпечення проведення профорієнтаційної роботи із застосуванням інноваційних форм, на основі соціального партнерства, з різними цільовими групами незайнятого населення.</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У 2024 році надано понад 20,0 тис. профорієнтаційних послуг для 10,0 тис. осіб різних категорій населення. Проведено 833 групові заходи для 10 530 осіб. Проведено 26 заходів з професійної орієнтації учнівської молоді. Це груповий профінформаційний захід для здобувачів освіти з числа молоді, групові профконсультації із застосуванням психологічного тестування для визначення майбутнього виду діяльності.</w:t>
            </w:r>
          </w:p>
          <w:p>
            <w:pPr>
              <w:pStyle w:val="Normal"/>
              <w:widowControl w:val="false"/>
              <w:ind w:left="0" w:right="0" w:firstLine="567"/>
              <w:jc w:val="both"/>
              <w:rPr/>
            </w:pPr>
            <w:r>
              <w:rPr>
                <w:rFonts w:ascii="Times New Roman" w:hAnsi="Times New Roman"/>
                <w:color w:val="000000"/>
                <w:sz w:val="26"/>
                <w:szCs w:val="26"/>
                <w:lang w:val="uk-UA"/>
              </w:rPr>
              <w:t xml:space="preserve">Протягом звітного періоду проведено 30 заходів для 465 внутрішньо переміщених осіб. </w:t>
            </w:r>
            <w:r>
              <w:rPr>
                <w:rStyle w:val="Style23"/>
                <w:rFonts w:cs="Times New Roman" w:ascii="Times New Roman" w:hAnsi="Times New Roman"/>
                <w:i w:val="false"/>
                <w:color w:val="000000"/>
                <w:sz w:val="26"/>
                <w:szCs w:val="26"/>
                <w:lang w:val="uk-UA"/>
              </w:rPr>
              <w:t>До проведення заходів запрошуються соціальні партнери: ГО «Молодіжний центр Волині», ГО ПРО Вімен ЮА, БФ «Рокада», БФ «Право на захист», ГО КримСОС, ГО «Світ жінок».</w:t>
            </w:r>
          </w:p>
          <w:p>
            <w:pPr>
              <w:pStyle w:val="Normal"/>
              <w:widowControl w:val="false"/>
              <w:ind w:left="0" w:right="0" w:firstLine="567"/>
              <w:jc w:val="both"/>
              <w:rPr/>
            </w:pPr>
            <w:r>
              <w:rPr>
                <w:rStyle w:val="Style23"/>
                <w:rFonts w:cs="Times New Roman" w:ascii="Times New Roman" w:hAnsi="Times New Roman"/>
                <w:i w:val="false"/>
                <w:color w:val="000000"/>
                <w:sz w:val="26"/>
                <w:szCs w:val="26"/>
                <w:lang w:val="uk-UA"/>
              </w:rPr>
              <w:t>Також постійно проводиться інформаційно-роз’яснювальна робота з учасниками бойових дій щодо можливостей отримання грантів для створення чи розвитку бізнесу,. Всього було організовано 54 заходи для 399 учасників бойових дій. Заходи проводили у Луцькій філії Волинського обласного центру зайнятості, КП «Медичний центр реабілітації учасників бойових дій Луцької територіальної громади», КП «Волинський обласний госпіталь ветеранів війни», Луцькому об’єднаному міському територіальному центрі комплектування та соціальної підтримки, Ветеранському просторі "Плюс Плюс ++", у с. Шепель Заборольської громади Луцької ОТГ.</w:t>
            </w:r>
          </w:p>
          <w:p>
            <w:pPr>
              <w:pStyle w:val="Normal"/>
              <w:widowControl w:val="false"/>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При вищих та професійно-технічних навчальних закладах м. Луцька функціонують Центри кар’єри у яких студентська молодь знайомиться з послугами та електронними сервісами служби зайнятості, навчається складати резюме та як підготуватись до проходження співбесіди, дізнається про переваги легальної зайнятості та офіційного працевлаштування.</w:t>
            </w:r>
          </w:p>
          <w:p>
            <w:pPr>
              <w:pStyle w:val="Normal"/>
              <w:widowControl w:val="false"/>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Для популяризації та піднесення престижу робітничих професій, налагодження партнерських зв'язків, підвищення активності молоді, у травні 2024 року на Театральному майдані міста Луцька проведено профорієнтаційний захід з використанням тестування, ігор, конкурсів, ребусів, вікторин та загадок для дітей. Захід проведено в рамках  Фестивалю робітничих професій «Волинь FEST-2024».</w:t>
            </w:r>
          </w:p>
          <w:p>
            <w:pPr>
              <w:pStyle w:val="Normal"/>
              <w:widowControl w:val="false"/>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Ярмарок кар’єри «Форум партнерства-2024» об’єднав студентів, освітян, роботодавців, випускників, громадськість. Свою діяльність презентували представники компаній, підприємств м. Луцька. Здобувачі освіти дізнавались про пропозиції роботи, можливості стажування.</w:t>
            </w:r>
          </w:p>
          <w:p>
            <w:pPr>
              <w:pStyle w:val="Normal"/>
              <w:widowControl w:val="false"/>
              <w:ind w:left="0" w:right="0" w:firstLine="567"/>
              <w:jc w:val="both"/>
              <w:rPr>
                <w:rFonts w:ascii="Times New Roman" w:hAnsi="Times New Roman"/>
                <w:color w:val="000000"/>
                <w:sz w:val="26"/>
                <w:szCs w:val="26"/>
                <w:lang w:val="uk-UA"/>
              </w:rPr>
            </w:pPr>
            <w:r>
              <w:rPr>
                <w:rFonts w:ascii="Times New Roman" w:hAnsi="Times New Roman"/>
                <w:color w:val="000000"/>
                <w:sz w:val="26"/>
                <w:szCs w:val="26"/>
                <w:lang w:val="uk-UA"/>
              </w:rPr>
              <w:t>Для студентів КЗВО «Луцький медичний інститут» у Луцькій філії Волинського обласного центру зайнятості у березні проведено профорієнтаційний захід. Учасниками стали студенти, які навчаються за професією «сестра медична». В червні 2024 року для студентів Технічного фахового коледжу ЛНТУ, які здобувають професію «слюсар з ремонту колісних транспортних засобів», організовано зустріч із керівником ТОВ «Автодок-Луцьк».</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w:t>
            </w:r>
            <w:r>
              <w:rPr>
                <w:rFonts w:cs="Times New Roman" w:ascii="Times New Roman" w:hAnsi="Times New Roman"/>
                <w:bCs/>
                <w:color w:val="000000"/>
                <w:sz w:val="26"/>
                <w:szCs w:val="26"/>
                <w:lang w:val="uk-UA"/>
              </w:rPr>
              <w:t>дійснення повідомної реєстрації колективних договорів і територіальних угод, внесення зауважень та рекомендацій щодо приведення їх положень у відповідність до вимог чинного законодавства</w:t>
            </w:r>
            <w:r>
              <w:rPr>
                <w:rFonts w:cs="Times New Roman" w:ascii="Times New Roman" w:hAnsi="Times New Roman"/>
                <w:color w:val="000000"/>
                <w:sz w:val="26"/>
                <w:szCs w:val="26"/>
                <w:lang w:val="uk-UA"/>
              </w:rPr>
              <w:t>.</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2"/>
              <w:keepNext w:val="true"/>
              <w:widowControl w:val="false"/>
              <w:numPr>
                <w:ilvl w:val="1"/>
                <w:numId w:val="1"/>
              </w:numPr>
              <w:spacing w:before="0" w:after="0"/>
              <w:ind w:firstLine="567"/>
              <w:jc w:val="both"/>
              <w:rPr>
                <w:rFonts w:ascii="Times New Roman" w:hAnsi="Times New Roman"/>
                <w:color w:val="000000"/>
                <w:sz w:val="26"/>
                <w:szCs w:val="26"/>
                <w:lang w:val="uk-UA"/>
              </w:rPr>
            </w:pPr>
            <w:r>
              <w:rPr>
                <w:rFonts w:eastAsia="Times New Roman" w:cs="Times New Roman" w:ascii="Times New Roman" w:hAnsi="Times New Roman"/>
                <w:b w:val="false"/>
                <w:color w:val="000000"/>
                <w:spacing w:val="-1"/>
                <w:sz w:val="26"/>
                <w:szCs w:val="26"/>
                <w:lang w:val="uk-UA" w:eastAsia="zh-CN"/>
              </w:rPr>
              <w:t>Протягом 2024 року зареєстровано 96 колективних договорів і угод, змін і доповнень до них. За результатами їх розгляду щодо відповідності законодавству надано 111 рекомендацій. Реєстр колективних договорів і угод, змін і доповнень до них ведеться на офіційному сайті міської ради та постійно оновлюється по мірі їх надходження.</w:t>
            </w:r>
          </w:p>
        </w:tc>
      </w:tr>
      <w:tr>
        <w:trPr>
          <w:trHeight w:val="288" w:hRule="atLeast"/>
        </w:trPr>
        <w:tc>
          <w:tcPr>
            <w:tcW w:w="564"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791" w:type="dxa"/>
            <w:tcBorders>
              <w:left w:val="single" w:sz="4" w:space="0" w:color="000000"/>
              <w:bottom w:val="single" w:sz="4" w:space="0" w:color="000000"/>
            </w:tcBorders>
            <w:shd w:fill="auto" w:val="clear"/>
          </w:tcPr>
          <w:p>
            <w:pPr>
              <w:pStyle w:val="Standard"/>
              <w:widowControl w:val="false"/>
              <w:tabs>
                <w:tab w:val="clear" w:pos="720"/>
                <w:tab w:val="left" w:pos="567"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Інформування сторін соціального діалогу в частині розробки заходів для дотримання вимог законодавства з питань охорони праці в ході проведення колективно-договірної роботи.</w:t>
            </w:r>
          </w:p>
        </w:tc>
        <w:tc>
          <w:tcPr>
            <w:tcW w:w="10778" w:type="dxa"/>
            <w:tcBorders>
              <w:left w:val="single" w:sz="4" w:space="0" w:color="000000"/>
              <w:bottom w:val="single" w:sz="4" w:space="0" w:color="000000"/>
              <w:right w:val="single" w:sz="4" w:space="0" w:color="000000"/>
            </w:tcBorders>
            <w:shd w:fill="auto" w:val="clear"/>
          </w:tcPr>
          <w:p>
            <w:pPr>
              <w:pStyle w:val="Style27"/>
              <w:keepNext w:val="true"/>
              <w:widowControl w:val="false"/>
              <w:numPr>
                <w:ilvl w:val="1"/>
                <w:numId w:val="1"/>
              </w:numPr>
              <w:tabs>
                <w:tab w:val="clear" w:pos="720"/>
                <w:tab w:val="left" w:pos="510" w:leader="none"/>
                <w:tab w:val="left" w:pos="1545" w:leader="none"/>
                <w:tab w:val="left" w:pos="2953" w:leader="none"/>
                <w:tab w:val="left" w:pos="4440" w:leader="none"/>
                <w:tab w:val="left" w:pos="5768" w:leader="none"/>
                <w:tab w:val="left" w:pos="6162" w:leader="none"/>
                <w:tab w:val="left" w:pos="7071" w:leader="none"/>
              </w:tabs>
              <w:spacing w:lineRule="auto" w:line="240" w:before="0" w:after="0"/>
              <w:ind w:firstLine="567"/>
              <w:jc w:val="both"/>
              <w:outlineLvl w:val="1"/>
              <w:rPr>
                <w:rFonts w:ascii="Times New Roman" w:hAnsi="Times New Roman"/>
                <w:color w:val="000000"/>
                <w:sz w:val="26"/>
                <w:szCs w:val="26"/>
                <w:lang w:val="uk-UA"/>
              </w:rPr>
            </w:pPr>
            <w:r>
              <w:rPr>
                <w:rFonts w:ascii="Times New Roman" w:hAnsi="Times New Roman"/>
                <w:color w:val="000000"/>
                <w:sz w:val="26"/>
                <w:szCs w:val="26"/>
                <w:u w:val="none"/>
                <w:lang w:val="uk-UA"/>
              </w:rPr>
              <w:t xml:space="preserve">Консультування сторін з питань охорони праці в ході проведення колективно-договірної роботи проводиться </w:t>
            </w:r>
            <w:r>
              <w:rPr>
                <w:rFonts w:eastAsia="Times New Roman" w:ascii="Times New Roman" w:hAnsi="Times New Roman"/>
                <w:color w:val="000000"/>
                <w:sz w:val="26"/>
                <w:szCs w:val="26"/>
                <w:u w:val="none"/>
                <w:lang w:val="uk-UA" w:eastAsia="en-US"/>
              </w:rPr>
              <w:t>на</w:t>
            </w:r>
            <w:r>
              <w:rPr>
                <w:rFonts w:ascii="Times New Roman" w:hAnsi="Times New Roman"/>
                <w:color w:val="000000"/>
                <w:sz w:val="26"/>
                <w:szCs w:val="26"/>
                <w:u w:val="none"/>
                <w:lang w:val="uk-UA"/>
              </w:rPr>
              <w:t xml:space="preserve"> постійн</w:t>
            </w:r>
            <w:r>
              <w:rPr>
                <w:rFonts w:eastAsia="Times New Roman" w:ascii="Times New Roman" w:hAnsi="Times New Roman"/>
                <w:color w:val="000000"/>
                <w:sz w:val="26"/>
                <w:szCs w:val="26"/>
                <w:u w:val="none"/>
                <w:lang w:val="uk-UA" w:eastAsia="en-US"/>
              </w:rPr>
              <w:t>ій основі шляхом комунікації через засоби мобільного та стаціонарного телефонного зв'язку.</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Проведення</w:t>
            </w:r>
            <w:r>
              <w:rPr>
                <w:rFonts w:cs="Times New Roman" w:ascii="Times New Roman" w:hAnsi="Times New Roman"/>
                <w:bCs/>
                <w:color w:val="000000"/>
                <w:sz w:val="26"/>
                <w:szCs w:val="26"/>
                <w:lang w:val="uk-UA"/>
              </w:rPr>
              <w:t xml:space="preserve"> постійного моніторингу стану виплати заробітної плати та рівня оплати праці найманих працівників на підприємствах </w:t>
            </w:r>
            <w:r>
              <w:rPr>
                <w:rFonts w:cs="Times New Roman" w:ascii="Times New Roman" w:hAnsi="Times New Roman"/>
                <w:color w:val="000000"/>
                <w:sz w:val="26"/>
                <w:szCs w:val="26"/>
                <w:lang w:val="uk-UA"/>
              </w:rPr>
              <w:t>Луцької міської територіальної громади.</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Style27"/>
              <w:widowControl w:val="false"/>
              <w:spacing w:lineRule="auto" w:line="240" w:before="0" w:after="0"/>
              <w:ind w:firstLine="567"/>
              <w:jc w:val="both"/>
              <w:rPr>
                <w:rFonts w:ascii="Times New Roman" w:hAnsi="Times New Roman"/>
                <w:color w:val="000000"/>
                <w:sz w:val="26"/>
                <w:szCs w:val="26"/>
                <w:lang w:val="uk-UA"/>
              </w:rPr>
            </w:pPr>
            <w:r>
              <w:rPr>
                <w:rFonts w:eastAsia="Times New Roman" w:ascii="Times New Roman" w:hAnsi="Times New Roman"/>
                <w:bCs/>
                <w:color w:val="000000"/>
                <w:spacing w:val="-1"/>
                <w:sz w:val="26"/>
                <w:szCs w:val="26"/>
                <w:u w:val="none"/>
                <w:lang w:val="uk-UA" w:eastAsia="zh-CN"/>
              </w:rPr>
              <w:t>За результатами проведення моніторингу стану виплати заробітної плати на економічно активних підприємствах міської територіальної громади встановлено, що протягом 2024 року повністю погасили заборгованість перед усіма своїми працівниками два підприємства, в яких була заборгованість на початок року (Волинська державна дослідна станція інституту сільського господарства Карпатського регіону НААНУ (133,3 тис. грн) та Волинська</w:t>
            </w:r>
            <w:r>
              <w:rPr>
                <w:rFonts w:eastAsia="Times New Roman" w:ascii="Times New Roman" w:hAnsi="Times New Roman"/>
                <w:bCs/>
                <w:color w:val="000000"/>
                <w:spacing w:val="1"/>
                <w:sz w:val="26"/>
                <w:szCs w:val="26"/>
                <w:u w:val="none"/>
                <w:lang w:val="uk-UA" w:eastAsia="zh-CN"/>
              </w:rPr>
              <w:t xml:space="preserve"> </w:t>
            </w:r>
            <w:r>
              <w:rPr>
                <w:rFonts w:eastAsia="Times New Roman" w:ascii="Times New Roman" w:hAnsi="Times New Roman"/>
                <w:bCs/>
                <w:color w:val="000000"/>
                <w:spacing w:val="-1"/>
                <w:sz w:val="26"/>
                <w:szCs w:val="26"/>
                <w:u w:val="none"/>
                <w:lang w:val="uk-UA" w:eastAsia="zh-CN"/>
              </w:rPr>
              <w:t>обласна</w:t>
            </w:r>
            <w:r>
              <w:rPr>
                <w:rFonts w:eastAsia="Times New Roman" w:ascii="Times New Roman" w:hAnsi="Times New Roman"/>
                <w:bCs/>
                <w:color w:val="000000"/>
                <w:spacing w:val="1"/>
                <w:sz w:val="26"/>
                <w:szCs w:val="26"/>
                <w:u w:val="none"/>
                <w:lang w:val="uk-UA" w:eastAsia="zh-CN"/>
              </w:rPr>
              <w:t xml:space="preserve"> </w:t>
            </w:r>
            <w:r>
              <w:rPr>
                <w:rFonts w:eastAsia="Times New Roman" w:ascii="Times New Roman" w:hAnsi="Times New Roman"/>
                <w:bCs/>
                <w:color w:val="000000"/>
                <w:spacing w:val="-1"/>
                <w:sz w:val="26"/>
                <w:szCs w:val="26"/>
                <w:u w:val="none"/>
                <w:lang w:val="uk-UA" w:eastAsia="zh-CN"/>
              </w:rPr>
              <w:t>організація</w:t>
            </w:r>
            <w:r>
              <w:rPr>
                <w:rFonts w:eastAsia="Times New Roman" w:ascii="Times New Roman" w:hAnsi="Times New Roman"/>
                <w:bCs/>
                <w:color w:val="000000"/>
                <w:spacing w:val="1"/>
                <w:sz w:val="26"/>
                <w:szCs w:val="26"/>
                <w:u w:val="none"/>
                <w:lang w:val="uk-UA" w:eastAsia="zh-CN"/>
              </w:rPr>
              <w:t xml:space="preserve"> </w:t>
            </w:r>
            <w:r>
              <w:rPr>
                <w:rFonts w:eastAsia="Times New Roman" w:ascii="Times New Roman" w:hAnsi="Times New Roman"/>
                <w:bCs/>
                <w:color w:val="000000"/>
                <w:spacing w:val="-1"/>
                <w:sz w:val="26"/>
                <w:szCs w:val="26"/>
                <w:u w:val="none"/>
                <w:lang w:val="uk-UA" w:eastAsia="zh-CN"/>
              </w:rPr>
              <w:t>Українського</w:t>
            </w:r>
            <w:r>
              <w:rPr>
                <w:rFonts w:eastAsia="Times New Roman" w:ascii="Times New Roman" w:hAnsi="Times New Roman"/>
                <w:bCs/>
                <w:color w:val="000000"/>
                <w:spacing w:val="-48"/>
                <w:sz w:val="26"/>
                <w:szCs w:val="26"/>
                <w:u w:val="none"/>
                <w:lang w:val="uk-UA" w:eastAsia="zh-CN"/>
              </w:rPr>
              <w:t xml:space="preserve"> </w:t>
            </w:r>
            <w:r>
              <w:rPr>
                <w:rFonts w:eastAsia="Times New Roman" w:ascii="Times New Roman" w:hAnsi="Times New Roman"/>
                <w:bCs/>
                <w:color w:val="000000"/>
                <w:spacing w:val="-1"/>
                <w:sz w:val="26"/>
                <w:szCs w:val="26"/>
                <w:u w:val="none"/>
                <w:lang w:val="uk-UA" w:eastAsia="zh-CN"/>
              </w:rPr>
              <w:t>товариства</w:t>
            </w:r>
            <w:r>
              <w:rPr>
                <w:rFonts w:eastAsia="Times New Roman" w:ascii="Times New Roman" w:hAnsi="Times New Roman"/>
                <w:bCs/>
                <w:color w:val="000000"/>
                <w:spacing w:val="1"/>
                <w:sz w:val="26"/>
                <w:szCs w:val="26"/>
                <w:u w:val="none"/>
                <w:lang w:val="uk-UA" w:eastAsia="zh-CN"/>
              </w:rPr>
              <w:t xml:space="preserve"> </w:t>
            </w:r>
            <w:r>
              <w:rPr>
                <w:rFonts w:eastAsia="Times New Roman" w:ascii="Times New Roman" w:hAnsi="Times New Roman"/>
                <w:bCs/>
                <w:color w:val="000000"/>
                <w:spacing w:val="-1"/>
                <w:sz w:val="26"/>
                <w:szCs w:val="26"/>
                <w:u w:val="none"/>
                <w:lang w:val="uk-UA" w:eastAsia="zh-CN"/>
              </w:rPr>
              <w:t>сліпих (303 тис. грн)).</w:t>
            </w:r>
          </w:p>
        </w:tc>
      </w:tr>
      <w:tr>
        <w:trPr>
          <w:trHeight w:val="288" w:hRule="atLeast"/>
        </w:trPr>
        <w:tc>
          <w:tcPr>
            <w:tcW w:w="564"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791" w:type="dxa"/>
            <w:tcBorders>
              <w:top w:val="single" w:sz="4" w:space="0" w:color="000000"/>
              <w:left w:val="single" w:sz="4" w:space="0" w:color="000000"/>
              <w:bottom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Постійне здійснення моніторингу випадків виробничого травматизму та травм невиробничого характеру.</w:t>
            </w:r>
          </w:p>
        </w:tc>
        <w:tc>
          <w:tcPr>
            <w:tcW w:w="10778" w:type="dxa"/>
            <w:tcBorders>
              <w:top w:val="single" w:sz="4" w:space="0" w:color="000000"/>
              <w:left w:val="single" w:sz="4" w:space="0" w:color="000000"/>
              <w:bottom w:val="single" w:sz="4" w:space="0" w:color="000000"/>
              <w:right w:val="single" w:sz="4" w:space="0" w:color="000000"/>
            </w:tcBorders>
            <w:shd w:fill="auto" w:val="clear"/>
          </w:tcPr>
          <w:p>
            <w:pPr>
              <w:pStyle w:val="TableParagraph"/>
              <w:widowControl w:val="false"/>
              <w:tabs>
                <w:tab w:val="clear" w:pos="720"/>
                <w:tab w:val="left" w:pos="510" w:leader="none"/>
                <w:tab w:val="left" w:pos="1545" w:leader="none"/>
                <w:tab w:val="left" w:pos="2953" w:leader="none"/>
                <w:tab w:val="left" w:pos="4440" w:leader="none"/>
                <w:tab w:val="left" w:pos="5768" w:leader="none"/>
                <w:tab w:val="left" w:pos="6162" w:leader="none"/>
                <w:tab w:val="left" w:pos="7071" w:leader="none"/>
              </w:tabs>
              <w:ind w:firstLine="567"/>
              <w:jc w:val="both"/>
              <w:rPr>
                <w:rFonts w:ascii="Times New Roman" w:hAnsi="Times New Roman"/>
                <w:color w:val="000000"/>
                <w:sz w:val="26"/>
                <w:szCs w:val="26"/>
                <w:lang w:val="uk-UA"/>
              </w:rPr>
            </w:pPr>
            <w:r>
              <w:rPr>
                <w:color w:val="000000"/>
                <w:sz w:val="26"/>
                <w:szCs w:val="26"/>
                <w:lang w:val="uk-UA"/>
              </w:rPr>
              <w:t>З метою реалізації державної політики у сфері безпечної життєдіяльності населення та поліпшення організації роботи з профілактики травматизму невиробничого характеру, а також на виконання положень Порядку розслідування та обліку нещасних випадків невиробничого характеру, затвердженого постановою Кабінету міністрів України від 22.03.2001 № 270, протягом звітного періоду взято на облік та проаналізовано 18 262 повідомлення закладів охорони здоров'я про нещасні випадки невиробничого характеру, що сталися на території громади.</w:t>
            </w:r>
          </w:p>
          <w:p>
            <w:pPr>
              <w:pStyle w:val="TableParagraph"/>
              <w:widowControl w:val="false"/>
              <w:ind w:firstLine="567"/>
              <w:jc w:val="both"/>
              <w:rPr>
                <w:rFonts w:ascii="Times New Roman" w:hAnsi="Times New Roman"/>
                <w:color w:val="000000"/>
                <w:sz w:val="26"/>
                <w:szCs w:val="26"/>
                <w:lang w:val="uk-UA"/>
              </w:rPr>
            </w:pPr>
            <w:r>
              <w:rPr>
                <w:color w:val="000000"/>
                <w:sz w:val="26"/>
                <w:szCs w:val="26"/>
                <w:lang w:val="uk-UA"/>
              </w:rPr>
              <w:t xml:space="preserve">На виконання вимог Порядку розслідування та обліку нещасних випадків, професійних захворювань та аварій на виробництві, затвердженого постановою Кабінету міністрів України від 17.04.2019 № 337, </w:t>
            </w:r>
            <w:r>
              <w:rPr>
                <w:bCs/>
                <w:color w:val="000000"/>
                <w:kern w:val="0"/>
                <w:sz w:val="26"/>
                <w:szCs w:val="26"/>
                <w:lang w:val="uk-UA"/>
              </w:rPr>
              <w:t>роботодавцями надіслано 58 листів-запитів про проведення розслідувань нещасних випадків щодо працівників, відносно яких надійшли екстрені повідомлення з посиланням на нещасний випадок на виробництві. Так, протягом 2024 року за результатами проведених розслідувань нещасних випадків надійшли акти від 23 підприємств, щодо 20 випадків отримано відповіді про відсутність ознак виробничого трав</w:t>
            </w:r>
            <w:r>
              <w:rPr>
                <w:bCs/>
                <w:color w:val="000000"/>
                <w:sz w:val="26"/>
                <w:szCs w:val="26"/>
                <w:lang w:val="uk-UA"/>
              </w:rPr>
              <w:t>матизму. Безпосередньо працівниками відділу праці прийнято участь у 13 спеціальних розслідуваннях нещасних випадків на виробництві, які трапились на підприємствах громади.</w:t>
            </w:r>
          </w:p>
        </w:tc>
      </w:tr>
      <w:tr>
        <w:trPr>
          <w:trHeight w:val="288" w:hRule="atLeast"/>
        </w:trPr>
        <w:tc>
          <w:tcPr>
            <w:tcW w:w="564"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12.</w:t>
            </w:r>
          </w:p>
        </w:tc>
        <w:tc>
          <w:tcPr>
            <w:tcW w:w="3791" w:type="dxa"/>
            <w:tcBorders>
              <w:left w:val="single" w:sz="4" w:space="0" w:color="000000"/>
              <w:bottom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Інформування роботодавців міської територіальної громади щодо організації трудових відносин в умовах воєнного стану, оформлення трудових відносин та негативних наслідків тіньової зайнятості, шляхом надання консультацій керівникам суб’єктів господарювання та найманим працівникам, а також розміщення на офіційному сайті Луцької міської ради відповідних статей.</w:t>
            </w:r>
          </w:p>
        </w:tc>
        <w:tc>
          <w:tcPr>
            <w:tcW w:w="10778" w:type="dxa"/>
            <w:tcBorders>
              <w:left w:val="single" w:sz="4" w:space="0" w:color="000000"/>
              <w:bottom w:val="single" w:sz="4" w:space="0" w:color="000000"/>
              <w:right w:val="single" w:sz="4" w:space="0" w:color="000000"/>
            </w:tcBorders>
            <w:shd w:fill="auto" w:val="clear"/>
          </w:tcPr>
          <w:p>
            <w:pPr>
              <w:pStyle w:val="Style27"/>
              <w:widowControl w:val="false"/>
              <w:tabs>
                <w:tab w:val="clear" w:pos="720"/>
                <w:tab w:val="left" w:pos="510" w:leader="none"/>
                <w:tab w:val="left" w:pos="1545" w:leader="none"/>
                <w:tab w:val="left" w:pos="2953" w:leader="none"/>
                <w:tab w:val="left" w:pos="4440" w:leader="none"/>
                <w:tab w:val="left" w:pos="5768" w:leader="none"/>
                <w:tab w:val="left" w:pos="6162" w:leader="none"/>
                <w:tab w:val="left" w:pos="7071" w:leader="none"/>
              </w:tabs>
              <w:spacing w:lineRule="auto" w:line="240" w:before="0" w:after="0"/>
              <w:ind w:firstLine="567"/>
              <w:jc w:val="both"/>
              <w:rPr>
                <w:rFonts w:ascii="Times New Roman" w:hAnsi="Times New Roman"/>
                <w:color w:val="000000"/>
                <w:sz w:val="26"/>
                <w:szCs w:val="26"/>
                <w:lang w:val="uk-UA"/>
              </w:rPr>
            </w:pPr>
            <w:r>
              <w:rPr>
                <w:rFonts w:ascii="Times New Roman" w:hAnsi="Times New Roman"/>
                <w:color w:val="000000"/>
                <w:sz w:val="26"/>
                <w:szCs w:val="26"/>
                <w:u w:val="none"/>
                <w:lang w:val="uk-UA"/>
              </w:rPr>
              <w:t>Протягом року здійснено відвідування та проведен</w:t>
            </w:r>
            <w:r>
              <w:rPr>
                <w:rFonts w:eastAsia="Times New Roman" w:ascii="Times New Roman" w:hAnsi="Times New Roman"/>
                <w:color w:val="000000"/>
                <w:sz w:val="26"/>
                <w:szCs w:val="26"/>
                <w:u w:val="none"/>
                <w:lang w:val="uk-UA" w:eastAsia="en-US"/>
              </w:rPr>
              <w:t>о</w:t>
            </w:r>
            <w:r>
              <w:rPr>
                <w:rFonts w:ascii="Times New Roman" w:hAnsi="Times New Roman"/>
                <w:color w:val="000000"/>
                <w:sz w:val="26"/>
                <w:szCs w:val="26"/>
                <w:u w:val="none"/>
                <w:lang w:val="uk-UA"/>
              </w:rPr>
              <w:t xml:space="preserve"> інформаційно-роз'яснювальну робот</w:t>
            </w:r>
            <w:r>
              <w:rPr>
                <w:rFonts w:eastAsia="Times New Roman" w:ascii="Times New Roman" w:hAnsi="Times New Roman"/>
                <w:color w:val="000000"/>
                <w:sz w:val="26"/>
                <w:szCs w:val="26"/>
                <w:u w:val="none"/>
                <w:lang w:val="uk-UA" w:eastAsia="en-US"/>
              </w:rPr>
              <w:t>у</w:t>
            </w:r>
            <w:r>
              <w:rPr>
                <w:rFonts w:ascii="Times New Roman" w:hAnsi="Times New Roman"/>
                <w:color w:val="000000"/>
                <w:sz w:val="26"/>
                <w:szCs w:val="26"/>
                <w:u w:val="none"/>
                <w:lang w:val="uk-UA"/>
              </w:rPr>
              <w:t xml:space="preserve"> в 1 33</w:t>
            </w:r>
            <w:r>
              <w:rPr>
                <w:rFonts w:cs="Times New Roman;serif" w:ascii="Times New Roman" w:hAnsi="Times New Roman"/>
                <w:color w:val="000000"/>
                <w:sz w:val="26"/>
                <w:szCs w:val="26"/>
                <w:u w:val="none"/>
                <w:lang w:val="uk-UA"/>
              </w:rPr>
              <w:t>9</w:t>
            </w:r>
            <w:r>
              <w:rPr>
                <w:rFonts w:eastAsia="Times New Roman" w:cs="Times New Roman;serif" w:ascii="Times New Roman" w:hAnsi="Times New Roman"/>
                <w:color w:val="000000"/>
                <w:sz w:val="26"/>
                <w:szCs w:val="26"/>
                <w:u w:val="none"/>
                <w:lang w:val="uk-UA" w:eastAsia="zh-CN"/>
              </w:rPr>
              <w:t> </w:t>
            </w:r>
            <w:r>
              <w:rPr>
                <w:rFonts w:ascii="Times New Roman" w:hAnsi="Times New Roman"/>
                <w:color w:val="000000"/>
                <w:sz w:val="26"/>
                <w:szCs w:val="26"/>
                <w:u w:val="none"/>
                <w:lang w:val="uk-UA"/>
              </w:rPr>
              <w:t>суб'єкт</w:t>
            </w:r>
            <w:r>
              <w:rPr>
                <w:rFonts w:eastAsia="Times New Roman" w:ascii="Times New Roman" w:hAnsi="Times New Roman"/>
                <w:color w:val="000000"/>
                <w:sz w:val="26"/>
                <w:szCs w:val="26"/>
                <w:u w:val="none"/>
                <w:lang w:val="uk-UA" w:eastAsia="zh-CN"/>
              </w:rPr>
              <w:t xml:space="preserve">ів господарювання </w:t>
            </w:r>
            <w:r>
              <w:rPr>
                <w:rFonts w:ascii="Times New Roman" w:hAnsi="Times New Roman"/>
                <w:color w:val="000000"/>
                <w:sz w:val="26"/>
                <w:szCs w:val="26"/>
                <w:u w:val="none"/>
                <w:lang w:val="uk-UA"/>
              </w:rPr>
              <w:t xml:space="preserve">на предмет порядку оформлення трудових відносин. </w:t>
            </w:r>
            <w:r>
              <w:rPr>
                <w:rFonts w:eastAsia="Times New Roman" w:cs="Times New Roman;serif" w:ascii="Times New Roman" w:hAnsi="Times New Roman"/>
                <w:color w:val="000000"/>
                <w:sz w:val="26"/>
                <w:szCs w:val="26"/>
                <w:u w:val="none"/>
                <w:lang w:val="uk-UA" w:eastAsia="zh-CN"/>
              </w:rPr>
              <w:t>Крім того, в</w:t>
            </w:r>
            <w:r>
              <w:rPr>
                <w:rFonts w:eastAsia="Times New Roman" w:ascii="Times New Roman" w:hAnsi="Times New Roman"/>
                <w:color w:val="000000"/>
                <w:sz w:val="26"/>
                <w:szCs w:val="26"/>
                <w:u w:val="none"/>
                <w:lang w:val="uk-UA" w:eastAsia="zh-CN"/>
              </w:rPr>
              <w:t xml:space="preserve"> </w:t>
            </w:r>
            <w:r>
              <w:rPr>
                <w:rFonts w:eastAsia="Times New Roman" w:ascii="Times New Roman" w:hAnsi="Times New Roman"/>
                <w:bCs/>
                <w:color w:val="000000"/>
                <w:sz w:val="26"/>
                <w:szCs w:val="26"/>
                <w:u w:val="none"/>
                <w:lang w:val="uk-UA" w:eastAsia="zh-CN"/>
              </w:rPr>
              <w:t>ході проведення таких заходів</w:t>
            </w:r>
            <w:r>
              <w:rPr>
                <w:rFonts w:eastAsia="Times New Roman" w:ascii="Times New Roman" w:hAnsi="Times New Roman"/>
                <w:color w:val="000000"/>
                <w:sz w:val="26"/>
                <w:szCs w:val="26"/>
                <w:u w:val="none"/>
                <w:lang w:val="uk-UA" w:eastAsia="zh-CN"/>
              </w:rPr>
              <w:t xml:space="preserve"> виявлено наявність ознак неоформлених трудових відносин у 227</w:t>
            </w:r>
            <w:r>
              <w:rPr>
                <w:rFonts w:eastAsia="Times New Roman" w:cs="Times New Roman;serif" w:ascii="Times New Roman" w:hAnsi="Times New Roman"/>
                <w:color w:val="000000"/>
                <w:sz w:val="26"/>
                <w:szCs w:val="26"/>
                <w:u w:val="none"/>
                <w:lang w:val="uk-UA" w:eastAsia="zh-CN"/>
              </w:rPr>
              <w:t> </w:t>
            </w:r>
            <w:r>
              <w:rPr>
                <w:rFonts w:eastAsia="Times New Roman" w:ascii="Times New Roman" w:hAnsi="Times New Roman"/>
                <w:color w:val="000000"/>
                <w:sz w:val="26"/>
                <w:szCs w:val="26"/>
                <w:u w:val="none"/>
                <w:lang w:val="uk-UA" w:eastAsia="zh-CN"/>
              </w:rPr>
              <w:t>суб'єктів господарювання з 3</w:t>
            </w:r>
            <w:r>
              <w:rPr>
                <w:rFonts w:eastAsia="Times New Roman" w:cs="Times New Roman;serif" w:ascii="Times New Roman" w:hAnsi="Times New Roman"/>
                <w:color w:val="000000"/>
                <w:sz w:val="26"/>
                <w:szCs w:val="26"/>
                <w:u w:val="none"/>
                <w:lang w:val="uk-UA" w:eastAsia="zh-CN"/>
              </w:rPr>
              <w:t>24 </w:t>
            </w:r>
            <w:r>
              <w:rPr>
                <w:rFonts w:eastAsia="Times New Roman" w:ascii="Times New Roman" w:hAnsi="Times New Roman"/>
                <w:color w:val="000000"/>
                <w:sz w:val="26"/>
                <w:szCs w:val="26"/>
                <w:u w:val="none"/>
                <w:lang w:val="uk-UA" w:eastAsia="zh-CN"/>
              </w:rPr>
              <w:t xml:space="preserve">найманими працівниками. </w:t>
            </w:r>
            <w:r>
              <w:rPr>
                <w:rFonts w:eastAsia="Times New Roman" w:ascii="Times New Roman" w:hAnsi="Times New Roman"/>
                <w:bCs/>
                <w:color w:val="000000"/>
                <w:sz w:val="26"/>
                <w:szCs w:val="26"/>
                <w:u w:val="none"/>
                <w:lang w:val="uk-UA" w:eastAsia="zh-CN"/>
              </w:rPr>
              <w:t xml:space="preserve">Разом з цим також виявлено 26 суб'єктів, що здійснювали підприємницьку діяльність без належної державної реєстрації. </w:t>
            </w:r>
            <w:r>
              <w:rPr>
                <w:rFonts w:ascii="Times New Roman" w:hAnsi="Times New Roman"/>
                <w:color w:val="000000"/>
                <w:sz w:val="26"/>
                <w:szCs w:val="26"/>
                <w:u w:val="none"/>
                <w:lang w:val="uk-UA"/>
              </w:rPr>
              <w:t>Про такі випадки повідомлено Г</w:t>
            </w:r>
            <w:r>
              <w:rPr>
                <w:rFonts w:cs="Times New Roman;serif" w:ascii="Times New Roman" w:hAnsi="Times New Roman"/>
                <w:color w:val="000000"/>
                <w:sz w:val="26"/>
                <w:szCs w:val="26"/>
                <w:u w:val="none"/>
                <w:lang w:val="uk-UA"/>
              </w:rPr>
              <w:t>оловне управління</w:t>
            </w:r>
            <w:r>
              <w:rPr>
                <w:rFonts w:ascii="Times New Roman" w:hAnsi="Times New Roman"/>
                <w:color w:val="000000"/>
                <w:sz w:val="26"/>
                <w:szCs w:val="26"/>
                <w:u w:val="none"/>
                <w:lang w:val="uk-UA"/>
              </w:rPr>
              <w:t xml:space="preserve"> ДПС у Волинській області з метою з'ясування питання усунення порушення, шляхом офіційного працевлаштування виявлених неоформлених працівників. Так, за даними ГУ ДПС у Волинській області, 52</w:t>
            </w:r>
            <w:r>
              <w:rPr>
                <w:rFonts w:eastAsia="Times New Roman" w:ascii="Times New Roman" w:hAnsi="Times New Roman"/>
                <w:color w:val="000000"/>
                <w:sz w:val="26"/>
                <w:szCs w:val="26"/>
                <w:u w:val="none"/>
                <w:lang w:val="uk-UA" w:eastAsia="zh-CN"/>
              </w:rPr>
              <w:t> </w:t>
            </w:r>
            <w:r>
              <w:rPr>
                <w:rFonts w:ascii="Times New Roman" w:hAnsi="Times New Roman"/>
                <w:color w:val="000000"/>
                <w:sz w:val="26"/>
                <w:szCs w:val="26"/>
                <w:u w:val="none"/>
                <w:lang w:val="uk-UA"/>
              </w:rPr>
              <w:t>роботодавця оформили трудові відносини з 92</w:t>
            </w:r>
            <w:r>
              <w:rPr>
                <w:rFonts w:eastAsia="Times New Roman" w:ascii="Times New Roman" w:hAnsi="Times New Roman"/>
                <w:color w:val="000000"/>
                <w:sz w:val="26"/>
                <w:szCs w:val="26"/>
                <w:u w:val="none"/>
                <w:lang w:val="uk-UA" w:eastAsia="zh-CN"/>
              </w:rPr>
              <w:t> </w:t>
            </w:r>
            <w:r>
              <w:rPr>
                <w:rFonts w:ascii="Times New Roman" w:hAnsi="Times New Roman"/>
                <w:color w:val="000000"/>
                <w:sz w:val="26"/>
                <w:szCs w:val="26"/>
                <w:u w:val="none"/>
                <w:lang w:val="uk-UA"/>
              </w:rPr>
              <w:t>працівник</w:t>
            </w:r>
            <w:r>
              <w:rPr>
                <w:rFonts w:eastAsia="Times New Roman" w:ascii="Times New Roman" w:hAnsi="Times New Roman"/>
                <w:color w:val="000000"/>
                <w:sz w:val="26"/>
                <w:szCs w:val="26"/>
                <w:u w:val="none"/>
                <w:lang w:val="uk-UA" w:eastAsia="zh-CN"/>
              </w:rPr>
              <w:t>ами</w:t>
            </w:r>
            <w:r>
              <w:rPr>
                <w:rFonts w:ascii="Times New Roman" w:hAnsi="Times New Roman"/>
                <w:color w:val="000000"/>
                <w:sz w:val="26"/>
                <w:szCs w:val="26"/>
                <w:u w:val="none"/>
                <w:lang w:val="uk-UA"/>
              </w:rPr>
              <w:t>.</w:t>
            </w:r>
          </w:p>
        </w:tc>
      </w:tr>
    </w:tbl>
    <w:p>
      <w:pPr>
        <w:pStyle w:val="Normal"/>
        <w:ind w:firstLine="709"/>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3.3.4. Соціальний захист</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08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27"/>
        <w:gridCol w:w="3792"/>
        <w:gridCol w:w="10664"/>
      </w:tblGrid>
      <w:tr>
        <w:trPr>
          <w:trHeight w:val="615" w:hRule="atLeast"/>
        </w:trPr>
        <w:tc>
          <w:tcPr>
            <w:tcW w:w="627"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92"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66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Надання адресної матеріальної підтримки соціально вразливим групам населення Луцької міської територіальної громади.</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Style27"/>
              <w:widowControl w:val="false"/>
              <w:spacing w:lineRule="auto" w:line="240" w:before="0" w:after="0"/>
              <w:ind w:firstLine="567"/>
              <w:jc w:val="both"/>
              <w:rPr>
                <w:rFonts w:ascii="Times New Roman" w:hAnsi="Times New Roman"/>
                <w:color w:val="000000"/>
                <w:sz w:val="26"/>
                <w:szCs w:val="26"/>
                <w:lang w:val="uk-UA"/>
              </w:rPr>
            </w:pPr>
            <w:r>
              <w:rPr>
                <w:rFonts w:ascii="Times New Roman" w:hAnsi="Times New Roman"/>
                <w:color w:val="000000"/>
                <w:sz w:val="26"/>
                <w:szCs w:val="26"/>
                <w:u w:val="none"/>
                <w:lang w:val="uk-UA"/>
              </w:rPr>
              <w:t>На виконання Програми соціального захисту населення Луцької міської територіальної громади на 2023-2025 роки, з метою здійснення адресної підтримки окремих вразливих груп населення, протягом звітного періоду проведені виплати: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одноразової грошової допомоги мешканцям громади, які опинились в складних життєвих обставинах, на лікування, медико-соціальну реабілітацію, протезування, подолання наслідків пожежі, стихійного лиха, техногенних аварій та катастроф, вирішення соціально-побутових проблем на суму 7 533,1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адресної грошової допомоги видатним та почесним громадянам громади на суму 514,2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адресної грошової допомоги хворим громадянам пільгових категорій населення на придбання ліків за пільговими рецептами на суму 2 481,2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допомоги на поховання деяких категорій осіб, виконавцю волевиявлення померлого або особі, яка зобов’язалась поховати померлого, в сумі 884,9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компенсацій фізичним особам, які надають соціальні послуги, на суму 5 716,1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адресної грошової допомоги на оплату житлово-комунальних послуг окремим категоріям громадян на суму 4 271,2 тис. грн та інші.</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 межах Комплексної програми соціальної підтримки ветеранів війни та членів їх сімей на 2024-2026 роки, з метою здійснення адресної підтримки, профінансовано надання:</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адресної грошової допомоги на лікування ветеранів війни та членів сімей загиблих (померлих), зниклих безвісти на суму 4 100,0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адресної грошової допомоги сім’ям загиблих (померлих), зниклих безвісти військовослужбовців та сім’ям загиблих (померлих), зниклих безвісти Захисників та Захисниць України, на суму 2 964,0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адресної грошової допомоги на оплату житлово-комунальних послуг на суму 6 184,8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матеріальної допомоги членам сімей загиблих ветеранів війни на встановлення пам’ятників на могилах загиблих на суму 1 859,5 тис. грн та інші.</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92"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pPr>
            <w:r>
              <w:rPr>
                <w:rFonts w:cs="Times New Roman" w:ascii="Times New Roman" w:hAnsi="Times New Roman"/>
                <w:color w:val="000000"/>
                <w:sz w:val="26"/>
                <w:szCs w:val="26"/>
                <w:lang w:val="uk-UA"/>
              </w:rPr>
              <w:t>Надання комплексних медичних, психологічних та соціальних послуг ветеранам війни та членам їх сімей, членам сімей загиблих (померлих) ветеранів, членам сімей зниклих безвісти військовослужбовців та членам сімей військовополонених, військовослужбовців, які уклали контракт про проходження військової служби, бійців-добровольців</w:t>
            </w:r>
            <w:r>
              <w:rPr>
                <w:rStyle w:val="FontStyle22"/>
                <w:rFonts w:cs="Times New Roman" w:ascii="Times New Roman" w:hAnsi="Times New Roman"/>
                <w:color w:val="000000"/>
                <w:sz w:val="26"/>
                <w:szCs w:val="26"/>
                <w:lang w:val="uk-UA"/>
              </w:rPr>
              <w:t xml:space="preserve"> антитерористичної операції, </w:t>
            </w:r>
            <w:r>
              <w:rPr>
                <w:rFonts w:cs="Times New Roman" w:ascii="Times New Roman" w:hAnsi="Times New Roman"/>
                <w:color w:val="000000"/>
                <w:sz w:val="26"/>
                <w:szCs w:val="26"/>
                <w:lang w:val="uk-UA"/>
              </w:rPr>
              <w:t>постраждалих учасників масових акцій громадського протесту.</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Style27"/>
              <w:widowControl w:val="false"/>
              <w:spacing w:lineRule="auto" w:line="240" w:before="0" w:after="0"/>
              <w:ind w:firstLine="567"/>
              <w:jc w:val="both"/>
              <w:rPr>
                <w:rFonts w:ascii="Times New Roman" w:hAnsi="Times New Roman"/>
                <w:color w:val="000000"/>
                <w:sz w:val="26"/>
                <w:szCs w:val="26"/>
                <w:lang w:val="uk-UA"/>
              </w:rPr>
            </w:pPr>
            <w:r>
              <w:rPr>
                <w:rFonts w:ascii="Times New Roman" w:hAnsi="Times New Roman"/>
                <w:color w:val="000000"/>
                <w:sz w:val="26"/>
                <w:szCs w:val="26"/>
                <w:u w:val="none"/>
                <w:lang w:val="uk-UA"/>
              </w:rPr>
              <w:t>З метою надання комплексної допомоги ветеранам війни та членам їх сімей працює сектор сервісу ветеранів відділу прийому громадян, де можна отримати консультації щодо місцевих цільових програм, пільг та гарантій, а також подати документи за механізмом «єдиного вікна». Крім департаменту соціальної та ветеранської політики, фахівці сектору сервісу ветеранів задля покращення ефективності та організації надання послуг щосереди проводять прийом у КП «Центр реабілітації учасників бойових дій Луцької міської територіальної громади».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координації зусиль щодо забезпечення максимального доступу мешканців громади, в т. ч. ветеранів війни та членів їх сімей до соціальних послуг, підписано договір про співпрацю щодо надання паліативної соціальної та медичної послуги між КП «Медичний центр реабілітації учасників бойових дій Луцької міської територіальної громади» та Територіальним центром соціального обслуговування (надання соціальних послуг) Луцької міської територіальної громади.</w:t>
            </w:r>
          </w:p>
          <w:p>
            <w:pPr>
              <w:pStyle w:val="Style27"/>
              <w:widowControl w:val="false"/>
              <w:spacing w:lineRule="auto" w:line="240" w:before="0" w:after="0"/>
              <w:ind w:firstLine="567"/>
              <w:jc w:val="both"/>
              <w:rPr>
                <w:rFonts w:ascii="Times New Roman" w:hAnsi="Times New Roman"/>
                <w:color w:val="000000"/>
                <w:sz w:val="26"/>
                <w:szCs w:val="26"/>
                <w:u w:val="none"/>
                <w:lang w:val="uk-UA"/>
              </w:rPr>
            </w:pPr>
            <w:r>
              <w:rPr>
                <w:rFonts w:ascii="Times New Roman" w:hAnsi="Times New Roman"/>
                <w:color w:val="000000"/>
                <w:sz w:val="26"/>
                <w:szCs w:val="26"/>
                <w:u w:val="none"/>
                <w:lang w:val="uk-UA"/>
              </w:rPr>
              <w:t>На обліку в Територіальному центрі соціального обслуговування (надання соціальних послуг) Луцької міської територіальної громади перебувають 159 мешканців громади, які є ветеранами війни або членами їх сімей, а саме: 17 ветеранів, 37 членів сімей ветеранів, 80 членів сімей військовослужбовців, які проходять службу, 20 членів сімей загиблих військовослужбовців, 5 членів сімей військовослужбовців, які зникли безвісти. Із загальної кількості отримувачів соціальних послуг, що входять до категорії ветерани війни та члени їх сімей, послугу догляду вдома отримують 45 осіб. Один учасник АТО, який є особою з інвалідністю внаслідок війни, отримував послугу денного догляду у відділенні денного перебування. Решта користуються послугами, які надаються іншими структурними підрозділами установи. Протягом року всі отримувачі соціальних послуг цих категорій були забезпечені продуктовими наборами, придбаними за кошти міського бюджету та наданими благодійниками.</w:t>
            </w:r>
          </w:p>
          <w:p>
            <w:pPr>
              <w:pStyle w:val="Style27"/>
              <w:widowControl w:val="false"/>
              <w:spacing w:lineRule="auto" w:line="240" w:before="0" w:after="0"/>
              <w:ind w:firstLine="567"/>
              <w:jc w:val="both"/>
              <w:rPr>
                <w:rFonts w:ascii="Times New Roman" w:hAnsi="Times New Roman"/>
                <w:color w:val="000000"/>
                <w:sz w:val="26"/>
                <w:szCs w:val="26"/>
                <w:u w:val="none"/>
                <w:lang w:val="uk-UA"/>
              </w:rPr>
            </w:pPr>
            <w:r>
              <w:rPr>
                <w:rFonts w:ascii="Times New Roman" w:hAnsi="Times New Roman"/>
                <w:color w:val="000000"/>
                <w:sz w:val="26"/>
                <w:szCs w:val="26"/>
                <w:u w:val="none"/>
                <w:lang w:val="uk-UA"/>
              </w:rPr>
              <w:t>За підтримки Луцького міського голови міська територіальна громада взяла участь в експериментальному проєкті із запровадження комплексної послуги із формування життєстійкості, яка полягає в підтримці психічного здоров’я та зниженні загального рівня стресу і тривожності населення. З травня 2024 року ГО “FOX HOUSE” запроваджено послугу з формування життєстійкості. Всього, послугами Центру життєстійкості скористалось 3 430 осіб, із яких: сім’ї військовослужбовців - 190, члени сім’ї загиблого – 20, ветерани та члени їх родин – 25, особи з інвалідністю – 40, члени сім’ї зниклих безвісти або які перебувають у полоні – 10.</w:t>
            </w:r>
          </w:p>
          <w:p>
            <w:pPr>
              <w:pStyle w:val="Style27"/>
              <w:widowControl w:val="false"/>
              <w:spacing w:lineRule="auto" w:line="240" w:before="0" w:after="0"/>
              <w:ind w:firstLine="567"/>
              <w:jc w:val="both"/>
              <w:rPr>
                <w:rFonts w:ascii="Times New Roman" w:hAnsi="Times New Roman"/>
                <w:color w:val="000000"/>
                <w:sz w:val="26"/>
                <w:szCs w:val="26"/>
                <w:u w:val="none"/>
                <w:lang w:val="uk-UA"/>
              </w:rPr>
            </w:pPr>
            <w:r>
              <w:rPr>
                <w:rFonts w:ascii="Times New Roman" w:hAnsi="Times New Roman"/>
                <w:color w:val="000000"/>
                <w:sz w:val="26"/>
                <w:szCs w:val="26"/>
                <w:u w:val="none"/>
                <w:lang w:val="uk-UA"/>
              </w:rPr>
              <w:t>Упродовж звітного періоду 300 осіб забезпечено відпочинком із проведенням заходів психологічної реабілітації з числа учасників бойових дій, членів сімей загиблих (померлих, зниклих безвісти) Захисників та Захисниць України, бійців-добровольців, постраждалих учасників Революції Гідності, з бюджету громади профінансовано 5 995,6 тис. грн.</w:t>
            </w:r>
          </w:p>
          <w:p>
            <w:pPr>
              <w:pStyle w:val="Style27"/>
              <w:widowControl w:val="false"/>
              <w:spacing w:lineRule="auto" w:line="240" w:before="0" w:after="0"/>
              <w:ind w:firstLine="567"/>
              <w:jc w:val="both"/>
              <w:rPr>
                <w:rFonts w:ascii="Times New Roman" w:hAnsi="Times New Roman"/>
                <w:color w:val="000000"/>
                <w:sz w:val="26"/>
                <w:szCs w:val="26"/>
                <w:u w:val="none"/>
                <w:lang w:val="uk-UA"/>
              </w:rPr>
            </w:pPr>
            <w:r>
              <w:rPr>
                <w:rFonts w:ascii="Times New Roman" w:hAnsi="Times New Roman"/>
                <w:color w:val="000000"/>
                <w:sz w:val="26"/>
                <w:szCs w:val="26"/>
                <w:u w:val="none"/>
                <w:lang w:val="uk-UA"/>
              </w:rPr>
              <w:t>Забезпечено організацію навчання (професійну адаптацію) для 67 осіб з числа учасників бойових дій; осіб з інвалідністю внаслідок війни; членів сімей загиблих (померлих), зниклих безвісти Захисників та Захисниць України, бійців-добровольців, постраждалих учасників Революції Гідності, за рахунок коштів бюджету громади профінансовано 882,1 тис. грн.</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92" w:type="dxa"/>
            <w:tcBorders>
              <w:top w:val="single" w:sz="4" w:space="0" w:color="000000"/>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Організація оздоровлення та відпочинку пільгових категорій громадян.</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eastAsia="hi-IN"/>
              </w:rPr>
            </w:pPr>
            <w:r>
              <w:rPr>
                <w:rFonts w:cs="Times New Roman" w:ascii="Times New Roman" w:hAnsi="Times New Roman"/>
                <w:color w:val="000000"/>
                <w:sz w:val="26"/>
                <w:szCs w:val="26"/>
                <w:lang w:val="uk-UA" w:eastAsia="hi-IN"/>
              </w:rPr>
              <w:t>Протягом року забезпечено санаторно-курортними путівками ветеранів війни, на яких поширюється дія Законів України "Про статус ветеранів війни, гарантії їх соціального захисту" та "Про жертви нацистських переслідувань" на суму 992,4 тис. грн.</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реалізації права на пільги окремих пільгових категорій громадян.</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eastAsia="uk-UA"/>
              </w:rPr>
              <w:t>В межах Програми соціального захисту населення</w:t>
            </w:r>
            <w:r>
              <w:rPr>
                <w:rFonts w:ascii="Times New Roman" w:hAnsi="Times New Roman"/>
                <w:color w:val="000000"/>
                <w:sz w:val="26"/>
                <w:szCs w:val="26"/>
                <w:lang w:val="uk-UA"/>
              </w:rPr>
              <w:t xml:space="preserve"> Луцької міської територіальної громади на 2023-2025 роки</w:t>
            </w:r>
            <w:r>
              <w:rPr>
                <w:rFonts w:ascii="Times New Roman" w:hAnsi="Times New Roman"/>
                <w:color w:val="000000"/>
                <w:sz w:val="26"/>
                <w:szCs w:val="26"/>
                <w:lang w:val="uk-UA" w:eastAsia="uk-UA"/>
              </w:rPr>
              <w:t xml:space="preserve"> здійснювалось відшкодування: коштів підприємствам - надавачам послуг відповідно до поданих розрахунків з надання пільг на послуги зв’язку пільговим категоріям громадян на суму 642,0 тис. грн; вартості проїзду громадянам, віднесеним до 1 та 2 категорії постраждалих внаслідок Чорнобильської катастрофи, на суму 14,6 тис. грн; коштів Рівненській дирекції залізничних перевезень відповідно до поданих розрахунків з надання послуг за перевезення пільгових категорій громадян залізничним транспортом на суму 1 000,0 тис. грн. </w:t>
            </w:r>
            <w:r>
              <w:rPr>
                <w:rFonts w:ascii="Times New Roman" w:hAnsi="Times New Roman"/>
                <w:color w:val="000000"/>
                <w:sz w:val="26"/>
                <w:szCs w:val="26"/>
                <w:lang w:val="uk-UA"/>
              </w:rPr>
              <w:t>Також здійснюється оплата підписки на газету «Луцький замок» для почесних громадян Луцької міської територіальної громади. За звітний період на вказані потреби профінансовано 4,2 тис. грн.</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Надання правової та психологічної допомоги членам сімей військовополонених і військовослужбовців, які вважаються зниклими безвісти внаслідок збройної агресії проти України.</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eastAsia="hi-IN"/>
              </w:rPr>
            </w:pPr>
            <w:r>
              <w:rPr>
                <w:rFonts w:ascii="Times New Roman" w:hAnsi="Times New Roman"/>
                <w:color w:val="000000"/>
                <w:sz w:val="26"/>
                <w:szCs w:val="26"/>
                <w:lang w:val="uk-UA" w:eastAsia="hi-IN"/>
              </w:rPr>
              <w:t>З метою надання консультаційної допомоги з правових питань щодо розшуку зниклих безвісти та військовополонених створений Центр підтримки сімей військовополонених і військовослужбовців, які вважаються зниклими безвісти, фахівцями якого протягом звітного періоду опрацьовано звернення від понад 100 членів таких сімей, надано допомогу у підготовці 135-ти заяв від членів 99 родин, зокрема: про отримання витягів з Єдиного державного реєстру осіб зниклих за особливих обставин до Управління з питань осіб, зниклих безвісти за особливих обставин (Секретаріат Уповноваженого з питань осіб, зниклих безвісти за особливих обставин) МВС України – 88; до Національного інформаційного бюро – 10; до Міжнародного Комітету Червоного Хреста – 5; до Міністерства з питань реінтеграції окупованих територій України – 11; до військових частин – 6; до Координаційного штабу щодо встановлення факту перебування у полоні військовослужбовців – 15 заяв із матеріалами, наданими членами родин.</w:t>
            </w:r>
          </w:p>
          <w:p>
            <w:pPr>
              <w:pStyle w:val="Normal"/>
              <w:widowControl w:val="false"/>
              <w:ind w:firstLine="567"/>
              <w:jc w:val="both"/>
              <w:rPr>
                <w:rFonts w:ascii="Times New Roman" w:hAnsi="Times New Roman"/>
                <w:color w:val="000000"/>
                <w:sz w:val="26"/>
                <w:szCs w:val="26"/>
                <w:lang w:val="uk-UA" w:eastAsia="hi-IN"/>
              </w:rPr>
            </w:pPr>
            <w:r>
              <w:rPr>
                <w:rFonts w:ascii="Times New Roman" w:hAnsi="Times New Roman"/>
                <w:color w:val="000000"/>
                <w:sz w:val="26"/>
                <w:szCs w:val="26"/>
                <w:lang w:val="uk-UA" w:eastAsia="hi-IN"/>
              </w:rPr>
              <w:t>Впродовж звітного періоду було п</w:t>
            </w:r>
            <w:r>
              <w:rPr>
                <w:rFonts w:cs="Times New Roman" w:ascii="Times New Roman" w:hAnsi="Times New Roman"/>
                <w:color w:val="000000"/>
                <w:sz w:val="26"/>
                <w:szCs w:val="26"/>
                <w:lang w:val="uk-UA" w:eastAsia="hi-IN"/>
              </w:rPr>
              <w:t>овернуто із полону 11 захисників, родини яких звертались до Центру підтримки. На жаль, повернуто тіла 19 захисників, які вважались безвісти зниклими.</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Вирішення проблем забезпечення, поліпшення житлових умов учасників бойових дій, осіб з інвалідністю, бійців-добровольців, а також членів сімей загиблих (померлих), зниклих безвісти внаслідок воєнних дій з числа мешканців Луцької міської територіальної громади шляхом придбання житла на умовах співфінансування.</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ind w:left="0" w:firstLine="567"/>
              <w:jc w:val="both"/>
              <w:rPr/>
            </w:pPr>
            <w:r>
              <w:rPr>
                <w:rFonts w:cs="Times New Roman" w:ascii="Times New Roman" w:hAnsi="Times New Roman"/>
                <w:color w:val="000000"/>
                <w:sz w:val="26"/>
                <w:szCs w:val="26"/>
                <w:lang w:val="uk-UA"/>
              </w:rPr>
              <w:t xml:space="preserve">З метою сприяння у вирішенні проблем забезпечення, поліпшення житлових умов учасників бойових дій, осіб з інвалідністю внаслідок війни, бійців-добровольців, а також членів сімей загиблих (померлих), зниклих безвісти з числа мешканців Луцької міської територіальної громади, діє </w:t>
            </w:r>
            <w:r>
              <w:rPr>
                <w:rStyle w:val="FontStyle22"/>
                <w:rFonts w:cs="Times New Roman" w:ascii="Times New Roman" w:hAnsi="Times New Roman"/>
                <w:color w:val="000000"/>
                <w:sz w:val="26"/>
                <w:szCs w:val="26"/>
                <w:lang w:val="uk-UA" w:eastAsia="ar-SA"/>
              </w:rPr>
              <w:t xml:space="preserve">Програма </w:t>
            </w:r>
            <w:r>
              <w:rPr>
                <w:rFonts w:cs="Times New Roman" w:ascii="Times New Roman" w:hAnsi="Times New Roman"/>
                <w:color w:val="000000"/>
                <w:sz w:val="26"/>
                <w:szCs w:val="26"/>
                <w:lang w:val="uk-UA"/>
              </w:rPr>
              <w:t>забезпечення житлом на умовах співфінансування учасників АТО / ООС та членів їх сімей. Реалізація Програми здійснюється шляхом придбання житла на умовах співфінансування. Для 6 учасників Програми з бюджету громади протягом 2024 року профінансовано 4 288,5 тис. грн.</w:t>
            </w:r>
          </w:p>
          <w:p>
            <w:pPr>
              <w:pStyle w:val="ListParagraph"/>
              <w:widowControl w:val="false"/>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Департаментом житлово-комунального господарства проводиться інформування осіб, які мають право на придбання житла на умовах співфінансування. Упродовж звітного періоду звернень від громадян щодо участі Програмі не надходило.</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виплат дітям військовослужбовців, добровольців, волонтерів, які загинули, померли, зникли безвісти, є військовополоненими в результаті участі в АТО/ООС та/або захисті України, а також померлих осіб з інвалідністю внаслідок війни, які стали такими в результаті участі в АТО/ООС та/або захисті України.</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ind w:left="0" w:firstLine="567"/>
              <w:jc w:val="both"/>
              <w:rPr/>
            </w:pPr>
            <w:r>
              <w:rPr>
                <w:rFonts w:cs="Times New Roman" w:ascii="Times New Roman" w:hAnsi="Times New Roman"/>
                <w:color w:val="000000"/>
                <w:sz w:val="26"/>
                <w:szCs w:val="26"/>
                <w:lang w:val="uk-UA"/>
              </w:rPr>
              <w:t>Відповідно до Програми соціальних виплат дітям у Луцькій міській територіальній громаді на 2024-2026 роки дітям військовослужбовців, добровольців, волонтерів, які загинули, померли, зникли безвісти,</w:t>
            </w:r>
            <w:r>
              <w:rPr>
                <w:rFonts w:cs="Times New Roman" w:ascii="Times New Roman" w:hAnsi="Times New Roman"/>
                <w:b/>
                <w:color w:val="000000"/>
                <w:sz w:val="26"/>
                <w:szCs w:val="26"/>
                <w:lang w:val="uk-UA"/>
              </w:rPr>
              <w:t xml:space="preserve"> </w:t>
            </w:r>
            <w:r>
              <w:rPr>
                <w:rStyle w:val="Style19"/>
                <w:rFonts w:cs="Times New Roman" w:ascii="Times New Roman" w:hAnsi="Times New Roman"/>
                <w:b w:val="false"/>
                <w:bCs/>
                <w:color w:val="000000"/>
                <w:sz w:val="26"/>
                <w:szCs w:val="26"/>
                <w:lang w:val="uk-UA"/>
              </w:rPr>
              <w:t xml:space="preserve">є військовополоненими в результаті участі в АТО / ООС </w:t>
            </w:r>
            <w:r>
              <w:rPr>
                <w:rStyle w:val="Style19"/>
                <w:rFonts w:cs="Tahoma" w:ascii="Times New Roman" w:hAnsi="Times New Roman"/>
                <w:b w:val="false"/>
                <w:bCs/>
                <w:color w:val="000000"/>
                <w:sz w:val="26"/>
                <w:szCs w:val="26"/>
                <w:lang w:val="uk-UA"/>
              </w:rPr>
              <w:t xml:space="preserve">та/або </w:t>
            </w:r>
            <w:r>
              <w:rPr>
                <w:rStyle w:val="Style19"/>
                <w:rFonts w:cs="Times New Roman" w:ascii="Times New Roman" w:hAnsi="Times New Roman"/>
                <w:b w:val="false"/>
                <w:bCs/>
                <w:color w:val="000000"/>
                <w:sz w:val="26"/>
                <w:szCs w:val="26"/>
                <w:lang w:val="uk-UA"/>
              </w:rPr>
              <w:t xml:space="preserve">захисті України або померли внаслідок поранення, контузії, каліцтва чи захворювання отриманих у результаті участі в АТО / ООС </w:t>
            </w:r>
            <w:r>
              <w:rPr>
                <w:rStyle w:val="Style19"/>
                <w:rFonts w:cs="Tahoma" w:ascii="Times New Roman" w:hAnsi="Times New Roman"/>
                <w:b w:val="false"/>
                <w:bCs/>
                <w:color w:val="000000"/>
                <w:sz w:val="26"/>
                <w:szCs w:val="26"/>
                <w:lang w:val="uk-UA"/>
              </w:rPr>
              <w:t xml:space="preserve">та/або </w:t>
            </w:r>
            <w:r>
              <w:rPr>
                <w:rStyle w:val="Style19"/>
                <w:rFonts w:cs="Times New Roman" w:ascii="Times New Roman" w:hAnsi="Times New Roman"/>
                <w:b w:val="false"/>
                <w:bCs/>
                <w:color w:val="000000"/>
                <w:sz w:val="26"/>
                <w:szCs w:val="26"/>
                <w:lang w:val="uk-UA"/>
              </w:rPr>
              <w:t xml:space="preserve">захисту України, а також померлих осіб з інвалідністю внаслідок війни, які стали такими в результаті участі в АТО / ООС </w:t>
            </w:r>
            <w:r>
              <w:rPr>
                <w:rStyle w:val="Style19"/>
                <w:rFonts w:cs="Tahoma" w:ascii="Times New Roman" w:hAnsi="Times New Roman"/>
                <w:b w:val="false"/>
                <w:bCs/>
                <w:color w:val="000000"/>
                <w:sz w:val="26"/>
                <w:szCs w:val="26"/>
                <w:lang w:val="uk-UA"/>
              </w:rPr>
              <w:t xml:space="preserve">та/або </w:t>
            </w:r>
            <w:r>
              <w:rPr>
                <w:rStyle w:val="Style19"/>
                <w:rFonts w:cs="Times New Roman" w:ascii="Times New Roman" w:hAnsi="Times New Roman"/>
                <w:b w:val="false"/>
                <w:bCs/>
                <w:color w:val="000000"/>
                <w:sz w:val="26"/>
                <w:szCs w:val="26"/>
                <w:lang w:val="uk-UA"/>
              </w:rPr>
              <w:t>захисті України</w:t>
            </w:r>
            <w:r>
              <w:rPr>
                <w:rFonts w:cs="Times New Roman" w:ascii="Times New Roman" w:hAnsi="Times New Roman"/>
                <w:color w:val="000000"/>
                <w:sz w:val="26"/>
                <w:szCs w:val="26"/>
                <w:lang w:val="uk-UA"/>
              </w:rPr>
              <w:t>, виплачено щомісячних допомог на загальну суму 10 729,8 тис. грн для 387 дітей із 288 сімей.</w:t>
            </w:r>
          </w:p>
        </w:tc>
      </w:tr>
      <w:tr>
        <w:trPr>
          <w:trHeight w:val="321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Залучення осіб з інвалідністю до надання послуг у департаменті соціальної політики, відповідно до укладених договорів цивільно-правового характеру, з метою їх соціальної інтеграції в суспільне життя, самореалізації та матеріальної підтримки за виконану роботу.</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ListParagraph"/>
              <w:widowControl w:val="false"/>
              <w:ind w:left="0"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Упродовж звітного періоду з 4 особами з інвалідністю укладено 6 договорів цивільно-правового характеру щодо надання послуг на загальну суму 36,8 тис. грн.</w:t>
            </w:r>
          </w:p>
        </w:tc>
      </w:tr>
      <w:tr>
        <w:trPr>
          <w:trHeight w:val="3406"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фінансової підтримки діяльності громадських організацій ветеранів, осіб з інвалідністю та жертв нацистських переслідувань, діяльність  яких поширюється лише на території Луцької міської територіальної громади, та громадських об’єднань, які надають соціальні послуги.</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Протягом 2024 року в межах Програми соціального захисту населення на підтримку діяльності громадських об’єднань профінансовано 1 305,1 тис. грн, з яких:</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219,5 тис. грн – фінансова підтримка статутної діяльності громадських організацій ветеранів, осіб з інвалідністю та жертв нацистських переслідувань;</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5,0 тис. грн – фінансова підтримка громадським організаціям для проведення заходів соціального спрямування;</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89,6 тис. грн – фінансова підтримка ВО «Генерація успішної дії» для забезпечення діяльності студії друку шрифтом Брайля;</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510,0 тис. грн – фінансова підтримка громадських об’єднань, які надають соціальні послуги;</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481,0 тис. грн – підтримка громадських організацій шляхом оплати за комунальні послуги.</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Створення умов для забезпечення надання базових та додаткових соціальних послуг вразливим групам населення громади, в тому числі внутрішньо переміщеним особам, відповідно до їх потреб та державних стандартів, шляхом зміцнення управлінського, кадрового, фінансового потенціалу Територіального центру соціального обслуговування (надання соціальних послуг) м. Луцька та залучення надавачів соціальних послуг комунальної та недержавної форми власності.</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створення належних умов для забезпечення надання базових та додаткових соціальних послуг вразливим групам населення громади в приміщенні Територіального центру соціального обслуговування (надання соціальних послуг) Луцької міської територіальної громади проводились ремонтні роботи. Всього бюджету громади профінансовано 400,0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У Територіальному центрі забезпечено: безкоштовним гарячим харчуванням малозабезпечених мешканців громади на суму 1 123,9 тис. грн; діяльність стаціонарного пункту обігріву на суму 30,0 тис. грн; </w:t>
            </w:r>
            <w:r>
              <w:rPr>
                <w:rFonts w:cs="Times New Roman" w:ascii="Times New Roman" w:hAnsi="Times New Roman"/>
                <w:color w:val="000000"/>
                <w:sz w:val="26"/>
                <w:szCs w:val="26"/>
                <w:lang w:val="uk-UA"/>
              </w:rPr>
              <w:t>надання послуг з перевезення спеціалізованим автомобілем осіб з фізичними порушеннями та громадян похилого віку на суму 25,5 тис. грн. В</w:t>
            </w:r>
            <w:r>
              <w:rPr>
                <w:rFonts w:ascii="Times New Roman" w:hAnsi="Times New Roman"/>
                <w:color w:val="000000"/>
                <w:sz w:val="26"/>
                <w:szCs w:val="26"/>
                <w:lang w:val="uk-UA"/>
              </w:rPr>
              <w:t xml:space="preserve"> межах заходу «розширення та запровадження надання соціальних послуг мешканцям громади, які перебувають в складних життєвих обставинах» закуплено обладнання для пісочної анімації у відділення денного перебування на суму 121,1 тис. грн.</w:t>
            </w:r>
          </w:p>
        </w:tc>
      </w:tr>
      <w:tr>
        <w:trPr>
          <w:trHeight w:val="288" w:hRule="atLeast"/>
        </w:trPr>
        <w:tc>
          <w:tcPr>
            <w:tcW w:w="627"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792"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заходів для осіб з інвалідністю, ветеранів війни, громадян старшого покоління з нагоди державних свят, їх відзначення та привітання з визначними подіями в їхньому житті, а також вшанування пам’яті загиблих (померлих) ветеранів війни.</w:t>
            </w:r>
          </w:p>
        </w:tc>
        <w:tc>
          <w:tcPr>
            <w:tcW w:w="10664"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 межах Програми соціального захисту населення Луцької міської територіальної громади на 2023-2025 роки здійснено виплати: одноразової допомоги громадянам Луцької міської територіальної громади з нагоди державних і релігійних свят, визначних та пам’ятних дат на суму 496,0 тис. грн; одноразової грошової допомоги керівникам та активістам громадських організацій з нагоди ювілейних дат та річниць, а також мешканцям громади, яким виповнилось 100 і більше років, на суму 61,0 тис. грн; на придбання квітів з нагоди визначних та пам’ятних дат вшанування осіб пільгових категорій профінансовано 80,9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 межах Програми розвитку надання соціальних послуг в Луцькій міській територіальній громаді на 2021-2025 роки, з нагоди державних та релігійних свят організовано привітання із врученням продуктових наборів для громадян, які обслуговуються  Територіальним центром, на суму 200,0 тис. грн.</w:t>
            </w:r>
          </w:p>
          <w:p>
            <w:pPr>
              <w:pStyle w:val="Normal"/>
              <w:widowControl w:val="false"/>
              <w:ind w:firstLine="530"/>
              <w:jc w:val="both"/>
              <w:rPr>
                <w:rFonts w:ascii="Times New Roman" w:hAnsi="Times New Roman"/>
                <w:color w:val="000000"/>
                <w:sz w:val="26"/>
                <w:szCs w:val="26"/>
                <w:lang w:val="uk-UA"/>
              </w:rPr>
            </w:pPr>
            <w:r>
              <w:rPr>
                <w:rFonts w:ascii="Times New Roman" w:hAnsi="Times New Roman"/>
                <w:color w:val="000000"/>
                <w:sz w:val="26"/>
                <w:szCs w:val="26"/>
                <w:lang w:val="uk-UA"/>
              </w:rPr>
              <w:t>Впродовж 2024 року проводились заходи щодо вшанування пам’яті загиблих Героїв, зокрема: загиблих учасників Революції Гідності (20 лютого); загиблих добровольців (14 березня); військовослужбовців, які загинули під Волновахою (22 травня); вшанування матерів, чиї сини стали Героями (10 травня).</w:t>
            </w:r>
          </w:p>
        </w:tc>
      </w:tr>
      <w:tr>
        <w:trPr>
          <w:trHeight w:val="288" w:hRule="atLeast"/>
        </w:trPr>
        <w:tc>
          <w:tcPr>
            <w:tcW w:w="627"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12.</w:t>
            </w:r>
          </w:p>
        </w:tc>
        <w:tc>
          <w:tcPr>
            <w:tcW w:w="3792"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інформаційно-роз’яснювальної роботи та виявлення соціально незахищених мешканців громади.</w:t>
            </w:r>
          </w:p>
        </w:tc>
        <w:tc>
          <w:tcPr>
            <w:tcW w:w="10664"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Серед мешканців громади проводиться широка інформаційно-роз’яснювальна робота щодо матеріальної, соціальної, правової, психологічної підтримки, надання соціальних послуг та виявлення соціально незахищених жителів громади. Протягом звітного періоду виявлено 466 особи, які опинились в складних життєвих обставинах.</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Здійснюється оприлюднення актуальної інформації через офіційний сайт та сторінку у мережі «Фейсбук», сайт Луцької міської ради, інші інтернет-ресурси. Інформація стосується надання пільг та соціальних гарантій, передбачених чинним законодавством України, а також забезпечення соціальної, медичної та психологічної підтримки, яка реалізується через громадський простір. Розроблені флаєри з переліком адміністративних послуг соціального характеру з розподілом по категоріях для ветеранів війни та членів їх сімей. На розробку та виготовлення друкованої інформаційної продукції профінансовано 18,5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За підтримки Луцької міської ради реалізовується благодійний проєкт «Освіта нескорених» за спільної ініціативи ГО «Інститут транскордонних ініціатив», ГО «Ротарі Клуб Волинь Прайд», Лабораторії проєктів та ініціатив ВНУ імені Лесі Українки. Для участі в навчанні запрошено понад 1 000 осіб з числа ветеранів війни та членів їх сімей.</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поширення інформації серед осіб з числа Захисників, які потребують протезування нижніх кінцівок, надіслано матеріали про благодійний проєкт організації U+System в медичні установи, в яких військовослужбовці проходять лікування та реабілітацію після поранення (КП "Волинський обласний госпіталь ветеранів війни", Луцький військовий гарнізонний шпиталь, КП «Волинська обласна клінічна лікарня» Волинської обласної ради, КП «Медичне об’єднання Луцької міської територіальної громади»).</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На сайті Міністерства у справах ветеранів заповнена «Е-Карта послуг для ветеранів війни» – візуалізована інформація про послуги, які надаються ветеранам та членам їх сімей в громаді.</w:t>
            </w:r>
          </w:p>
        </w:tc>
      </w:tr>
      <w:tr>
        <w:trPr>
          <w:trHeight w:val="288" w:hRule="atLeast"/>
        </w:trPr>
        <w:tc>
          <w:tcPr>
            <w:tcW w:w="627"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13.</w:t>
            </w:r>
          </w:p>
        </w:tc>
        <w:tc>
          <w:tcPr>
            <w:tcW w:w="3792" w:type="dxa"/>
            <w:tcBorders>
              <w:left w:val="single" w:sz="4" w:space="0" w:color="000000"/>
              <w:bottom w:val="single" w:sz="4" w:space="0" w:color="000000"/>
            </w:tcBorders>
            <w:shd w:fill="auto" w:val="clear"/>
          </w:tcPr>
          <w:p>
            <w:pPr>
              <w:pStyle w:val="116"/>
              <w:widowControl w:val="false"/>
              <w:spacing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Формування толерантного ставлення населення громади та представників бізнесу до маломобільних груп населення, в тому числі людей з інвалідністю, поваги до їх прав, особистості, гідності та недопущення дискримінації.</w:t>
            </w:r>
          </w:p>
        </w:tc>
        <w:tc>
          <w:tcPr>
            <w:tcW w:w="10664"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 метою створення безперешкодного середовища у Луцькій міській територіальній громаді для всіх груп населення, забезпечення рівних можливостей кожній людині реалізовувати свої права, отримувати послуги на рівні з іншими шляхом інтегрування фізичної, інформаційної, цифрової, соціальної та громадянської, економічної та освітньої безбар’єрності до всіх сфер життя, діє цільова програма «Громада без бар’єрів». На виконання окремих заходів програми проводиться інформування жителів громади щодо недискримінації та поваги до прав людини (за віком, щодо наявності інвалідності, за ґендерним принципом, за ознакою сексуальної орієнтації, національної, расової чи релігійної приналежності тощо). У Територіальному центрі проводяться інформаційно-просвітницькі заходи з питань подолання проявів ейджизму, формування шанобливого ставлення до людей старшого віку, інклюзії, толерантного ставлення до людей з інвалідністю та їх потреб, попередження бездомності.</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На базі Луцького національного технічного університету було організовано та проведено дискусійну панель «Доступність, як її досягти?», у якій взяли участь представники виконавчих органів міської ради, громадських організацій осіб з інвалідністю, ветеранського середовища та місцевого бізнесу. В ході заходу учасники інформували присутніх щодо розбудови принципів безбар’єрності для всіх суспільних груп громади відповідно до шести основних напрямів: фізична, інформаційна, суспільна, економічна, цифрова та освітня безбар'єрність.</w:t>
            </w:r>
          </w:p>
        </w:tc>
      </w:tr>
      <w:tr>
        <w:trPr>
          <w:trHeight w:val="288" w:hRule="atLeast"/>
        </w:trPr>
        <w:tc>
          <w:tcPr>
            <w:tcW w:w="627"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14.</w:t>
            </w:r>
          </w:p>
        </w:tc>
        <w:tc>
          <w:tcPr>
            <w:tcW w:w="3792"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Сприяння облаштуванню об'єктів інфраструктури, рекомендованих громадськими об’єднаннями та особами з інвалідністю, засобами безперешкодного доступу для маломобільних верств населення.</w:t>
            </w:r>
          </w:p>
        </w:tc>
        <w:tc>
          <w:tcPr>
            <w:tcW w:w="10664"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При плануванні та проведенні робіт з благоустрою території проводиться виявлення й усунення перепон і бар’єрів, що перешкоджають доступності для забезпечення особам з інвалідністю доступу на рівні з іншими до фізичного оточення, транспорту, інформації, інших об’єктів і послуг. Інформація про вжиті заходи постійно розглядається на засіданнях комітету забезпечення доступності осіб з інвалідністю та інших маломобільних груп населення до об’єктів соціальної та інженерно-транспортної інфраструктур. В ході цих засідань відбувається напрацювання пропозицій спільно з громадськими об’єднаннями осіб з інвалідністю щодо поліпшення доступності до об’єктів соціальної та інженерно-транспортної інфраструктур Луцької міської територіальної громади для осіб з інвалідністю та інших маломобільних груп населення, зокрема, виявлення таких об’єктів та облаштування їх засобами безперешкодного доступу.</w:t>
            </w:r>
          </w:p>
        </w:tc>
      </w:tr>
    </w:tbl>
    <w:p>
      <w:pPr>
        <w:pStyle w:val="Normal"/>
        <w:ind w:firstLine="709"/>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ind w:firstLine="709"/>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ind w:firstLine="709"/>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3.3.5. Підтримка сім’ї, молоді, захист прав дітей</w:t>
      </w:r>
    </w:p>
    <w:p>
      <w:pPr>
        <w:pStyle w:val="Normal"/>
        <w:ind w:firstLine="709"/>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08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615"/>
        <w:gridCol w:w="3727"/>
        <w:gridCol w:w="10741"/>
      </w:tblGrid>
      <w:tr>
        <w:trPr>
          <w:trHeight w:val="615" w:hRule="atLeast"/>
        </w:trPr>
        <w:tc>
          <w:tcPr>
            <w:tcW w:w="61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27"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4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735" w:hRule="atLeast"/>
        </w:trPr>
        <w:tc>
          <w:tcPr>
            <w:tcW w:w="615" w:type="dxa"/>
            <w:tcBorders>
              <w:top w:val="single" w:sz="4" w:space="0" w:color="000000"/>
              <w:left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27" w:type="dxa"/>
            <w:tcBorders>
              <w:top w:val="single" w:sz="4" w:space="0" w:color="000000"/>
              <w:left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Забезпечення функціонування системи надання базових соціальних послуг вразливим групам населення громади, в тому числі, сім’ям з дітьми, що опинилися у складних життєвих обставинах відповідно до їх потреб</w:t>
            </w:r>
            <w:r>
              <w:rPr>
                <w:rFonts w:eastAsia="Calibri" w:cs="Times New Roman" w:ascii="Times New Roman" w:hAnsi="Times New Roman"/>
                <w:color w:val="000000"/>
                <w:sz w:val="26"/>
                <w:szCs w:val="26"/>
                <w:lang w:val="uk-UA"/>
              </w:rPr>
              <w:t>.</w:t>
            </w:r>
          </w:p>
        </w:tc>
        <w:tc>
          <w:tcPr>
            <w:tcW w:w="10741" w:type="dxa"/>
            <w:tcBorders>
              <w:top w:val="single" w:sz="4" w:space="0" w:color="000000"/>
              <w:left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sz w:val="26"/>
                <w:szCs w:val="26"/>
                <w:lang w:val="uk-UA" w:eastAsia="ru-RU"/>
              </w:rPr>
            </w:pPr>
            <w:r>
              <w:rPr>
                <w:rFonts w:eastAsia="Times New Roman" w:cs="Times New Roman" w:ascii="Times New Roman" w:hAnsi="Times New Roman"/>
                <w:color w:val="000000"/>
                <w:kern w:val="0"/>
                <w:sz w:val="26"/>
                <w:szCs w:val="26"/>
                <w:lang w:val="uk-UA" w:eastAsia="ru-RU" w:bidi="ar-SA"/>
              </w:rPr>
              <w:t>Станом на 31.12.2024 на обліку в управлінні соціальних служб для сім’ї, дітей та молоді перебувало 350 сімей (в них – 747 дітей), які опинилися в складних життєвих обставинах.  Протягом року соціальною роботою було охоплено 9 124 сім'ї / особи, що потребують особливої соціальної підтримки, в яких виховується 17 478 дітей. Здійснено 800 оцінок потреб дітей та їх сімей. Під соціальним супроводом перебувало 19 сімей / осіб, в яких виховується 50 дітей.</w:t>
            </w:r>
          </w:p>
          <w:p>
            <w:pPr>
              <w:pStyle w:val="Normal"/>
              <w:widowControl w:val="false"/>
              <w:ind w:firstLine="567"/>
              <w:jc w:val="both"/>
              <w:rPr>
                <w:rFonts w:ascii="Times New Roman" w:hAnsi="Times New Roman" w:eastAsia="Times New Roman" w:cs="Times New Roman"/>
                <w:color w:val="000000"/>
                <w:sz w:val="26"/>
                <w:szCs w:val="26"/>
                <w:lang w:val="uk-UA" w:eastAsia="ru-RU"/>
              </w:rPr>
            </w:pPr>
            <w:r>
              <w:rPr>
                <w:rFonts w:eastAsia="Times New Roman" w:cs="Times New Roman" w:ascii="Times New Roman" w:hAnsi="Times New Roman"/>
                <w:color w:val="000000"/>
                <w:kern w:val="0"/>
                <w:sz w:val="26"/>
                <w:szCs w:val="26"/>
                <w:lang w:val="uk-UA" w:eastAsia="ru-RU" w:bidi="ar-SA"/>
              </w:rPr>
              <w:t>У межах соціальної роботи надавалися базові соціальні послуги, а саме: соціальної адаптації, соціальної інтеграції та реінтеграції, екстреного (кризового) втручання, консультування, соціального супроводу, представництва інтересів, посередництва (медіації), соціальної профілактики, натуральної допомоги та інформування.</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2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rPr>
              <w:t>З</w:t>
            </w:r>
            <w:r>
              <w:rPr>
                <w:rFonts w:cs="Times New Roman" w:ascii="Times New Roman" w:hAnsi="Times New Roman"/>
                <w:color w:val="000000"/>
                <w:sz w:val="26"/>
                <w:szCs w:val="26"/>
                <w:lang w:val="uk-UA"/>
              </w:rPr>
              <w:t>алучення усіх видів ресурсів громадських об’єднань та благодійної допомоги до вирішення соціальних проблем та надання соціальної допомоги найбільш вразливим категоріям населення.</w:t>
            </w:r>
          </w:p>
        </w:tc>
        <w:tc>
          <w:tcPr>
            <w:tcW w:w="1074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pPr>
            <w:r>
              <w:rPr>
                <w:rFonts w:eastAsia="Times New Roman" w:cs="Times New Roman" w:ascii="Times New Roman" w:hAnsi="Times New Roman"/>
                <w:color w:val="000000"/>
                <w:kern w:val="0"/>
                <w:sz w:val="26"/>
                <w:szCs w:val="26"/>
                <w:lang w:val="uk-UA" w:eastAsia="ru-RU" w:bidi="ar-SA"/>
              </w:rPr>
              <w:t xml:space="preserve">У межах діяльності управління соціальних служб для сім’ї, дітей та молоді налагоджена співпраця з </w:t>
            </w:r>
            <w:r>
              <w:rPr>
                <w:rFonts w:cs="Times New Roman" w:ascii="Times New Roman" w:hAnsi="Times New Roman"/>
                <w:color w:val="000000"/>
                <w:sz w:val="26"/>
                <w:szCs w:val="26"/>
                <w:lang w:val="uk-UA"/>
              </w:rPr>
              <w:t>громадськими організаціями, благодійними фондами (українськими та міжнародними), представниками соціально відповідального бізнесу, волонтерами для надання своєчасної та професійної допомоги сім’ям з дітьми, що потребують особливої соціальної підтримки в умовах воєнного стану. Зокрема постійно та системно надходить допомога від благодійного фонду «</w:t>
            </w:r>
            <w:r>
              <w:rPr>
                <w:rStyle w:val="Nc684nl6"/>
                <w:rFonts w:eastAsia="Calibri" w:cs="Times New Roman" w:ascii="Times New Roman" w:hAnsi="Times New Roman"/>
                <w:color w:val="000000"/>
                <w:kern w:val="0"/>
                <w:sz w:val="26"/>
                <w:szCs w:val="26"/>
                <w:lang w:val="uk-UA" w:eastAsia="en-US" w:bidi="ar-SA"/>
              </w:rPr>
              <w:t>Медицина в дії»,</w:t>
            </w:r>
            <w:r>
              <w:rPr>
                <w:rStyle w:val="Nc684nl6"/>
                <w:rFonts w:eastAsia="Calibri" w:ascii="Times New Roman" w:hAnsi="Times New Roman"/>
                <w:color w:val="000000"/>
                <w:kern w:val="0"/>
                <w:sz w:val="26"/>
                <w:szCs w:val="26"/>
                <w:lang w:val="uk-UA" w:eastAsia="en-US" w:bidi="ar-SA"/>
              </w:rPr>
              <w:t xml:space="preserve"> </w:t>
            </w:r>
            <w:r>
              <w:rPr>
                <w:rFonts w:eastAsia="Calibri" w:cs="Times New Roman" w:ascii="Times New Roman" w:hAnsi="Times New Roman"/>
                <w:color w:val="000000"/>
                <w:kern w:val="0"/>
                <w:sz w:val="26"/>
                <w:szCs w:val="26"/>
                <w:lang w:val="uk-UA" w:eastAsia="en-US" w:bidi="ar-SA"/>
              </w:rPr>
              <w:t xml:space="preserve">Волинського обласного благодійного фонду «Дитяча місія. Україна», </w:t>
            </w:r>
            <w:r>
              <w:rPr>
                <w:rFonts w:eastAsia="Times New Roman" w:cs="Times New Roman" w:ascii="Times New Roman" w:hAnsi="Times New Roman"/>
                <w:color w:val="000000"/>
                <w:kern w:val="0"/>
                <w:sz w:val="26"/>
                <w:szCs w:val="26"/>
                <w:lang w:val="uk-UA" w:eastAsia="ru-RU" w:bidi="ar-SA"/>
              </w:rPr>
              <w:t>Дитячого фонду ООН ЮНІСЕФ</w:t>
            </w:r>
            <w:r>
              <w:rPr>
                <w:rFonts w:eastAsia="Calibri" w:cs="Times New Roman" w:ascii="Times New Roman" w:hAnsi="Times New Roman"/>
                <w:color w:val="000000"/>
                <w:kern w:val="0"/>
                <w:sz w:val="26"/>
                <w:szCs w:val="26"/>
                <w:lang w:val="uk-UA" w:eastAsia="en-US" w:bidi="ar-SA"/>
              </w:rPr>
              <w:t>.</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Всього проведено 15 благодійних акцій, під час яких надано 1 086 продуктових та 684 гігієнічні набори для сімей, які потребують особливої соціальної підтримки.</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2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mn-ea" w:cs="Times New Roman" w:ascii="Times New Roman" w:hAnsi="Times New Roman"/>
                <w:bCs/>
                <w:color w:val="000000"/>
                <w:sz w:val="26"/>
                <w:szCs w:val="26"/>
                <w:lang w:val="uk-UA" w:eastAsia="ru-RU"/>
              </w:rPr>
              <w:t>П</w:t>
            </w:r>
            <w:r>
              <w:rPr>
                <w:rFonts w:eastAsia="Calibri" w:cs="Times New Roman" w:ascii="Times New Roman" w:hAnsi="Times New Roman"/>
                <w:color w:val="000000"/>
                <w:sz w:val="26"/>
                <w:szCs w:val="26"/>
                <w:lang w:val="uk-UA"/>
              </w:rPr>
              <w:t>роведення соціальної роботи з сім’ями, які виховують дітей з інвалідністю,</w:t>
            </w:r>
            <w:r>
              <w:rPr>
                <w:rFonts w:eastAsia="Calibri" w:cs="Times New Roman" w:ascii="Times New Roman" w:hAnsi="Times New Roman"/>
                <w:color w:val="000000"/>
                <w:spacing w:val="-12"/>
                <w:sz w:val="26"/>
                <w:szCs w:val="26"/>
                <w:lang w:val="uk-UA"/>
              </w:rPr>
              <w:t xml:space="preserve"> </w:t>
            </w:r>
            <w:r>
              <w:rPr>
                <w:rFonts w:eastAsia="Calibri" w:cs="Times New Roman" w:ascii="Times New Roman" w:hAnsi="Times New Roman"/>
                <w:color w:val="000000"/>
                <w:sz w:val="26"/>
                <w:szCs w:val="26"/>
                <w:lang w:val="uk-UA"/>
              </w:rPr>
              <w:t>сприяння діяльності та реалізації заходів громадських організацій та об’єднань, вихованцями, яких є діти та молодь з інвалідністю.</w:t>
            </w:r>
          </w:p>
        </w:tc>
        <w:tc>
          <w:tcPr>
            <w:tcW w:w="1074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eastAsia="Times New Roman" w:cs="Times New Roman"/>
                <w:bCs/>
                <w:color w:val="000000"/>
                <w:kern w:val="0"/>
                <w:sz w:val="26"/>
                <w:szCs w:val="26"/>
                <w:lang w:val="uk-UA" w:eastAsia="ru-RU" w:bidi="ar-SA"/>
              </w:rPr>
            </w:pPr>
            <w:r>
              <w:rPr>
                <w:rFonts w:eastAsia="Times New Roman" w:cs="Times New Roman" w:ascii="Times New Roman" w:hAnsi="Times New Roman"/>
                <w:bCs/>
                <w:color w:val="000000"/>
                <w:kern w:val="0"/>
                <w:sz w:val="26"/>
                <w:szCs w:val="26"/>
                <w:lang w:val="uk-UA" w:eastAsia="ru-RU" w:bidi="ar-SA"/>
              </w:rPr>
              <w:t>За звітний період роботою з сім’ями, які виховують дітей з інвалідністю та молоддю з інвалідністю охоплено 840 сімей, в яких виховується 846 дітей з інвалідністю.</w:t>
            </w:r>
          </w:p>
          <w:p>
            <w:pPr>
              <w:pStyle w:val="Normal"/>
              <w:widowControl w:val="false"/>
              <w:ind w:firstLine="567"/>
              <w:jc w:val="both"/>
              <w:rPr>
                <w:rFonts w:ascii="Times New Roman" w:hAnsi="Times New Roman" w:eastAsia="Times New Roman" w:cs="Times New Roman"/>
                <w:color w:val="000000"/>
                <w:kern w:val="0"/>
                <w:sz w:val="26"/>
                <w:szCs w:val="26"/>
                <w:lang w:val="uk-UA" w:eastAsia="ru-RU" w:bidi="ar-SA"/>
              </w:rPr>
            </w:pPr>
            <w:r>
              <w:rPr>
                <w:rFonts w:eastAsia="Times New Roman" w:cs="Times New Roman" w:ascii="Times New Roman" w:hAnsi="Times New Roman"/>
                <w:color w:val="000000"/>
                <w:kern w:val="0"/>
                <w:sz w:val="26"/>
                <w:szCs w:val="26"/>
                <w:lang w:val="uk-UA" w:eastAsia="ru-RU" w:bidi="ar-SA"/>
              </w:rPr>
              <w:t>Надається постійна підтримка громадським організаціям, вихованцями яких є діти та молодь з інвалідністю продуктовими, а також гігієнічними наборами.</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Значна увага приділяється соціалізації дітей та молоді з інвалідністю. Зокрема у звітному періоді вихованці громадських організацій для дітей та молоді з інвалідністю «Батьки дітей з синдромом Дауна та іншими порушеннями розвитку», «Повір у себе», «Джерело життя» долучились зі своїми художніми номерами до виступів на інклюзивному фестивалі з нагоди Дня захисту дітей «Україна. Воля. Діти».</w:t>
            </w:r>
          </w:p>
          <w:p>
            <w:pPr>
              <w:pStyle w:val="Normal"/>
              <w:widowControl w:val="false"/>
              <w:tabs>
                <w:tab w:val="clear" w:pos="720"/>
                <w:tab w:val="left" w:pos="556" w:leader="none"/>
                <w:tab w:val="left" w:pos="8222" w:leader="none"/>
              </w:tabs>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За підтримки управління </w:t>
            </w:r>
            <w:r>
              <w:rPr>
                <w:rFonts w:eastAsia="Times New Roman" w:cs="Times New Roman" w:ascii="Times New Roman" w:hAnsi="Times New Roman"/>
                <w:color w:val="000000"/>
                <w:kern w:val="0"/>
                <w:sz w:val="26"/>
                <w:szCs w:val="26"/>
                <w:lang w:val="uk-UA" w:eastAsia="ru-RU" w:bidi="ar-SA"/>
              </w:rPr>
              <w:t>соціальних служб для сім’ї, дітей та молоді</w:t>
            </w:r>
            <w:r>
              <w:rPr>
                <w:rFonts w:eastAsia="Calibri" w:cs="Times New Roman" w:ascii="Times New Roman" w:hAnsi="Times New Roman"/>
                <w:color w:val="000000"/>
                <w:kern w:val="0"/>
                <w:sz w:val="26"/>
                <w:szCs w:val="26"/>
                <w:lang w:val="uk-UA" w:eastAsia="en-US" w:bidi="ar-SA"/>
              </w:rPr>
              <w:t xml:space="preserve"> вихованці громадської організацій «Кольори веселки» у межах екскурсійної поїзди відвідали зоопарк «Лімпопо» с. Меденичі у Львівській області.</w:t>
            </w:r>
          </w:p>
          <w:p>
            <w:pPr>
              <w:pStyle w:val="Normal"/>
              <w:widowControl w:val="false"/>
              <w:ind w:firstLine="567"/>
              <w:jc w:val="both"/>
              <w:rPr>
                <w:rFonts w:ascii="Times New Roman" w:hAnsi="Times New Roman" w:eastAsia="Times New Roman" w:cs="Times New Roman"/>
                <w:color w:val="000000"/>
                <w:sz w:val="26"/>
                <w:szCs w:val="26"/>
                <w:lang w:val="uk-UA" w:eastAsia="ru-RU"/>
              </w:rPr>
            </w:pPr>
            <w:r>
              <w:rPr>
                <w:rFonts w:eastAsia="Times New Roman" w:cs="Times New Roman" w:ascii="Times New Roman" w:hAnsi="Times New Roman"/>
                <w:color w:val="000000"/>
                <w:kern w:val="0"/>
                <w:sz w:val="26"/>
                <w:szCs w:val="26"/>
                <w:lang w:val="uk-UA" w:eastAsia="ru-RU" w:bidi="ar-SA"/>
              </w:rPr>
              <w:t>Організатори щорічної акції «Миколай пам’ятає про всіх» (Луцька міська рада, служби таксі міста “Євро таксі”, “Хіт таксі”, “Еко таксі”, “Еліт експрес таксі”) зібрались разом у День Святого Миколая аби зробити адресне привітання 169 дітям з інвалідністю та привезти подарунки їм у домівки.</w:t>
            </w:r>
          </w:p>
          <w:p>
            <w:pPr>
              <w:pStyle w:val="Normal"/>
              <w:widowControl w:val="false"/>
              <w:tabs>
                <w:tab w:val="clear" w:pos="720"/>
                <w:tab w:val="left" w:pos="556" w:leader="none"/>
                <w:tab w:val="left" w:pos="8222" w:leader="none"/>
              </w:tabs>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150 дітей відвідали виставу «Різдвяна казка “Повелителька ляльок”» Творчої студії Наталії Журавльової та отримали новорічні подарунки від Луцького міського голови та благодійного фонду «Дитяча місія. Україна».</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2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rPr>
              <w:t xml:space="preserve">Проведення </w:t>
            </w:r>
            <w:r>
              <w:rPr>
                <w:rFonts w:eastAsia="Times New Roman" w:cs="Times New Roman" w:ascii="Times New Roman" w:hAnsi="Times New Roman"/>
                <w:color w:val="000000"/>
                <w:sz w:val="26"/>
                <w:szCs w:val="26"/>
                <w:lang w:val="uk-UA" w:eastAsia="ru-RU"/>
              </w:rPr>
              <w:t>Конкурсу проєктів соціального спрямування, розроблених інститутами громадянського суспільства</w:t>
            </w:r>
            <w:r>
              <w:rPr>
                <w:rFonts w:eastAsia="Calibri" w:cs="Times New Roman" w:ascii="Times New Roman" w:hAnsi="Times New Roman"/>
                <w:color w:val="000000"/>
                <w:sz w:val="26"/>
                <w:szCs w:val="26"/>
                <w:lang w:val="uk-UA" w:eastAsia="ru-RU"/>
              </w:rPr>
              <w:t>.</w:t>
            </w:r>
          </w:p>
        </w:tc>
        <w:tc>
          <w:tcPr>
            <w:tcW w:w="1074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sz w:val="26"/>
                <w:szCs w:val="26"/>
                <w:lang w:val="uk-UA" w:eastAsia="ru-RU"/>
              </w:rPr>
            </w:pPr>
            <w:r>
              <w:rPr>
                <w:rFonts w:eastAsia="Times New Roman" w:cs="Times New Roman" w:ascii="Times New Roman" w:hAnsi="Times New Roman"/>
                <w:color w:val="000000"/>
                <w:kern w:val="0"/>
                <w:sz w:val="26"/>
                <w:szCs w:val="26"/>
                <w:lang w:val="uk-UA" w:eastAsia="ru-RU" w:bidi="ar-SA"/>
              </w:rPr>
              <w:t>Проведено Конкурс проєктів соціального спрямування, розроблених інститутами громадянського суспільства, за результатами якого переможцями визнано та реалізуються:</w:t>
            </w:r>
          </w:p>
          <w:p>
            <w:pPr>
              <w:pStyle w:val="ListParagraph"/>
              <w:widowControl w:val="false"/>
              <w:ind w:left="0" w:firstLine="567"/>
              <w:jc w:val="both"/>
              <w:rPr>
                <w:rFonts w:ascii="Times New Roman" w:hAnsi="Times New Roman" w:eastAsia="Times New Roman" w:cs="Times New Roman"/>
                <w:color w:val="000000"/>
                <w:kern w:val="0"/>
                <w:sz w:val="26"/>
                <w:szCs w:val="26"/>
                <w:lang w:val="uk-UA" w:eastAsia="uk-UA" w:bidi="ar-SA"/>
              </w:rPr>
            </w:pPr>
            <w:r>
              <w:rPr>
                <w:rFonts w:eastAsia="Times New Roman" w:cs="Times New Roman" w:ascii="Times New Roman" w:hAnsi="Times New Roman"/>
                <w:color w:val="000000"/>
                <w:kern w:val="0"/>
                <w:sz w:val="26"/>
                <w:szCs w:val="26"/>
                <w:lang w:val="uk-UA" w:eastAsia="uk-UA" w:bidi="ar-SA"/>
              </w:rPr>
              <w:t>1. Проєкт «Екокультурний простір «ПриСтань» як елемент забезпечення змістовного дозвілля дітей та молоді Луцької міської територіальної громади та засіб інтерпретації локальної екоспадщини» ГО «Спільна справа+», сума фінансування 80 000,0 грн.</w:t>
            </w:r>
          </w:p>
          <w:p>
            <w:pPr>
              <w:pStyle w:val="ListParagraph"/>
              <w:widowControl w:val="false"/>
              <w:ind w:left="0" w:firstLine="567"/>
              <w:jc w:val="both"/>
              <w:rPr>
                <w:rFonts w:ascii="Times New Roman" w:hAnsi="Times New Roman" w:eastAsia="Times New Roman" w:cs="Times New Roman"/>
                <w:color w:val="000000"/>
                <w:kern w:val="0"/>
                <w:sz w:val="26"/>
                <w:szCs w:val="26"/>
                <w:lang w:val="uk-UA" w:eastAsia="uk-UA" w:bidi="ar-SA"/>
              </w:rPr>
            </w:pPr>
            <w:r>
              <w:rPr>
                <w:rFonts w:eastAsia="Times New Roman" w:cs="Times New Roman" w:ascii="Times New Roman" w:hAnsi="Times New Roman"/>
                <w:color w:val="000000"/>
                <w:kern w:val="0"/>
                <w:sz w:val="26"/>
                <w:szCs w:val="26"/>
                <w:lang w:val="uk-UA" w:eastAsia="uk-UA" w:bidi="ar-SA"/>
              </w:rPr>
              <w:t>2. Проєкт «Школа адаптації для батьків та дітей з інвалідністю» ГО «Інсулін», сума фінансування 80 000,0 грн.</w:t>
            </w:r>
          </w:p>
          <w:p>
            <w:pPr>
              <w:pStyle w:val="ListParagraph"/>
              <w:widowControl w:val="false"/>
              <w:ind w:left="0" w:firstLine="567"/>
              <w:jc w:val="both"/>
              <w:rPr>
                <w:rFonts w:ascii="Times New Roman" w:hAnsi="Times New Roman" w:eastAsia="Times New Roman" w:cs="Times New Roman"/>
                <w:color w:val="000000"/>
                <w:kern w:val="0"/>
                <w:sz w:val="26"/>
                <w:szCs w:val="26"/>
                <w:lang w:val="uk-UA" w:eastAsia="uk-UA" w:bidi="ar-SA"/>
              </w:rPr>
            </w:pPr>
            <w:r>
              <w:rPr>
                <w:rFonts w:eastAsia="Times New Roman" w:cs="Times New Roman" w:ascii="Times New Roman" w:hAnsi="Times New Roman"/>
                <w:color w:val="000000"/>
                <w:kern w:val="0"/>
                <w:sz w:val="26"/>
                <w:szCs w:val="26"/>
                <w:lang w:val="uk-UA" w:eastAsia="uk-UA" w:bidi="ar-SA"/>
              </w:rPr>
              <w:t>3. Проєкт «Жіночими руками в допомогу ЗСУ» Волинського обласного благодійного фонду підтримки Луцького центру професійно-технічної освіти, сума фінансування 74 871,0 грн.</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2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eastAsia="ru-RU"/>
              </w:rPr>
              <w:t>С</w:t>
            </w:r>
            <w:r>
              <w:rPr>
                <w:rFonts w:eastAsia="Calibri" w:cs="Times New Roman" w:ascii="Times New Roman" w:hAnsi="Times New Roman"/>
                <w:color w:val="000000"/>
                <w:sz w:val="26"/>
                <w:szCs w:val="26"/>
                <w:lang w:val="uk-UA"/>
              </w:rPr>
              <w:t>оціальна та / або психологічна підтримка сімей ветеранів війни, військовослужбовців та членів їх сімей.</w:t>
            </w:r>
          </w:p>
        </w:tc>
        <w:tc>
          <w:tcPr>
            <w:tcW w:w="1074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Упродовж звітного періоду здійснювалась соціальна робота з 656 сім’ями військовослужбовців, в яких виховується 1 188 дітей, а також з 156 сім’ями загиблих (померлих) військовослужбовців (в них – 217 дітей)</w:t>
            </w:r>
            <w:r>
              <w:rPr>
                <w:rFonts w:eastAsia="Times New Roman" w:cs="Times New Roman" w:ascii="Times New Roman" w:hAnsi="Times New Roman"/>
                <w:color w:val="000000"/>
                <w:sz w:val="26"/>
                <w:szCs w:val="26"/>
                <w:lang w:val="uk-UA" w:eastAsia="ru-RU"/>
              </w:rPr>
              <w:t xml:space="preserve">, </w:t>
            </w:r>
            <w:r>
              <w:rPr>
                <w:rFonts w:eastAsia="Calibri" w:ascii="Times New Roman" w:hAnsi="Times New Roman"/>
                <w:color w:val="000000"/>
                <w:kern w:val="0"/>
                <w:sz w:val="26"/>
                <w:szCs w:val="26"/>
                <w:lang w:val="uk-UA" w:eastAsia="en-US" w:bidi="ar-SA"/>
              </w:rPr>
              <w:t>фахівцями Психологічного штабу надано 176 консультацій для членів сімей військовослужбовців.</w:t>
            </w:r>
          </w:p>
          <w:p>
            <w:pPr>
              <w:pStyle w:val="Normal"/>
              <w:widowControl w:val="false"/>
              <w:ind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В межах реалізації проєкту «Опора» у партнерстві з ГО «Молодь з місією Луцьк» проводяться щотижневі групи підтримки для дружин і матерів військовослужбовців (у 2024 році проведено 31 захід) та щотижневий підлітковий клуб YoungLife для дітей військовослужбовців (проведено 28 заходів у 2024 році).</w:t>
            </w:r>
          </w:p>
          <w:p>
            <w:pPr>
              <w:pStyle w:val="Normal"/>
              <w:widowControl w:val="false"/>
              <w:ind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З нагоди Великодня сім’ї військовослужбовців отримали 150 продуктових наборів та 150 гігієнічних наборів. Благодійні акції проведені за підтримки ГО «Медицина в дії» та БФ «Дитяча місія. Україна».</w:t>
            </w:r>
          </w:p>
          <w:p>
            <w:pPr>
              <w:pStyle w:val="Normal"/>
              <w:widowControl w:val="false"/>
              <w:ind w:firstLine="567"/>
              <w:jc w:val="both"/>
              <w:rPr>
                <w:rFonts w:ascii="Times New Roman" w:hAnsi="Times New Roman" w:cs="Times New Roman"/>
                <w:color w:val="000000"/>
                <w:sz w:val="26"/>
                <w:szCs w:val="26"/>
                <w:lang w:val="uk-UA" w:eastAsia="en-US"/>
              </w:rPr>
            </w:pPr>
            <w:r>
              <w:rPr>
                <w:rFonts w:cs="Times New Roman" w:ascii="Times New Roman" w:hAnsi="Times New Roman"/>
                <w:color w:val="000000"/>
                <w:kern w:val="0"/>
                <w:sz w:val="26"/>
                <w:szCs w:val="26"/>
                <w:lang w:val="uk-UA" w:eastAsia="en-US" w:bidi="ar-SA"/>
              </w:rPr>
              <w:t xml:space="preserve">У партнерстві з благодійною організацією «Українська фундація «Мрія» проведено благодійний захід для сімей військовослужбовців. Дітям подарували Стерео Гарнітури Borofone BO20 та солодощі, а їх мами отримали продуктові набори від ГО «Медицина в дії». Охоплено 32 сім’ї (40 дітей). </w:t>
            </w:r>
            <w:r>
              <w:rPr>
                <w:rFonts w:eastAsia="Calibri" w:cs="Times New Roman" w:ascii="Times New Roman" w:hAnsi="Times New Roman"/>
                <w:color w:val="000000"/>
                <w:kern w:val="0"/>
                <w:sz w:val="26"/>
                <w:szCs w:val="26"/>
                <w:lang w:val="uk-UA" w:eastAsia="en-US" w:bidi="ar-SA"/>
              </w:rPr>
              <w:t>Також 100 дітей цієї категорії отримали шкільні підручники та настільні лампи. Загалом протягом 2024 року сім’ї військовослужбовців отримали 355 продуктових наборів.</w:t>
            </w:r>
          </w:p>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 xml:space="preserve">Значна увага приділяється забезпеченню відпочинку дітей з сімей військовослужбовців, а також дітей загиблих (померлих) військовослужбовців. </w:t>
            </w:r>
            <w:r>
              <w:rPr>
                <w:rFonts w:cs="Times New Roman" w:ascii="Times New Roman" w:hAnsi="Times New Roman"/>
                <w:color w:val="000000"/>
                <w:kern w:val="0"/>
                <w:sz w:val="26"/>
                <w:szCs w:val="26"/>
                <w:lang w:val="uk-UA" w:eastAsia="en-US" w:bidi="ar-SA"/>
              </w:rPr>
              <w:t xml:space="preserve">У партнерстві з благодійною організацією «Українська фундація «Мрія» забезпечено участь у таборуванні в Закарпатській області (м. Іршава) у дитячому оздоровчому таборі «Praha family camp» 20 дітей з сімей загиблих, зниклих безвісти та полонених військовослужбовців. </w:t>
            </w:r>
            <w:r>
              <w:rPr>
                <w:rFonts w:eastAsia="Calibri" w:cs="Times New Roman" w:ascii="Times New Roman" w:hAnsi="Times New Roman"/>
                <w:color w:val="000000"/>
                <w:kern w:val="0"/>
                <w:sz w:val="26"/>
                <w:szCs w:val="26"/>
                <w:lang w:val="uk-UA" w:eastAsia="en-US" w:bidi="ar-SA"/>
              </w:rPr>
              <w:t>15 дітей загиблих військовослужбовців відпочили у спортивно-оздоровчому таборі «Гарт» у с. Світязь. Забезпечено літнє таборування у м. Таураге Литовської республіки – 20 дітей з сімей військовослужбовців, 40 дітей – у м. Краків Республіки Польща.</w:t>
            </w:r>
          </w:p>
          <w:p>
            <w:pPr>
              <w:pStyle w:val="Normal"/>
              <w:widowControl w:val="false"/>
              <w:shd w:val="clear" w:color="auto" w:fill="FFFFFF"/>
              <w:ind w:firstLine="567"/>
              <w:jc w:val="both"/>
              <w:rPr/>
            </w:pPr>
            <w:r>
              <w:rPr>
                <w:rFonts w:eastAsia="Times New Roman" w:cs="Times New Roman" w:ascii="Times New Roman" w:hAnsi="Times New Roman"/>
                <w:color w:val="000000"/>
                <w:kern w:val="0"/>
                <w:sz w:val="26"/>
                <w:szCs w:val="26"/>
                <w:lang w:val="uk-UA" w:eastAsia="ru-RU" w:bidi="ar-SA"/>
              </w:rPr>
              <w:t xml:space="preserve">З червня 2024 року з метою навчання ветеранів та ветеранських родин основам бізнесу та проєктної діяльності розпочалась реалізація благодійного проєкту «Освіта Нескорених» у співпраці з громадською організацією </w:t>
            </w:r>
            <w:hyperlink r:id="rId14">
              <w:r>
                <w:rPr>
                  <w:rFonts w:eastAsia="Times New Roman" w:cs="Times New Roman" w:ascii="Times New Roman" w:hAnsi="Times New Roman"/>
                  <w:color w:val="000000"/>
                  <w:kern w:val="0"/>
                  <w:sz w:val="26"/>
                  <w:szCs w:val="26"/>
                  <w:lang w:val="uk-UA" w:eastAsia="ru-RU" w:bidi="ar-SA"/>
                </w:rPr>
                <w:t>«Інститут транскордонних ініціатив</w:t>
              </w:r>
            </w:hyperlink>
            <w:r>
              <w:rPr>
                <w:rFonts w:eastAsia="Times New Roman" w:cs="Times New Roman" w:ascii="Times New Roman" w:hAnsi="Times New Roman"/>
                <w:color w:val="000000"/>
                <w:kern w:val="0"/>
                <w:sz w:val="26"/>
                <w:szCs w:val="26"/>
                <w:lang w:val="uk-UA" w:eastAsia="ru-RU" w:bidi="ar-SA"/>
              </w:rPr>
              <w:t>» та Rotary Club Lutsk Volyn Pride. Під час занять учасники отримали необхідні знання та навички для успішної реалізації власних ініціатив та бізнес проєктів.</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Також 320 першокласників, з яких 246 дітей військовослужбовців, отримали шкільні ранці та канцелярію, 148 дітей загиблих (померлих) захисників України – шкільне канцелярське приладдя.</w:t>
            </w:r>
          </w:p>
        </w:tc>
      </w:tr>
      <w:tr>
        <w:trPr>
          <w:trHeight w:val="2550"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2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eastAsia="Calibri" w:cs="Times New Roman"/>
                <w:color w:val="000000"/>
                <w:sz w:val="26"/>
                <w:szCs w:val="26"/>
                <w:lang w:val="uk-UA"/>
              </w:rPr>
            </w:pPr>
            <w:r>
              <w:rPr>
                <w:rFonts w:eastAsia="Calibri" w:cs="Times New Roman" w:ascii="Times New Roman" w:hAnsi="Times New Roman"/>
                <w:color w:val="000000"/>
                <w:sz w:val="26"/>
                <w:szCs w:val="26"/>
                <w:lang w:val="uk-UA"/>
              </w:rPr>
              <w:t>Забезпечення роботи «Центру взаємопідтримки внутрішньо переміщених осіб».</w:t>
            </w:r>
          </w:p>
        </w:tc>
        <w:tc>
          <w:tcPr>
            <w:tcW w:w="1074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kern w:val="0"/>
                <w:sz w:val="26"/>
                <w:szCs w:val="26"/>
                <w:lang w:val="uk-UA" w:eastAsia="ru-RU" w:bidi="ar-SA"/>
              </w:rPr>
            </w:pPr>
            <w:r>
              <w:rPr>
                <w:rFonts w:eastAsia="Times New Roman" w:cs="Times New Roman" w:ascii="Times New Roman" w:hAnsi="Times New Roman"/>
                <w:color w:val="000000"/>
                <w:kern w:val="0"/>
                <w:sz w:val="26"/>
                <w:szCs w:val="26"/>
                <w:lang w:val="uk-UA" w:eastAsia="ru-RU" w:bidi="ar-SA"/>
              </w:rPr>
              <w:t>З 8 травня 2024 року відновив свою роботу Кабінет екстреної допомоги, який функціонував при управлінні соціальних служб для сім’ї, дітей та молоді до повномасштабного вторгнення. За допомогою можуть звертатися члени сімей, на вихованні яких є діти з інвалідністю, сім’ї військовослужбовців, сім’ї опікунів й піклувальників, сім’ї з дітьми, які опинились в складних життєвих обставинах, в т. ч. сім’ї з дітьми внутрішньо переміщених осіб. Тут вони можуть отримати безоплатний вторинний одяг, взуття тощо, які надходять від благодійників та волонтерів.</w:t>
            </w:r>
          </w:p>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За час роботи Кабінету допомогу отримали 1 025 внутрішньо переміщених осіб, видано понад 9</w:t>
            </w:r>
            <w:r>
              <w:rPr>
                <w:rFonts w:eastAsia="Times New Roman" w:cs="Times New Roman" w:ascii="Times New Roman" w:hAnsi="Times New Roman"/>
                <w:color w:val="000000"/>
                <w:kern w:val="0"/>
                <w:sz w:val="26"/>
                <w:szCs w:val="26"/>
                <w:lang w:val="uk-UA" w:eastAsia="ru-RU" w:bidi="ar-SA"/>
              </w:rPr>
              <w:t> т допомоги.</w:t>
            </w:r>
          </w:p>
        </w:tc>
      </w:tr>
      <w:tr>
        <w:trPr>
          <w:trHeight w:val="5294"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72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rPr>
              <w:t>Забезпечення роботи «Центру медіації та корекції сімейних взаємовідносин» (навчання медіаторів, надання соціальної послуги медіації).</w:t>
            </w:r>
          </w:p>
        </w:tc>
        <w:tc>
          <w:tcPr>
            <w:tcW w:w="1074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color="auto" w:fill="FFFFFF"/>
              <w:ind w:firstLine="567"/>
              <w:jc w:val="both"/>
              <w:rPr/>
            </w:pPr>
            <w:r>
              <w:rPr>
                <w:rFonts w:eastAsia="Calibri" w:cs="Times New Roman" w:ascii="Times New Roman" w:hAnsi="Times New Roman"/>
                <w:color w:val="000000"/>
                <w:kern w:val="0"/>
                <w:sz w:val="26"/>
                <w:szCs w:val="26"/>
                <w:lang w:val="uk-UA" w:eastAsia="en-US" w:bidi="ar-SA"/>
              </w:rPr>
              <w:t xml:space="preserve">У межах проєкту «Надання психосоціальної підтримки та забезпечення правосуддя як складової частини кращого догляду для вразливих дітей», що реалізується за підтримки Представництва Дитячого фонду ООН (ЮНІСЕФ) в Україні </w:t>
            </w:r>
            <w:hyperlink r:id="rId15">
              <w:r>
                <w:rPr>
                  <w:rStyle w:val="Xt0psk2"/>
                  <w:rFonts w:eastAsia="Calibri" w:cs="Times New Roman" w:ascii="Times New Roman" w:hAnsi="Times New Roman"/>
                  <w:color w:val="000000"/>
                  <w:kern w:val="0"/>
                  <w:sz w:val="26"/>
                  <w:szCs w:val="26"/>
                  <w:lang w:val="uk-UA" w:eastAsia="en-US" w:bidi="ar-SA"/>
                </w:rPr>
                <w:t>UNICEF Ukraine</w:t>
              </w:r>
            </w:hyperlink>
            <w:r>
              <w:rPr>
                <w:rFonts w:eastAsia="Calibri" w:cs="Times New Roman" w:ascii="Times New Roman" w:hAnsi="Times New Roman"/>
                <w:color w:val="000000"/>
                <w:kern w:val="0"/>
                <w:sz w:val="26"/>
                <w:szCs w:val="26"/>
                <w:lang w:val="uk-UA" w:eastAsia="en-US" w:bidi="ar-SA"/>
              </w:rPr>
              <w:t>, ГО «Всеукраїнський громадський центр "Волонтер"» керівник управління завершила комплексне навчання з питань медіації та отримала спеціалізовану підготовку до проведення медіації в сімейних конфліктах/спорах та медіації за участю дитини.</w:t>
            </w:r>
          </w:p>
          <w:p>
            <w:pPr>
              <w:pStyle w:val="Normal"/>
              <w:widowControl w:val="false"/>
              <w:shd w:val="clear" w:color="auto" w:fill="FFFFFF"/>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Надалі починається важливий етап розвитку соціальної послуги медіації, підвищення поінформованості мешканців громади про її переваги та можливість її отримання.</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Крім того, в облаштованому приміщенні «Центру медіації та корекції сімейних взаємовідносин» проходять спеціалізовані тренінги, навчання, наради щодо питань </w:t>
            </w:r>
            <w:r>
              <w:rPr>
                <w:rFonts w:eastAsia="Times New Roman" w:cs="Times New Roman" w:ascii="Times New Roman" w:hAnsi="Times New Roman"/>
                <w:color w:val="000000"/>
                <w:kern w:val="0"/>
                <w:sz w:val="26"/>
                <w:szCs w:val="26"/>
                <w:lang w:val="uk-UA" w:eastAsia="ru-RU" w:bidi="ar-SA"/>
              </w:rPr>
              <w:t>у сфері формування системи кращого догляду для дітей та підтримки сімей. У</w:t>
            </w:r>
            <w:r>
              <w:rPr>
                <w:rFonts w:eastAsia="Calibri" w:cs="Times New Roman" w:ascii="Times New Roman" w:hAnsi="Times New Roman"/>
                <w:color w:val="000000"/>
                <w:kern w:val="0"/>
                <w:sz w:val="26"/>
                <w:szCs w:val="26"/>
                <w:lang w:val="uk-UA" w:eastAsia="en-US" w:bidi="ar-SA"/>
              </w:rPr>
              <w:t xml:space="preserve"> травні у межах реалізації проєкту «Міста та громади вільні від домашнього насильства» Фонду ООН у галузі народонаселення (UNFPA) в Україні в Центрі відбувся навчальний семінар для спеціалістів на тему «Реалізації програми для кривдників». У червні пройшов тренінг </w:t>
            </w:r>
            <w:r>
              <w:rPr>
                <w:rFonts w:eastAsia="Times New Roman" w:cs="Times New Roman" w:ascii="Times New Roman" w:hAnsi="Times New Roman"/>
                <w:color w:val="000000"/>
                <w:kern w:val="0"/>
                <w:sz w:val="26"/>
                <w:szCs w:val="26"/>
                <w:lang w:val="uk-UA" w:eastAsia="ru-RU" w:bidi="ar-SA"/>
              </w:rPr>
              <w:t>«Розвиток патронату – інвестиція у майбутнє громади» (мета – підвищити професійну компетентність спеціалістів та представників громади, які будуть здійснювати заходи з інформування про патронат над дитиною, для пошуку кандидатів у патронатні вихователі та їх помічників). Всього послугою сімейної медіації скористалось 10 сімей.</w:t>
            </w:r>
          </w:p>
        </w:tc>
      </w:tr>
      <w:tr>
        <w:trPr>
          <w:trHeight w:val="288" w:hRule="atLeast"/>
        </w:trPr>
        <w:tc>
          <w:tcPr>
            <w:tcW w:w="615"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727"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eastAsia="Calibri" w:cs="Times New Roman"/>
                <w:color w:val="000000"/>
                <w:sz w:val="26"/>
                <w:szCs w:val="26"/>
                <w:lang w:val="uk-UA"/>
              </w:rPr>
            </w:pPr>
            <w:r>
              <w:rPr>
                <w:rFonts w:eastAsia="Calibri" w:cs="Times New Roman" w:ascii="Times New Roman" w:hAnsi="Times New Roman"/>
                <w:color w:val="000000"/>
                <w:sz w:val="26"/>
                <w:szCs w:val="26"/>
                <w:lang w:val="uk-UA"/>
              </w:rPr>
              <w:t>Соціальна та психологічна адаптації дітей-сиріт і дітей, позбавлених батьківського піклування, осіб з їх числа з метою підготовки до самостійного життя. Соціальне супроводження прийомних сімей та дитячих будинків сімейного типу.</w:t>
            </w:r>
          </w:p>
        </w:tc>
        <w:tc>
          <w:tcPr>
            <w:tcW w:w="1074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eastAsia="Times New Roman" w:cs="Times New Roman"/>
                <w:color w:val="000000"/>
                <w:sz w:val="26"/>
                <w:szCs w:val="26"/>
                <w:lang w:val="uk-UA" w:eastAsia="ru-RU"/>
              </w:rPr>
            </w:pPr>
            <w:r>
              <w:rPr>
                <w:rFonts w:eastAsia="Times New Roman" w:cs="Times New Roman" w:ascii="Times New Roman" w:hAnsi="Times New Roman"/>
                <w:color w:val="000000"/>
                <w:kern w:val="0"/>
                <w:sz w:val="26"/>
                <w:szCs w:val="26"/>
                <w:lang w:val="uk-UA" w:eastAsia="ru-RU" w:bidi="ar-SA"/>
              </w:rPr>
              <w:t>Протягом звітного періоду здійснювалася соціальна робота з 137 опікунськими сім’ями, в яких виховується 189 дітей-сиріт та дітей, позбавлених батьківського піклування. Основні питання таких родин – це адаптаційний період, дозвілля дитини, особливості підліткового віку, «конфлікт поколінь». Здійснювалася соціальна робота із 8 особами з числа дітей-сиріт, дітей позбавлених батьківського піклування.</w:t>
            </w:r>
          </w:p>
          <w:p>
            <w:pPr>
              <w:pStyle w:val="Normal"/>
              <w:widowControl w:val="false"/>
              <w:shd w:val="clear" w:color="auto" w:fill="FFFFFF"/>
              <w:tabs>
                <w:tab w:val="clear" w:pos="720"/>
                <w:tab w:val="left" w:pos="540"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Щосуботи</w:t>
            </w:r>
            <w:r>
              <w:rPr>
                <w:rFonts w:eastAsia="Calibri" w:cs="Times New Roman" w:ascii="Times New Roman" w:hAnsi="Times New Roman"/>
                <w:color w:val="000000"/>
                <w:kern w:val="0"/>
                <w:sz w:val="26"/>
                <w:szCs w:val="26"/>
                <w:lang w:val="uk-UA" w:eastAsia="en-US" w:bidi="ar-SA"/>
              </w:rPr>
              <w:t xml:space="preserve"> проходили заняття підліткового клубу для дітей-сиріт та дітей позбавлених батьківського піклування, на яких обговорювались важливі теми щодо формування життєвих цілей та пріоритетів, лідерських якостей та ресурсності: «Емоційний інтелект», «Соціальна компетентність», «Що таке сила волі і як її тренувати», «Як зрозуміти батьків та допомогти їм зрозуміти мене», «Усі мріють про кохання», «Як знайти своє покликання», «Як визначити свої принципи», «Як збирати гроші або що таке бюджет», «Як на мене впливають гаджети», тощо. Загалом проведено 22 заняття, якими охоплено 31 дитина.</w:t>
            </w:r>
          </w:p>
          <w:p>
            <w:pPr>
              <w:pStyle w:val="Normal"/>
              <w:widowControl w:val="false"/>
              <w:shd w:val="clear" w:color="auto" w:fill="FFFFFF"/>
              <w:tabs>
                <w:tab w:val="clear" w:pos="720"/>
                <w:tab w:val="left" w:pos="540" w:leader="none"/>
              </w:tabs>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У співпраці з ГО «Турбота в дії» було проведено дводенний тренінг на тему: «Забезпечення надійного базису: основа успішного піклування» для прийомних батьків, батьків-вихователів, опікунів, кандидатів у патронатні вихователі, а також фахівців соціальних служб та сфери захисту прав дітей.</w:t>
            </w:r>
          </w:p>
          <w:p>
            <w:pPr>
              <w:pStyle w:val="Normal"/>
              <w:widowControl w:val="false"/>
              <w:shd w:val="clear" w:color="auto" w:fill="FFFFFF"/>
              <w:tabs>
                <w:tab w:val="clear" w:pos="720"/>
                <w:tab w:val="left" w:pos="567"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 xml:space="preserve">Упродовж звітного періоду здійснювалося соціальне супроводження 9 прийомних сімей/5 дитячих будинків сімейного типу, у яких виховується 48 дітей-сиріт та дітей, позбавлених батьківського піклування. </w:t>
            </w:r>
            <w:r>
              <w:rPr>
                <w:rFonts w:eastAsia="Calibri" w:cs="Times New Roman" w:ascii="Times New Roman" w:hAnsi="Times New Roman"/>
                <w:color w:val="000000"/>
                <w:kern w:val="0"/>
                <w:sz w:val="26"/>
                <w:szCs w:val="26"/>
                <w:lang w:val="uk-UA" w:eastAsia="en-US" w:bidi="ar-SA"/>
              </w:rPr>
              <w:t>Проведено дві групи взаємопідтримки для прийомних батьків та батьків-вихователів.</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rPr>
              <w:t>Проведення загальноміських заходів та благодійних акцій для сімей, дітей та молоді з нагоди державних, релігійних та міжнародних свят.</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Управління соціальних служб для сім’ї, дітей та молоді спільно з відділом екології, ГО «Спільна справа +» та Жидичинським Свято-Миколаївським монастирем організували екотолоку «ПриСтань» на території поруч з монастирем. Організована акція є одним з етапів масштабної роботи у напрямку інтеграції старого русла річки Стир у міський простір.</w:t>
            </w:r>
          </w:p>
          <w:p>
            <w:pPr>
              <w:pStyle w:val="NormalWeb"/>
              <w:widowControl w:val="false"/>
              <w:shd w:val="clear" w:color="auto" w:fill="FFFFFF"/>
              <w:spacing w:before="0" w:after="0"/>
              <w:ind w:firstLine="567"/>
              <w:jc w:val="both"/>
              <w:rPr>
                <w:rFonts w:ascii="Times New Roman" w:hAnsi="Times New Roman"/>
                <w:color w:val="000000"/>
                <w:kern w:val="0"/>
                <w:sz w:val="26"/>
                <w:szCs w:val="26"/>
                <w:lang w:val="uk-UA" w:bidi="ar-SA"/>
              </w:rPr>
            </w:pPr>
            <w:r>
              <w:rPr>
                <w:rFonts w:ascii="Times New Roman" w:hAnsi="Times New Roman"/>
                <w:color w:val="000000"/>
                <w:kern w:val="0"/>
                <w:sz w:val="26"/>
                <w:szCs w:val="26"/>
                <w:lang w:val="uk-UA" w:bidi="ar-SA"/>
              </w:rPr>
              <w:t>1 червня 2024 року з нагоди Міжнародного дня захисту дітей на площі Героїв Майдану відбулася святкова програма «Україна. Воля. Діти». Захід проходив у формі сімейного фестивалю, адже разом із дітьми на майдан прийшли їхні батьки та цілі родини.</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Також проведено низку заходів інформаційного, освітнього та виховного характеру, спрямованих на профілактику і запобігання поширенню наркоманії та інших негативних проявів серед дітей та молоді, формування у дітей та молоді навичок здорового способу життя, умінь подолання життєвих криз, забезпечення змістовним дозвіллям, розвиток виявлених здібностей. Зокрема: інформаційно-розважальна локація на благодійному заході «Амбасадори дитинства»; день спільно дії «Майстерка ментального здоров’я» в межах Всеукраїнської програми ментального здоров’я «Ти як?» за ініціативи першої леді Олени Зеленської; інформаційно-розважальна локація на заході «Звитяга нескорених».</w:t>
            </w:r>
          </w:p>
          <w:p>
            <w:pPr>
              <w:pStyle w:val="Normal"/>
              <w:widowControl w:val="false"/>
              <w:shd w:val="clear" w:color="auto" w:fill="FFFFFF"/>
              <w:ind w:firstLine="567"/>
              <w:jc w:val="both"/>
              <w:rPr>
                <w:rFonts w:ascii="Times New Roman" w:hAnsi="Times New Roman"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З нагоди Міжнародного дня волонтерів в с. Жидичин спільно з громадською організацією «Спільна справа+» проведено захід для молоді «Волонтери – янголи добра», з метою створення умов для виховання небайдужого ставлення до людей, які потребують допомоги; стимулювати пізнавальний інтерес до волонтерської діяльності.</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rPr>
              <w:t xml:space="preserve">Забезпечення діяльності Денного центру </w:t>
            </w:r>
            <w:r>
              <w:rPr>
                <w:rFonts w:eastAsia="Times New Roman" w:cs="Times New Roman" w:ascii="Times New Roman" w:hAnsi="Times New Roman"/>
                <w:color w:val="000000"/>
                <w:sz w:val="26"/>
                <w:szCs w:val="26"/>
                <w:lang w:val="uk-UA" w:eastAsia="x-none"/>
              </w:rPr>
              <w:t>соціально-психологічної допомоги особам, які постраждали від домашнього насильства та насильства за ознакою статі та «кризової кімнати».</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x-none" w:bidi="ar-SA"/>
              </w:rPr>
              <w:t xml:space="preserve">За 2024 рік </w:t>
            </w:r>
            <w:r>
              <w:rPr>
                <w:rFonts w:eastAsia="Calibri" w:cs="Times New Roman" w:ascii="Times New Roman" w:hAnsi="Times New Roman"/>
                <w:color w:val="000000"/>
                <w:kern w:val="0"/>
                <w:sz w:val="26"/>
                <w:szCs w:val="26"/>
                <w:lang w:val="uk-UA" w:eastAsia="en-US" w:bidi="ar-SA"/>
              </w:rPr>
              <w:t xml:space="preserve">послугами Денного центру </w:t>
            </w:r>
            <w:r>
              <w:rPr>
                <w:rFonts w:eastAsia="Times New Roman" w:cs="Times New Roman" w:ascii="Times New Roman" w:hAnsi="Times New Roman"/>
                <w:color w:val="000000"/>
                <w:kern w:val="0"/>
                <w:sz w:val="26"/>
                <w:szCs w:val="26"/>
                <w:lang w:val="uk-UA" w:eastAsia="x-none" w:bidi="ar-SA"/>
              </w:rPr>
              <w:t>соціально-психологічної допомоги</w:t>
            </w:r>
            <w:r>
              <w:rPr>
                <w:rFonts w:eastAsia="Times New Roman" w:cs="Times New Roman" w:ascii="Times New Roman" w:hAnsi="Times New Roman"/>
                <w:bCs/>
                <w:color w:val="000000"/>
                <w:kern w:val="0"/>
                <w:sz w:val="26"/>
                <w:szCs w:val="26"/>
                <w:lang w:val="uk-UA" w:eastAsia="x-none" w:bidi="ar-SA"/>
              </w:rPr>
              <w:t xml:space="preserve"> особам постраждалим від домашнього насильства та/або насильства за ознакою статі </w:t>
            </w:r>
            <w:r>
              <w:rPr>
                <w:rFonts w:eastAsia="Calibri" w:cs="Times New Roman" w:ascii="Times New Roman" w:hAnsi="Times New Roman"/>
                <w:color w:val="000000"/>
                <w:kern w:val="0"/>
                <w:sz w:val="26"/>
                <w:szCs w:val="26"/>
                <w:lang w:val="uk-UA" w:eastAsia="en-US" w:bidi="ar-SA"/>
              </w:rPr>
              <w:t>скористалась 871 особа, яким була надана комплексна соціально-психологічна та первинна правова допомога, проведена соціально-профілактична робота, спрямована на запобігання повторним випадкам насильства щодо постраждалої особи. У «кризовій кімнаті», яка функціонує при Денному центрі, перебувало 29 осіб (дорослі та діти). Для кожної постраждалої особи фахівці індивідуально визначали зміст та обсяг соціальних послуг, залежно від потреб.</w:t>
            </w:r>
          </w:p>
          <w:p>
            <w:pPr>
              <w:pStyle w:val="Normal"/>
              <w:widowControl w:val="false"/>
              <w:shd w:val="clear" w:color="auto" w:fill="FFFFFF"/>
              <w:tabs>
                <w:tab w:val="clear" w:pos="720"/>
                <w:tab w:val="left" w:pos="540" w:leader="none"/>
              </w:tabs>
              <w:ind w:firstLine="567"/>
              <w:jc w:val="both"/>
              <w:rPr>
                <w:rFonts w:ascii="Times New Roman" w:hAnsi="Times New Roman" w:eastAsia="Times New Roman" w:cs="Times New Roman"/>
                <w:color w:val="000000"/>
                <w:kern w:val="0"/>
                <w:sz w:val="26"/>
                <w:szCs w:val="26"/>
                <w:lang w:val="uk-UA" w:eastAsia="ru-RU" w:bidi="ar-SA"/>
              </w:rPr>
            </w:pPr>
            <w:r>
              <w:rPr>
                <w:rFonts w:eastAsia="Times New Roman" w:cs="Times New Roman" w:ascii="Times New Roman" w:hAnsi="Times New Roman"/>
                <w:color w:val="000000"/>
                <w:kern w:val="0"/>
                <w:sz w:val="26"/>
                <w:szCs w:val="26"/>
                <w:lang w:val="uk-UA" w:eastAsia="ru-RU" w:bidi="ar-SA"/>
              </w:rPr>
              <w:t>У партнерстві з Луцьким національним технічним університетом у квітні проведено міжнародний науково-практичний форум «ПРО_ТИ_ДІЙ», на якому студентів вишу та всіх присутніх інформували про проблему домашнього насильства з метою підвищення обізнаності молоді щодо форм і проявів домашнього насильства, протидії йому та відповідальності, що загрожує кривдникам, а також для комунікації студентів із суб’єктами, що здійснюють заходи у сфері запобігання та протидії домашньому насильству (співробітники правоохоронних органів – поліції, прокуратури, судів, представники органів влади та громадських організацій, які працюють із постраждалими).</w:t>
            </w:r>
          </w:p>
          <w:p>
            <w:pPr>
              <w:pStyle w:val="Normal"/>
              <w:widowControl w:val="false"/>
              <w:shd w:val="clear" w:color="auto" w:fill="FFFFFF"/>
              <w:ind w:firstLine="567"/>
              <w:jc w:val="both"/>
              <w:rPr>
                <w:rFonts w:ascii="Times New Roman" w:hAnsi="Times New Roman"/>
                <w:color w:val="000000"/>
                <w:sz w:val="26"/>
                <w:szCs w:val="26"/>
                <w:lang w:val="uk-UA" w:bidi="ar-SA"/>
              </w:rPr>
            </w:pPr>
            <w:r>
              <w:rPr>
                <w:rFonts w:eastAsia="Times New Roman" w:cs="Times New Roman" w:ascii="Times New Roman" w:hAnsi="Times New Roman"/>
                <w:color w:val="000000"/>
                <w:kern w:val="0"/>
                <w:sz w:val="26"/>
                <w:szCs w:val="26"/>
                <w:lang w:val="uk-UA" w:eastAsia="ru-RU" w:bidi="ar-SA"/>
              </w:rPr>
              <w:t>Постійно проводяться спільні наради з представниками прокуратури, Сектору протидії домашньому насильству відділу превенції Луцького районного управління поліції, служби у справах дітей, Луцького відділу надання безоплатної правничої допомоги, а також Мобільної бригади соціально-психологічної допомоги та ВОНА хаб. Луцьк на тему: «Запобігання та протидія домашньому насильству в Луцькій міській громаді».</w:t>
            </w:r>
          </w:p>
          <w:p>
            <w:pPr>
              <w:pStyle w:val="Normal"/>
              <w:widowControl w:val="false"/>
              <w:shd w:val="clear" w:color="auto" w:fill="FFFFFF"/>
              <w:tabs>
                <w:tab w:val="clear" w:pos="720"/>
                <w:tab w:val="left" w:pos="0" w:leader="none"/>
              </w:tabs>
              <w:ind w:firstLine="567"/>
              <w:jc w:val="both"/>
              <w:rPr>
                <w:rFonts w:ascii="Times New Roman" w:hAnsi="Times New Roman" w:cs="Times New Roman"/>
                <w:color w:val="000000"/>
                <w:sz w:val="26"/>
                <w:szCs w:val="26"/>
                <w:lang w:val="uk-UA" w:eastAsia="ru-RU"/>
              </w:rPr>
            </w:pPr>
            <w:r>
              <w:rPr>
                <w:rFonts w:eastAsia="Montserrat" w:cs="Times New Roman" w:ascii="Times New Roman" w:hAnsi="Times New Roman"/>
                <w:color w:val="000000"/>
                <w:sz w:val="26"/>
                <w:szCs w:val="26"/>
                <w:lang w:val="uk-UA" w:eastAsia="ru-RU" w:bidi="ar-SA"/>
              </w:rPr>
              <w:t xml:space="preserve">В травні 2023 року м. Луцьк стало учасником проєкту Фонду ООН у галузі народонаселення «Міста і громади вільні від домашнього насильства» на 2023-2025 роки, спрямованого на </w:t>
            </w:r>
            <w:r>
              <w:rPr>
                <w:rFonts w:eastAsia="Times New Roman" w:cs="Times New Roman" w:ascii="Times New Roman" w:hAnsi="Times New Roman"/>
                <w:color w:val="000000"/>
                <w:kern w:val="0"/>
                <w:sz w:val="26"/>
                <w:szCs w:val="26"/>
                <w:lang w:val="uk-UA" w:eastAsia="ru-RU" w:bidi="ar-SA"/>
              </w:rPr>
              <w:t>розбудову системи протидії і запобігання гендерно зумовленому та домашньому насильству.</w:t>
            </w:r>
          </w:p>
          <w:p>
            <w:pPr>
              <w:pStyle w:val="Normal"/>
              <w:widowControl w:val="false"/>
              <w:shd w:val="clear" w:color="auto" w:fill="FFFFFF"/>
              <w:tabs>
                <w:tab w:val="clear" w:pos="720"/>
                <w:tab w:val="left" w:pos="0" w:leader="none"/>
              </w:tabs>
              <w:ind w:firstLine="567"/>
              <w:jc w:val="both"/>
              <w:rPr>
                <w:rFonts w:ascii="Times New Roman" w:hAnsi="Times New Roman"/>
                <w:color w:val="000000"/>
                <w:sz w:val="26"/>
                <w:szCs w:val="26"/>
                <w:lang w:val="uk-UA"/>
              </w:rPr>
            </w:pPr>
            <w:r>
              <w:rPr>
                <w:rFonts w:eastAsia="Arial Unicode MS" w:cs="Times New Roman" w:ascii="Times New Roman" w:hAnsi="Times New Roman"/>
                <w:color w:val="000000"/>
                <w:kern w:val="0"/>
                <w:sz w:val="26"/>
                <w:szCs w:val="26"/>
                <w:lang w:val="uk-UA" w:eastAsia="ru-RU" w:bidi="ar-SA"/>
              </w:rPr>
              <w:t xml:space="preserve">Згідно рішення міської ради від 29.05.2024 № 59/102 «Про внесення змін до рішення міської ради від 09.09.2020 № 92/7 «Про затвердження Переліку другого типу об’єктів оренди Луцької міської територіальної громади» для забезпечення діяльності </w:t>
            </w:r>
            <w:r>
              <w:rPr>
                <w:rFonts w:eastAsia="Times New Roman" w:cs="Times New Roman" w:ascii="Times New Roman" w:hAnsi="Times New Roman"/>
                <w:color w:val="000000"/>
                <w:kern w:val="0"/>
                <w:sz w:val="26"/>
                <w:szCs w:val="26"/>
                <w:lang w:val="uk-UA" w:eastAsia="ru-RU" w:bidi="ar-SA"/>
              </w:rPr>
              <w:t>Денного центру соціально-психологічної допомоги постраждалим від гендерно зумовленого насильства</w:t>
            </w:r>
            <w:r>
              <w:rPr>
                <w:rFonts w:eastAsia="Arial Unicode MS" w:cs="Times New Roman" w:ascii="Times New Roman" w:hAnsi="Times New Roman"/>
                <w:color w:val="000000"/>
                <w:kern w:val="0"/>
                <w:sz w:val="26"/>
                <w:szCs w:val="26"/>
                <w:lang w:val="uk-UA" w:eastAsia="ru-RU" w:bidi="ar-SA"/>
              </w:rPr>
              <w:t xml:space="preserve"> надано приміщення площею 252,3 кв. м.</w:t>
            </w:r>
            <w:r>
              <w:rPr>
                <w:rFonts w:eastAsia="Calibri" w:cs="Times New Roman" w:ascii="Times New Roman" w:hAnsi="Times New Roman"/>
                <w:color w:val="000000"/>
                <w:kern w:val="0"/>
                <w:sz w:val="26"/>
                <w:szCs w:val="26"/>
                <w:lang w:val="uk-UA" w:eastAsia="en-US" w:bidi="ar-SA"/>
              </w:rPr>
              <w:t xml:space="preserve"> Відкриття Денного центру відбулось 15 жовтня 2024 року.</w:t>
            </w:r>
          </w:p>
          <w:p>
            <w:pPr>
              <w:pStyle w:val="Normal"/>
              <w:widowControl w:val="false"/>
              <w:shd w:val="clear" w:color="auto" w:fill="FFFFFF"/>
              <w:tabs>
                <w:tab w:val="clear" w:pos="720"/>
                <w:tab w:val="left" w:pos="0" w:leader="none"/>
              </w:tabs>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Також за підтримки Фонду у 2024 році реалізовано проєкт зі зміни соціальних норм для запобігання домашньому насильству «Наснаження жінок», метою якого було навчити жінок відчувати свою внутрішню силу, відстоювати власні інтереси та формувати нові стандарти взаємодії у своєму оточенні. Заходами проєкту було охоплено 93 учасниці.</w:t>
            </w:r>
          </w:p>
          <w:p>
            <w:pPr>
              <w:pStyle w:val="Normal"/>
              <w:widowControl w:val="false"/>
              <w:shd w:val="clear" w:color="auto" w:fill="FFFFFF"/>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 xml:space="preserve">У межах реалізації Програми проведено </w:t>
            </w:r>
            <w:r>
              <w:rPr>
                <w:rFonts w:eastAsia="Calibri" w:cs="Times New Roman" w:ascii="Times New Roman" w:hAnsi="Times New Roman"/>
                <w:color w:val="000000"/>
                <w:kern w:val="0"/>
                <w:sz w:val="26"/>
                <w:szCs w:val="26"/>
                <w:lang w:val="uk-UA" w:eastAsia="en-US" w:bidi="ar-SA"/>
              </w:rPr>
              <w:t>тренінг «Домашнє насильство: форми та протидія. Особливості консультування постраждалих від домашнього насильства у сфері охорони здоров’я», організований для лікарів Луцької міської територіальної громади.</w:t>
            </w:r>
          </w:p>
          <w:p>
            <w:pPr>
              <w:pStyle w:val="Normal"/>
              <w:widowControl w:val="false"/>
              <w:shd w:val="clear" w:color="auto" w:fill="FFFFFF"/>
              <w:tabs>
                <w:tab w:val="clear" w:pos="720"/>
                <w:tab w:val="left" w:pos="0"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 xml:space="preserve">Крім того, проведено ряд інформаційних заходів у межах Всеукраїнської акції «16 днів проти насильства»: </w:t>
            </w:r>
            <w:r>
              <w:rPr>
                <w:rFonts w:eastAsia="Calibri" w:cs="Times New Roman" w:ascii="Times New Roman" w:hAnsi="Times New Roman"/>
                <w:color w:val="000000"/>
                <w:kern w:val="0"/>
                <w:sz w:val="26"/>
                <w:szCs w:val="26"/>
                <w:lang w:val="uk-UA" w:eastAsia="en-US" w:bidi="ar-SA"/>
              </w:rPr>
              <w:t xml:space="preserve">перформанс «Розірви коло насильства» перед головним корпусом Волинського національного університету імені Лесі Українки; квест «Ми - проти насильства!» для студентів Волинського національного університету імені Лесі Українки; </w:t>
            </w:r>
            <w:r>
              <w:rPr>
                <w:rFonts w:eastAsia="Times New Roman" w:cs="Times New Roman" w:ascii="Times New Roman" w:hAnsi="Times New Roman"/>
                <w:color w:val="000000"/>
                <w:kern w:val="0"/>
                <w:sz w:val="26"/>
                <w:szCs w:val="26"/>
                <w:lang w:val="uk-UA" w:eastAsia="ru-RU" w:bidi="ar-SA"/>
              </w:rPr>
              <w:t xml:space="preserve">форум-вистава «Гірка випічка». Участь у заході взяли студенти факультету психології, </w:t>
            </w:r>
            <w:r>
              <w:rPr>
                <w:rFonts w:eastAsia="Times New Roman" w:cs="Times New Roman" w:ascii="Times New Roman" w:hAnsi="Times New Roman"/>
                <w:bCs/>
                <w:color w:val="000000"/>
                <w:kern w:val="0"/>
                <w:sz w:val="26"/>
                <w:szCs w:val="26"/>
                <w:lang w:val="uk-UA" w:eastAsia="ru-RU" w:bidi="ar-SA"/>
              </w:rPr>
              <w:t>Волинський національний університет імені Лесі Українки</w:t>
            </w:r>
            <w:r>
              <w:rPr>
                <w:rFonts w:eastAsia="Times New Roman" w:cs="Times New Roman" w:ascii="Times New Roman" w:hAnsi="Times New Roman"/>
                <w:color w:val="000000"/>
                <w:kern w:val="0"/>
                <w:sz w:val="26"/>
                <w:szCs w:val="26"/>
                <w:lang w:val="uk-UA" w:eastAsia="ru-RU" w:bidi="ar-SA"/>
              </w:rPr>
              <w:t xml:space="preserve">, які стали не лише глядачами, а й активними учасниками; інформаційний захід для студентів технічного фахового коледжу ЛНТУ, як </w:t>
            </w:r>
            <w:r>
              <w:rPr>
                <w:rFonts w:eastAsia="Calibri" w:cs="Times New Roman" w:ascii="Times New Roman" w:hAnsi="Times New Roman"/>
                <w:color w:val="000000"/>
                <w:kern w:val="0"/>
                <w:sz w:val="26"/>
                <w:szCs w:val="26"/>
                <w:lang w:val="uk-UA" w:eastAsia="en-US" w:bidi="ar-SA"/>
              </w:rPr>
              <w:t>розпізнати домашнє насильство, протистояти булінгу та будувати безпечне середовище навколо себе та інші.</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x-none"/>
              </w:rPr>
              <w:t>Р</w:t>
            </w:r>
            <w:r>
              <w:rPr>
                <w:rFonts w:eastAsia="Calibri" w:cs="Times New Roman" w:ascii="Times New Roman" w:hAnsi="Times New Roman"/>
                <w:color w:val="000000"/>
                <w:sz w:val="26"/>
                <w:szCs w:val="26"/>
                <w:lang w:val="uk-UA"/>
              </w:rPr>
              <w:t>озвиток системи надання спеціалізованих послуг в громаді: Мобільні бригади соціально-психологічної допомоги особам, які постраждали від домашнього насильства та/або насильства за ознакою статі, кар’єрний хаб «ВОНА хаб. Луцьк».</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Для розбудови системи надання спеціалізованих послуг з питань запобігання домашнього насильства при управлінні соціальних служб для сім’ї, дітей та молоді за підтримки Фонду ООН у галузі народонаселення в Україні (UNFPA) функціонують дві мобільні бригади соціально-психологічної допомоги особам, які постраждали від домашнього насильства та/або насильства за ознакою статі, якими за </w:t>
            </w:r>
            <w:r>
              <w:rPr>
                <w:rFonts w:eastAsia="Times New Roman" w:cs="Times New Roman" w:ascii="Times New Roman" w:hAnsi="Times New Roman"/>
                <w:color w:val="000000"/>
                <w:kern w:val="0"/>
                <w:sz w:val="26"/>
                <w:szCs w:val="26"/>
                <w:lang w:val="uk-UA" w:eastAsia="ru-RU" w:bidi="ar-SA"/>
              </w:rPr>
              <w:t>2024 рік</w:t>
            </w:r>
            <w:r>
              <w:rPr>
                <w:rFonts w:eastAsia="Calibri" w:cs="Times New Roman" w:ascii="Times New Roman" w:hAnsi="Times New Roman"/>
                <w:color w:val="000000"/>
                <w:kern w:val="0"/>
                <w:sz w:val="26"/>
                <w:szCs w:val="26"/>
                <w:lang w:val="uk-UA" w:eastAsia="en-US" w:bidi="ar-SA"/>
              </w:rPr>
              <w:t xml:space="preserve"> здійснено 536 виїздів та охоплено соціальними послугами 1 113 осіб; у галузі народонаселення працює три кейс-менеджера, які здійснюють соціальний супровід постраждалих від домашнього насильства (за 2024 рік </w:t>
            </w:r>
            <w:r>
              <w:rPr>
                <w:rFonts w:eastAsia="Times New Roman" w:cs="Times New Roman" w:ascii="Times New Roman" w:hAnsi="Times New Roman"/>
                <w:color w:val="000000"/>
                <w:kern w:val="0"/>
                <w:sz w:val="26"/>
                <w:szCs w:val="26"/>
                <w:lang w:val="uk-UA" w:eastAsia="en-US" w:bidi="ar-SA"/>
              </w:rPr>
              <w:t>–</w:t>
            </w:r>
            <w:r>
              <w:rPr>
                <w:rFonts w:eastAsia="Calibri" w:cs="Times New Roman" w:ascii="Times New Roman" w:hAnsi="Times New Roman"/>
                <w:color w:val="000000"/>
                <w:kern w:val="0"/>
                <w:sz w:val="26"/>
                <w:szCs w:val="26"/>
                <w:lang w:val="uk-UA" w:eastAsia="en-US" w:bidi="ar-SA"/>
              </w:rPr>
              <w:t xml:space="preserve"> 171 особа).</w:t>
            </w:r>
          </w:p>
          <w:p>
            <w:pPr>
              <w:pStyle w:val="Normal"/>
              <w:widowControl w:val="false"/>
              <w:ind w:firstLine="567"/>
              <w:jc w:val="both"/>
              <w:rPr>
                <w:rFonts w:ascii="Times New Roman" w:hAnsi="Times New Roman" w:cs="Times New Roman"/>
                <w:color w:val="000000"/>
                <w:sz w:val="26"/>
                <w:szCs w:val="26"/>
                <w:lang w:val="uk-UA"/>
              </w:rPr>
            </w:pPr>
            <w:r>
              <w:rPr>
                <w:rFonts w:eastAsia="Arial Unicode MS" w:cs="Times New Roman" w:ascii="Times New Roman" w:hAnsi="Times New Roman"/>
                <w:color w:val="000000"/>
                <w:kern w:val="0"/>
                <w:sz w:val="26"/>
                <w:szCs w:val="26"/>
                <w:lang w:val="uk-UA" w:eastAsia="ru-RU" w:bidi="ar-SA"/>
              </w:rPr>
              <w:t xml:space="preserve">В хабі </w:t>
            </w:r>
            <w:r>
              <w:rPr>
                <w:rFonts w:eastAsia="Arial Unicode MS" w:cs="Times New Roman" w:ascii="Times New Roman" w:hAnsi="Times New Roman"/>
                <w:bCs/>
                <w:color w:val="000000"/>
                <w:kern w:val="0"/>
                <w:sz w:val="26"/>
                <w:szCs w:val="26"/>
                <w:lang w:val="uk-UA" w:eastAsia="ru-RU" w:bidi="ar-SA"/>
              </w:rPr>
              <w:t xml:space="preserve">«ВОНА хаб» </w:t>
            </w:r>
            <w:r>
              <w:rPr>
                <w:rFonts w:eastAsia="Arial Unicode MS" w:cs="Times New Roman" w:ascii="Times New Roman" w:hAnsi="Times New Roman"/>
                <w:color w:val="000000"/>
                <w:kern w:val="0"/>
                <w:sz w:val="26"/>
                <w:szCs w:val="26"/>
                <w:lang w:val="uk-UA" w:eastAsia="ru-RU" w:bidi="ar-SA"/>
              </w:rPr>
              <w:t xml:space="preserve">проводились різноманітні групові заходи для жінок (психологічні тренінги, арттерапевтичні заняття, майстер класи, тренінги з розвитку м’яких навичок, тест-драйв професій тощо) та надавались індивідуальні консультації: </w:t>
            </w:r>
            <w:r>
              <w:rPr>
                <w:rFonts w:eastAsia="Montserrat" w:cs="Times New Roman" w:ascii="Times New Roman" w:hAnsi="Times New Roman"/>
                <w:bCs/>
                <w:color w:val="000000"/>
                <w:sz w:val="26"/>
                <w:szCs w:val="26"/>
                <w:lang w:val="uk-UA" w:eastAsia="ru-RU" w:bidi="ar-SA"/>
              </w:rPr>
              <w:t xml:space="preserve">практичні заняття </w:t>
            </w:r>
            <w:r>
              <w:rPr>
                <w:rFonts w:eastAsia="Montserrat" w:cs="Times New Roman" w:ascii="Times New Roman" w:hAnsi="Times New Roman"/>
                <w:color w:val="000000"/>
                <w:sz w:val="26"/>
                <w:szCs w:val="26"/>
                <w:lang w:val="uk-UA" w:eastAsia="ru-RU" w:bidi="ar-SA"/>
              </w:rPr>
              <w:t xml:space="preserve">для створення </w:t>
            </w:r>
            <w:r>
              <w:rPr>
                <w:rFonts w:eastAsia="Montserrat" w:cs="Times New Roman" w:ascii="Times New Roman" w:hAnsi="Times New Roman"/>
                <w:bCs/>
                <w:color w:val="000000"/>
                <w:sz w:val="26"/>
                <w:szCs w:val="26"/>
                <w:lang w:val="uk-UA" w:eastAsia="ru-RU" w:bidi="ar-SA"/>
              </w:rPr>
              <w:t>резюме, проходження співбесіди, заповнення грантових заявок тощо. А</w:t>
            </w:r>
            <w:r>
              <w:rPr>
                <w:rFonts w:eastAsia="Calibri" w:cs="Times New Roman" w:ascii="Times New Roman" w:hAnsi="Times New Roman"/>
                <w:bCs/>
                <w:color w:val="000000"/>
                <w:kern w:val="0"/>
                <w:sz w:val="26"/>
                <w:szCs w:val="26"/>
                <w:lang w:val="uk-UA" w:eastAsia="en-US" w:bidi="ar-SA"/>
              </w:rPr>
              <w:t xml:space="preserve">ктивно розвивався новий напрямок – робота в старостинських округах та залучення жінок, які проживають в сільській місцевості. </w:t>
            </w:r>
            <w:r>
              <w:rPr>
                <w:rFonts w:eastAsia="Montserrat" w:cs="Times New Roman" w:ascii="Times New Roman" w:hAnsi="Times New Roman"/>
                <w:bCs/>
                <w:color w:val="000000"/>
                <w:sz w:val="26"/>
                <w:szCs w:val="26"/>
                <w:lang w:val="uk-UA" w:eastAsia="ru-RU" w:bidi="ar-SA"/>
              </w:rPr>
              <w:t>Всього у хабі в 2024 році було організовано та проведено 217 заходів (з них – 33 </w:t>
            </w:r>
            <w:r>
              <w:rPr>
                <w:rFonts w:eastAsia="Times New Roman" w:cs="Times New Roman" w:ascii="Times New Roman" w:hAnsi="Times New Roman"/>
                <w:color w:val="000000"/>
                <w:kern w:val="0"/>
                <w:sz w:val="26"/>
                <w:szCs w:val="26"/>
                <w:lang w:val="uk-UA" w:eastAsia="uk-UA" w:bidi="ar-SA"/>
              </w:rPr>
              <w:t>заходи для жінок, які проживають в сільській місцевості</w:t>
            </w:r>
            <w:r>
              <w:rPr>
                <w:rFonts w:eastAsia="Montserrat" w:cs="Times New Roman" w:ascii="Times New Roman" w:hAnsi="Times New Roman"/>
                <w:bCs/>
                <w:color w:val="000000"/>
                <w:sz w:val="26"/>
                <w:szCs w:val="26"/>
                <w:lang w:val="uk-UA" w:eastAsia="ru-RU" w:bidi="ar-SA"/>
              </w:rPr>
              <w:t xml:space="preserve">); ряд короткострокових професійних курсів («Кравчині», </w:t>
            </w:r>
            <w:r>
              <w:rPr>
                <w:rFonts w:eastAsia="Times New Roman" w:cs="Times New Roman" w:ascii="Times New Roman" w:hAnsi="Times New Roman"/>
                <w:bCs/>
                <w:color w:val="000000"/>
                <w:kern w:val="0"/>
                <w:sz w:val="26"/>
                <w:szCs w:val="26"/>
                <w:lang w:val="uk-UA" w:eastAsia="ru-RU" w:bidi="ar-SA"/>
              </w:rPr>
              <w:t>«Гідеси», «Водійки», «Кондитерки», «Основи макіяжу», «Графічний дизайн»,</w:t>
            </w:r>
            <w:r>
              <w:rPr>
                <w:rFonts w:eastAsia="Calibri" w:cs="Times New Roman" w:ascii="Times New Roman" w:hAnsi="Times New Roman"/>
                <w:bCs/>
                <w:color w:val="000000"/>
                <w:kern w:val="0"/>
                <w:sz w:val="26"/>
                <w:szCs w:val="26"/>
                <w:lang w:val="uk-UA" w:eastAsia="en-US" w:bidi="ar-SA"/>
              </w:rPr>
              <w:t xml:space="preserve"> «Вивчення англійської мови»</w:t>
            </w:r>
            <w:r>
              <w:rPr>
                <w:rFonts w:eastAsia="Times New Roman" w:cs="Times New Roman" w:ascii="Times New Roman" w:hAnsi="Times New Roman"/>
                <w:bCs/>
                <w:color w:val="000000"/>
                <w:kern w:val="0"/>
                <w:sz w:val="26"/>
                <w:szCs w:val="26"/>
                <w:lang w:val="uk-UA" w:eastAsia="ru-RU" w:bidi="ar-SA"/>
              </w:rPr>
              <w:t>, «Масажу»), якими охоплено 112 жінок.</w:t>
            </w:r>
          </w:p>
          <w:p>
            <w:pPr>
              <w:pStyle w:val="Normal"/>
              <w:widowControl w:val="false"/>
              <w:tabs>
                <w:tab w:val="clear" w:pos="720"/>
                <w:tab w:val="left" w:pos="0" w:leader="none"/>
              </w:tabs>
              <w:ind w:firstLine="567"/>
              <w:jc w:val="both"/>
              <w:rPr>
                <w:rFonts w:ascii="Times New Roman" w:hAnsi="Times New Roman" w:eastAsia="Times New Roman" w:cs="Times New Roman"/>
                <w:color w:val="000000"/>
                <w:kern w:val="0"/>
                <w:sz w:val="26"/>
                <w:szCs w:val="26"/>
                <w:lang w:val="uk-UA" w:eastAsia="ru-RU" w:bidi="ar-SA"/>
              </w:rPr>
            </w:pPr>
            <w:r>
              <w:rPr>
                <w:rFonts w:eastAsia="Times New Roman" w:cs="Times New Roman" w:ascii="Times New Roman" w:hAnsi="Times New Roman"/>
                <w:color w:val="000000"/>
                <w:kern w:val="0"/>
                <w:sz w:val="26"/>
                <w:szCs w:val="26"/>
                <w:lang w:val="uk-UA" w:eastAsia="ru-RU" w:bidi="ar-SA"/>
              </w:rPr>
              <w:t>957 жінок отримали індивідуальні консультації, для 176 жінок створили плани економічної безпеки, 114 жінок за результатами консультацій та складання резюме працевлаштовано, 50 жінок відкрили свій бізнес чи стали самозайнятими.</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12.</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eastAsia="Calibri" w:cs="Times New Roman"/>
                <w:color w:val="000000"/>
                <w:sz w:val="26"/>
                <w:szCs w:val="26"/>
                <w:lang w:val="uk-UA"/>
              </w:rPr>
            </w:pPr>
            <w:r>
              <w:rPr>
                <w:rFonts w:eastAsia="Calibri" w:cs="Times New Roman" w:ascii="Times New Roman" w:hAnsi="Times New Roman"/>
                <w:color w:val="000000"/>
                <w:sz w:val="26"/>
                <w:szCs w:val="26"/>
                <w:lang w:val="uk-UA"/>
              </w:rPr>
              <w:t>Забезпечення роботи денного центру «Простір для дітей» у партнерстві з Дитячим фондом ООН (ЮНІСЕФ).</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В рамках соціального проєкту «Безпечний простір для дитини», шведського представництва Barnmissionen, завдяки виграному гранту за кошти Благодійного фонду «Дитяча місія. Україна» </w:t>
            </w:r>
            <w:r>
              <w:rPr>
                <w:rFonts w:eastAsia="Calibri" w:cs="Times New Roman" w:ascii="Times New Roman" w:hAnsi="Times New Roman"/>
                <w:color w:val="000000"/>
                <w:kern w:val="0"/>
                <w:sz w:val="26"/>
                <w:szCs w:val="26"/>
                <w:lang w:val="uk-UA" w:eastAsia="ru-RU" w:bidi="ar-SA"/>
              </w:rPr>
              <w:t>у центральній частині міста</w:t>
            </w:r>
            <w:r>
              <w:rPr>
                <w:rFonts w:eastAsia="Calibri" w:cs="Times New Roman" w:ascii="Times New Roman" w:hAnsi="Times New Roman"/>
                <w:color w:val="000000"/>
                <w:kern w:val="0"/>
                <w:sz w:val="26"/>
                <w:szCs w:val="26"/>
                <w:lang w:val="uk-UA" w:eastAsia="en-US" w:bidi="ar-SA"/>
              </w:rPr>
              <w:t xml:space="preserve"> облаштовано денний центр «Простір для дітей»</w:t>
            </w:r>
            <w:r>
              <w:rPr>
                <w:rFonts w:eastAsia="Calibri" w:cs="Times New Roman" w:ascii="Times New Roman" w:hAnsi="Times New Roman"/>
                <w:color w:val="000000"/>
                <w:kern w:val="0"/>
                <w:sz w:val="26"/>
                <w:szCs w:val="26"/>
                <w:lang w:val="uk-UA" w:eastAsia="ru-RU" w:bidi="ar-SA"/>
              </w:rPr>
              <w:t xml:space="preserve">. </w:t>
            </w:r>
            <w:r>
              <w:rPr>
                <w:rFonts w:eastAsia="Times New Roman" w:cs="Times New Roman" w:ascii="Times New Roman" w:hAnsi="Times New Roman"/>
                <w:color w:val="000000"/>
                <w:kern w:val="0"/>
                <w:sz w:val="26"/>
                <w:szCs w:val="26"/>
                <w:lang w:val="uk-UA" w:eastAsia="ru-RU" w:bidi="ar-SA"/>
              </w:rPr>
              <w:t xml:space="preserve">Простір створено з метою соціалізації, адаптації та інтеграції у суспільство дітей з інвалідністю та труднощами розвитку. </w:t>
            </w:r>
            <w:r>
              <w:rPr>
                <w:rFonts w:eastAsia="Calibri" w:cs="Times New Roman" w:ascii="Times New Roman" w:hAnsi="Times New Roman"/>
                <w:color w:val="000000"/>
                <w:kern w:val="0"/>
                <w:sz w:val="26"/>
                <w:szCs w:val="26"/>
                <w:lang w:val="uk-UA" w:eastAsia="en-US" w:bidi="ar-SA"/>
              </w:rPr>
              <w:t>Завдяки участі у проєкті «СПІЛЬНО», який реалізовувався у співпраці з Благодійною установою «Навчально-реабілітаційний центр "Джерело"» за фінансової підтримки Дитячого фонду ООН ЮНІСЕФ в Україні для центру придбано меблі, інтерактивну дошку та комп’ютерну техніку.</w:t>
            </w:r>
          </w:p>
          <w:p>
            <w:pPr>
              <w:pStyle w:val="Normal"/>
              <w:widowControl w:val="false"/>
              <w:spacing w:before="0" w:after="0"/>
              <w:ind w:firstLine="456"/>
              <w:contextualSpacing/>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З лютого 2024 року стартував новий проєкт, який в «Просторі для дітей» реалізовує управління соціальних служб для сім’ї, дітей та молоді спільно з Благодійною організацією Навчально-реабілітаційний центр «Джерело» за фінансової підтримки Дитячого Фонду ООН ЮНІСЕФ «Підвищення потенціалу громад для забезпечення інтегрованих соціальних послуг вразливих дітям у Львівській, Волинській і Закарпатській областях».</w:t>
            </w:r>
          </w:p>
          <w:p>
            <w:pPr>
              <w:pStyle w:val="Normal"/>
              <w:widowControl w:val="false"/>
              <w:ind w:firstLine="567"/>
              <w:jc w:val="both"/>
              <w:rPr>
                <w:rFonts w:ascii="Times New Roman" w:hAnsi="Times New Roman"/>
                <w:color w:val="000000"/>
                <w:sz w:val="26"/>
                <w:szCs w:val="26"/>
                <w:lang w:val="uk-UA"/>
              </w:rPr>
            </w:pPr>
            <w:r>
              <w:rPr>
                <w:rFonts w:eastAsia="Calibri" w:cs="Calibri" w:ascii="Times New Roman" w:hAnsi="Times New Roman"/>
                <w:color w:val="000000"/>
                <w:kern w:val="0"/>
                <w:sz w:val="26"/>
                <w:szCs w:val="26"/>
                <w:lang w:val="uk-UA" w:eastAsia="ru-RU" w:bidi="ar-SA"/>
              </w:rPr>
              <w:t>В «Просторі для дітей» спеціалісти здійснюють роботу з дітьми та їх батьками</w:t>
            </w:r>
            <w:r>
              <w:rPr>
                <w:rFonts w:eastAsia="Calibri" w:cs="Times New Roman" w:ascii="Times New Roman" w:hAnsi="Times New Roman"/>
                <w:color w:val="000000"/>
                <w:kern w:val="0"/>
                <w:sz w:val="26"/>
                <w:szCs w:val="26"/>
                <w:lang w:val="uk-UA" w:eastAsia="en-US" w:bidi="ar-SA"/>
              </w:rPr>
              <w:t xml:space="preserve"> в таких напрямках: скринінги потреб сімей, в яких виховуються діти з інвалідністю та труднощами розвитку (855 скринінгів); надають спеціалізовані послуги (2 646 послуг); задовільняють матеріальні потреби: </w:t>
            </w:r>
            <w:r>
              <w:rPr>
                <w:rFonts w:eastAsia="Times New Roman" w:cs="Times New Roman" w:ascii="Times New Roman" w:hAnsi="Times New Roman"/>
                <w:color w:val="000000"/>
                <w:kern w:val="0"/>
                <w:sz w:val="26"/>
                <w:szCs w:val="26"/>
                <w:lang w:val="uk-UA" w:eastAsia="ru-RU" w:bidi="ar-SA"/>
              </w:rPr>
              <w:t>ортопедичне взуття, окуляри, слухові апарати, тонометри, обтяжуючі ковдри, засоби гігієни, підгузники, канцелярське приладдя, розвиваючі іграшки, продуктові набори, тощо (663 сім’ї)</w:t>
            </w:r>
            <w:r>
              <w:rPr>
                <w:rFonts w:eastAsia="Calibri" w:cs="Times New Roman" w:ascii="Times New Roman" w:hAnsi="Times New Roman"/>
                <w:color w:val="000000"/>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ru-RU" w:bidi="ar-SA"/>
              </w:rPr>
              <w:t>надають психологічну підтримку і соціальний супровід (кейс-менеджмент) (692 сім’ї); проводять творчі майстер-класи та дозвіллєві заходи для дітей (49 заходів, охоплено 478 дітей); групи взаємопідтримки для батьків (28 груп, участь в яких взяли 150 батьків); надають соціальну послугу «денний догляд» (218 дітей).</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13.</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sz w:val="26"/>
                <w:szCs w:val="26"/>
                <w:lang w:val="uk-UA"/>
              </w:rPr>
              <w:t xml:space="preserve">Впровадження програми «Родина для кожної дитини» у межах реалізації пілотного проєкту </w:t>
            </w:r>
            <w:r>
              <w:rPr>
                <w:rFonts w:eastAsia="Times New Roman" w:cs="Times New Roman" w:ascii="Times New Roman" w:hAnsi="Times New Roman"/>
                <w:color w:val="000000"/>
                <w:spacing w:val="4"/>
                <w:sz w:val="26"/>
                <w:szCs w:val="26"/>
                <w:lang w:val="uk-UA" w:eastAsia="ru-RU"/>
              </w:rPr>
              <w:t>«Кращий догляд для кожної дитини» Дитячого фонду ООН (ЮНІСЕФ).</w:t>
            </w:r>
          </w:p>
        </w:tc>
        <w:tc>
          <w:tcPr>
            <w:tcW w:w="10741" w:type="dxa"/>
            <w:tcBorders>
              <w:left w:val="single" w:sz="4" w:space="0" w:color="000000"/>
              <w:bottom w:val="single" w:sz="4" w:space="0" w:color="000000"/>
              <w:right w:val="single" w:sz="4" w:space="0" w:color="000000"/>
            </w:tcBorders>
            <w:shd w:fill="auto" w:val="clear"/>
          </w:tcPr>
          <w:p>
            <w:pPr>
              <w:pStyle w:val="NormalWeb"/>
              <w:widowControl w:val="false"/>
              <w:shd w:val="clear" w:color="auto" w:fill="FFFFFF"/>
              <w:tabs>
                <w:tab w:val="clear" w:pos="720"/>
                <w:tab w:val="left" w:pos="567" w:leader="none"/>
              </w:tabs>
              <w:spacing w:before="0" w:after="0"/>
              <w:ind w:firstLine="567"/>
              <w:jc w:val="both"/>
              <w:rPr>
                <w:rFonts w:ascii="Times New Roman" w:hAnsi="Times New Roman" w:cs="Times New Roman"/>
                <w:color w:val="000000"/>
                <w:kern w:val="0"/>
                <w:sz w:val="26"/>
                <w:szCs w:val="26"/>
                <w:lang w:val="uk-UA" w:bidi="ar-SA"/>
              </w:rPr>
            </w:pPr>
            <w:r>
              <w:rPr>
                <w:rFonts w:cs="Times New Roman" w:ascii="Times New Roman" w:hAnsi="Times New Roman"/>
                <w:color w:val="000000"/>
                <w:kern w:val="0"/>
                <w:sz w:val="26"/>
                <w:szCs w:val="26"/>
                <w:lang w:val="uk-UA" w:bidi="ar-SA"/>
              </w:rPr>
              <w:t>У березні 2024 року в м. Луцьку пройшов форум з розвитку соціальних послуг у територіальних громадах «Заради дитини та сім’ї». Він об’єднав представників влади та органів місцевого самоврядування Волинської, Львівської та Закарпатської областей, а також громадських активістів. Усіх, хто найбільш залучений до створення та розвитку соціальних послуг у громадах для сімей з дітьми.</w:t>
            </w:r>
          </w:p>
          <w:p>
            <w:pPr>
              <w:pStyle w:val="Normal"/>
              <w:widowControl w:val="false"/>
              <w:tabs>
                <w:tab w:val="clear" w:pos="720"/>
                <w:tab w:val="left" w:pos="8306"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kern w:val="0"/>
                <w:sz w:val="26"/>
                <w:szCs w:val="26"/>
                <w:lang w:val="uk-UA" w:eastAsia="ru-RU" w:bidi="ar-SA"/>
              </w:rPr>
              <w:t>Підписано меморандум про співпрацю</w:t>
            </w:r>
            <w:r>
              <w:rPr>
                <w:rFonts w:eastAsia="Times New Roman" w:cs="Times New Roman" w:ascii="Times New Roman" w:hAnsi="Times New Roman"/>
                <w:bCs/>
                <w:color w:val="000000"/>
                <w:kern w:val="0"/>
                <w:sz w:val="26"/>
                <w:szCs w:val="26"/>
                <w:lang w:val="uk-UA" w:eastAsia="ru-RU" w:bidi="ar-SA"/>
              </w:rPr>
              <w:t xml:space="preserve"> між Дитячим фондом ООН ЮНІСЕФ в Україні через імплементованого партнера Бл</w:t>
            </w:r>
            <w:r>
              <w:rPr>
                <w:rFonts w:eastAsia="Lucida Sans Unicode" w:cs="Times New Roman" w:ascii="Times New Roman" w:hAnsi="Times New Roman"/>
                <w:bCs/>
                <w:color w:val="000000"/>
                <w:sz w:val="26"/>
                <w:szCs w:val="26"/>
                <w:lang w:val="uk-UA"/>
              </w:rPr>
              <w:t>агодійна установа «Навчально-реабілітаційний центр "Джерело"»</w:t>
            </w:r>
            <w:r>
              <w:rPr>
                <w:rFonts w:eastAsia="Lucida Sans Unicode" w:cs="Times New Roman" w:ascii="Times New Roman" w:hAnsi="Times New Roman"/>
                <w:color w:val="000000"/>
                <w:sz w:val="26"/>
                <w:szCs w:val="26"/>
                <w:lang w:val="uk-UA"/>
              </w:rPr>
              <w:t xml:space="preserve"> та Луцькою міською радою, щодо реалізації в Луцькій міській територіальній громаді </w:t>
            </w:r>
            <w:r>
              <w:rPr>
                <w:rFonts w:eastAsia="Calibri" w:cs="Times New Roman" w:ascii="Times New Roman" w:hAnsi="Times New Roman"/>
                <w:color w:val="000000"/>
                <w:kern w:val="0"/>
                <w:sz w:val="26"/>
                <w:szCs w:val="26"/>
                <w:lang w:val="uk-UA" w:eastAsia="en-US" w:bidi="ar-SA"/>
              </w:rPr>
              <w:t xml:space="preserve">проєкту «Підвищення потенціалу громад для забезпечення інтегрованих соціальних послуг вразливим дітям у Львівській, Волинській і Закарпатській областях», що реалізується за фінансової підтримки Федерального міністерства економічного співробітництва і розвитку Німеччини (BMZ) через державний банк розвитку KfW в рамках національної програми ЮНІСЕФ «Кращий догляд для кожної дитини». </w:t>
            </w:r>
            <w:r>
              <w:rPr>
                <w:rFonts w:cs="Times New Roman" w:ascii="Times New Roman" w:hAnsi="Times New Roman"/>
                <w:color w:val="000000"/>
                <w:kern w:val="0"/>
                <w:sz w:val="26"/>
                <w:szCs w:val="26"/>
                <w:lang w:val="uk-UA" w:eastAsia="en-US" w:bidi="ar-SA"/>
              </w:rPr>
              <w:t xml:space="preserve">Також в рамках національної програми ЮНІСЕФ «Кращий догляд для кожної дитини» команда спеціалістів з соціальної, освітньої та медичної сфери Луцької громади проходить навчання з надання послуги раннього втручання. </w:t>
            </w:r>
            <w:r>
              <w:rPr>
                <w:rFonts w:eastAsia="Times New Roman" w:cs="Times New Roman" w:ascii="Times New Roman" w:hAnsi="Times New Roman"/>
                <w:color w:val="000000"/>
                <w:kern w:val="0"/>
                <w:sz w:val="26"/>
                <w:szCs w:val="26"/>
                <w:lang w:val="uk-UA" w:eastAsia="ru-RU" w:bidi="ar-SA"/>
              </w:rPr>
              <w:t>Раннє втручання є важливим у мінімальному пакеті соціальних послуг, адже саме ця послуга запобігає інституціоналізації дітей й підсилює компетентності та ресурси сім’ї для виховання дітей з труднощами розвитку вдома.</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На виконання меморандуму про співпрацю проведено тренінг для спеціалістів «Міжвідомча взаємодія у сфері захисту прав дитини». Метою навчання було посилення потенціалу органів місцевого самоврядування, служб у справах дітей, недержавних громадських організацій, які працюють у сфері захисту прав дитини, а також напрацювання протоколу їхньої міжвідомчої взаємодії.</w:t>
            </w:r>
          </w:p>
          <w:p>
            <w:pPr>
              <w:pStyle w:val="NormalWeb"/>
              <w:widowControl w:val="false"/>
              <w:shd w:val="clear" w:color="auto" w:fill="FFFFFF"/>
              <w:spacing w:before="0" w:after="0"/>
              <w:ind w:firstLine="567"/>
              <w:jc w:val="both"/>
              <w:rPr>
                <w:rFonts w:ascii="Times New Roman" w:hAnsi="Times New Roman" w:eastAsia="Calibri" w:cs="Times New Roman"/>
                <w:color w:val="000000"/>
                <w:spacing w:val="3"/>
                <w:sz w:val="26"/>
                <w:szCs w:val="26"/>
                <w:lang w:val="uk-UA" w:eastAsia="en-US"/>
              </w:rPr>
            </w:pPr>
            <w:r>
              <w:rPr>
                <w:rFonts w:eastAsia="Calibri" w:cs="Times New Roman" w:ascii="Times New Roman" w:hAnsi="Times New Roman"/>
                <w:color w:val="000000"/>
                <w:spacing w:val="3"/>
                <w:kern w:val="0"/>
                <w:sz w:val="26"/>
                <w:szCs w:val="26"/>
                <w:lang w:val="uk-UA" w:eastAsia="en-US" w:bidi="ar-SA"/>
              </w:rPr>
              <w:t>Рішенням виконавчого комітету від 19.06.2024 № 321-1 затверджено «Порядок міжвідомчої взаємодії з виявлення та організації надання допомоги дітям та сім’ям з дітьми, які перебувають у складних життєвих обставинах, на території Луцької міської територіальної громади».</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14.</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pacing w:val="4"/>
                <w:sz w:val="26"/>
                <w:szCs w:val="26"/>
                <w:lang w:val="uk-UA" w:eastAsia="ru-RU"/>
              </w:rPr>
              <w:t>П</w:t>
            </w:r>
            <w:r>
              <w:rPr>
                <w:rFonts w:cs="Times New Roman" w:ascii="Times New Roman" w:hAnsi="Times New Roman"/>
                <w:color w:val="000000"/>
                <w:spacing w:val="-4"/>
                <w:sz w:val="26"/>
                <w:szCs w:val="26"/>
                <w:lang w:val="uk-UA"/>
              </w:rPr>
              <w:t>ідтримка ініціатив громадських організацій щодо реалізації молодіжної політики.</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Спільно з громадськими організаціями проведено: творчий майстер-клас «Зустріч весни!», фінальний захід «Весняна школа проектного менеджменту», творчі майстер-класи «Великоднє диво», дебатний турнір «Галицько-Волинський кубок», молодіжну алею в рамках заходу «День дитячого дозвілля», фінал третьої Луцької шкільної дебатної ліги, Фестиваль повітряних зміїв, Всеукраїнський дебатний турнір «Волинська толока», захід «День Гобіта» та інші.</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спільно з іншими громадськими організаціями було проведено зустрічі волонтерів та надано підтримку національної скаутської організації України «Пласт» щодо проведення наметового табору та передачі Віфлеємського вогню миру громаді Луцька. Надана допомога ГО «Всеукраїнське Братство Волині» для організації поїздки в історико-культурний комплекс «Вовчак – Волинська Січ».</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15.</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pacing w:val="-4"/>
                <w:sz w:val="26"/>
                <w:szCs w:val="26"/>
                <w:lang w:val="uk-UA"/>
              </w:rPr>
              <w:t>Проведення заходів, спрямованих на формування національної свідомості та патріотизму, поваги до історичного минулого та героїзму українського народу та його воїнів.</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захід із вшанування Дня пам’яті Героїв Небесної Сотні, фестиваль національних бойових мистецтв «Дух незламних», фінал науково</w:t>
            </w:r>
            <w:bookmarkStart w:id="12" w:name="_GoBack11"/>
            <w:bookmarkEnd w:id="12"/>
            <w:r>
              <w:rPr>
                <w:rFonts w:ascii="Times New Roman" w:hAnsi="Times New Roman"/>
                <w:color w:val="000000"/>
                <w:sz w:val="26"/>
                <w:szCs w:val="26"/>
                <w:lang w:val="uk-UA"/>
              </w:rPr>
              <w:t>-пошукового конкурсу «Мій родовід», презентацію програми «Твій шлях додому», інформаційно-просвітницьку акцію та заходи для молоді  з нагоди відзначення Дня захисників і захисниць України.</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було проведено: захід до Дня Соборності України, захід із вшанування Дня пам’яті Героїв Крут, мотиваційну зустріч для молоді із військовим, національно-патріотичні заняття для школярів, захід із вшанування Дня пам'яті Героїв Небесної Сотні,  «Дня Гідності та Свободи», відзначення Дня захисників та захисниць України, а також «Форум гідних» до Дня гідності та свободи, «Андріївські вечорниці в укритті», «Резиденція Святого Миколая в укритті».</w:t>
            </w:r>
          </w:p>
        </w:tc>
      </w:tr>
      <w:tr>
        <w:trPr>
          <w:trHeight w:val="729"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16.</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Проведення заходів, спрямованих на підвищення обізнаності молоді у сфері цивільної оборони, надання першої домедичної допомоги та формування навичок само та взаємодопомоги.</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були проведені 30 занять «Військові вишколи для молоді» в ЗЗСО громади, а також навчально-польові збори для учнів. Організовано: курс первинної базової підготовки молоді до національного спротиву, «Курс підготовки цивільного населення до національного спротиву», а також презентації та майстеркласи, «Військове таборування: Впровадження Української ідентичності».</w:t>
            </w:r>
          </w:p>
        </w:tc>
      </w:tr>
      <w:tr>
        <w:trPr>
          <w:trHeight w:val="1065"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17.</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Проведення заходів, які формують безпечне середовище для всебічного розвитку молоді, протидію злочинним явищам та негативним проявам у молодіжному середовищі.</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567"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Спільно із партнерами проведено: інформаційно-просвітницьку кампанію з нагоди Тижня безпеки дорожнього руху; презентацію показників Індексу Благополуччя Молоді (багатофакторне оцінювання стану благополуччя молодих людей на муніципальному рівні); інформаційно-просвітницьку кампанію про правила поведінки на воді; серію тренінгів у рамках проєкту громадянської освіти «Помічник патрульного».</w:t>
            </w:r>
          </w:p>
          <w:p>
            <w:pPr>
              <w:pStyle w:val="Normal"/>
              <w:widowControl w:val="false"/>
              <w:tabs>
                <w:tab w:val="clear" w:pos="720"/>
                <w:tab w:val="left" w:pos="567"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було проведено 2 курси «Самооборона для цивільного населення».</w:t>
            </w:r>
          </w:p>
        </w:tc>
      </w:tr>
      <w:tr>
        <w:trPr>
          <w:trHeight w:val="917"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18.</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Проведення заходів, спрямованих на популяризацію здорового способу життя серед молоді, протидію алкоголізму, наркоманії та іншим негативним проявам.</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фотоконкурс «Здоров'я: зафіксуй у кадрі», захід із сексуального просвітництва для молоді «Обережно. Секс», в рамках якого постійно запрошуються експерти з питань репродуктивного здоров’я, безпеки, психології, правопорядку; конкурс фото- та відеоробіт «Молодь проти наркотиків»; захід з протидії поширення наркоманії, конкурс відеороликів «Тютюн не в тренді», воркшоп з сексуальної освіти для молоді «Буквально про інтимне», два рейди із нейтралізації наркотичної реклами; масштабне опитування серед молоді з тематики поширення наркоманії; акція «Цукерка-цигарка».</w:t>
            </w:r>
          </w:p>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було проведено тричі на тиждень біговий клуб «БІГКЛАБ».</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19.</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Проведення заходів, спрямованих на творчий та інтелектуальний розвиток молоді (в т. ч. заходи неформальної освіти).</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навчання зі створення анімаційного ролику у техніці stop-motion «InterNet/Tak», сім інтелектуально-розважальних ігор «Mind Game, молодіжні заходи спільно з Українською академією лідерства, фотоконкурс «Моє місце сили в улюбленому Луцьку», висаджування міського городу, відеоконкурс до Дня Європи, всеукраїнську учнівську олімпіаду з робототехніки в категорії «Слалом», молодіжну алею в рамках заходу «День дитячого дозвілля», музичний урбаністичний фестиваль «ДЕ ЦЕ БУЛО х ВИХОР», захід «Амбасадор дитинства» тощо.</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було проведено: творчо-акустичні вечори «Просто посиденьки», підлітковий клуб «Підлітки в умовах війни», тематичні квести для молоді «Молодіжне підприємництво «Стартуй» та «Шкільний урок волонтерства», для психологічної підтримки та арттерапії було реалізовано проєкти і табір психоемоційного відновлення підлітків «Camp of EMOTIONS».</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20.</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pacing w:val="-4"/>
                <w:sz w:val="26"/>
                <w:szCs w:val="26"/>
                <w:lang w:val="uk-UA"/>
              </w:rPr>
              <w:t>Проведення заходів, спрямованих на розвиток молодіжного підприємництва, зайнятості молоді та профорієнтаційний компонент.</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Форум учнівського самоврядування, підписано Пакт заради молодіжного підприємництва між Луцькою міською радою та громадськими організаціями: «Молодіжний центр Волині», «Інститут транскордонних ініціатив», «Центром інновацій та партнерства «Ю. Ментор», «Полюс росту», Луцьким національно технічним університетом та Донецьким національним технічним університетом, а також проведено ряд заходів з основ соціального шкільного підприємництва.</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КЗ «Луцький міський молодіжний центр» було проведено мотиваційні зустрічі з іншими молодіжними центрами та молоддю. Розпочато реалізацію проєкту соціального підприємства «Мобільна фотостудія «Без Меж».</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21.</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Налагодження партнерств та ефективної взаємодії із консультативно-дорадчими органами у галузі молодіжної політики, співпраця із учнівським та студентським самоврядуванням у різних сферах розвиту громади.</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Підтримано проведення тренінгу «Менеджмент Молодіжних рад», серію молодіжних заходів спільно з Українською академією лідерства, прийом делегації «Шкіл миру» в межах проєкту «Зміцнення громадянського суспільства в країнах Східного партнерства». Відбулося робоче відрядження до Боснії і Герцеговини з метою переймання досвіду молодіжної роботи. Взяли участь у Всеукраїнській науково-практичній конференції «Соціально-психологічна допомога і соціальна робота: виклики сучасності». </w:t>
            </w:r>
            <w:bookmarkStart w:id="13" w:name="__DdeLink__4181_3988816484"/>
            <w:r>
              <w:rPr>
                <w:rFonts w:ascii="Times New Roman" w:hAnsi="Times New Roman"/>
                <w:color w:val="000000"/>
                <w:sz w:val="26"/>
                <w:szCs w:val="26"/>
                <w:lang w:val="uk-UA"/>
              </w:rPr>
              <w:t>Пройдено підвищення кваліфіка</w:t>
            </w:r>
            <w:bookmarkEnd w:id="13"/>
            <w:r>
              <w:rPr>
                <w:rFonts w:ascii="Times New Roman" w:hAnsi="Times New Roman"/>
                <w:color w:val="000000"/>
                <w:sz w:val="26"/>
                <w:szCs w:val="26"/>
                <w:lang w:val="uk-UA"/>
              </w:rPr>
              <w:t>ції з молодіжних питань в рамках освітньої програми «Публічне управління та адміністрування молодіжної політики», підтримано шосту Шкільну сесію Європейського Молодіжного Парламенту.</w:t>
            </w:r>
          </w:p>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спільно із учнівським самоврядуванням було проведено захід «День закоханих в Окольному замку».</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22.</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Проведення заходів, спрямованих на розвиток волонтерського руху (в т. ч. у сфері допомоги ЗСУ, ТРО, ВПО) та залучення молоді до такого руху.</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чотири зустрічі-бесіди з відомими волонтерами громади в рамках проєкту «Волонтери. Відомі та невідомі історії», публічну презентацію волонтерських ініціатив, благодійний великодній ярмарок; Форум волонтерських ініціативи (понад 100 учасників та 30 організацій волонтерського спрямування); взяли участь у міжнародній конференції «Роль волонтерства у розбудові потужного громадянського суспільства»; відзначено 37 волонтерів з нагоди Міжнародного дня волонтера.</w:t>
            </w:r>
          </w:p>
          <w:p>
            <w:pPr>
              <w:pStyle w:val="Normal"/>
              <w:widowControl w:val="false"/>
              <w:tabs>
                <w:tab w:val="clear" w:pos="720"/>
                <w:tab w:val="left" w:pos="54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КЗ «Луцький міський молодіжний центр» було організовано зустрічі для Волонтерського Хабу «Вільні Волині», спільно з Волонтерським Хабом організовано «Перший волонтерський пікнік», «Всеукраїнське волонтерське таборування для молоді України».</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23.</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pacing w:val="-4"/>
                <w:sz w:val="26"/>
                <w:szCs w:val="26"/>
                <w:lang w:val="uk-UA"/>
              </w:rPr>
              <w:t>Забезпечення внесення</w:t>
            </w:r>
            <w:r>
              <w:rPr>
                <w:rFonts w:cs="Times New Roman" w:ascii="Times New Roman" w:hAnsi="Times New Roman"/>
                <w:color w:val="000000"/>
                <w:sz w:val="26"/>
                <w:szCs w:val="26"/>
                <w:lang w:val="uk-UA"/>
              </w:rPr>
              <w:t xml:space="preserve"> відомостей у єдиний електронний банк даних про дітей-сиріт, дітей, позбавлених батьківського піклування, сім'ї потенційних усиновлювачів, опікунів, піклувальників, прийомних батьків, батьків-вихователів.</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z w:val="26"/>
                <w:szCs w:val="26"/>
                <w:lang w:val="uk-UA"/>
              </w:rPr>
              <w:t xml:space="preserve">У службі у справах дітей функціонує Єдина інформаційно-аналітична система «Діти», </w:t>
            </w:r>
            <w:r>
              <w:rPr>
                <w:rFonts w:eastAsia="Times New Roman" w:cs="Times New Roman" w:ascii="Times New Roman" w:hAnsi="Times New Roman"/>
                <w:bCs/>
                <w:color w:val="000000"/>
                <w:sz w:val="26"/>
                <w:szCs w:val="26"/>
                <w:lang w:val="uk-UA"/>
              </w:rPr>
              <w:t>призначена для накопичення, зберігання, обліку, пошуку та використання даних про дітей, які залишились без батьківського піклування, дітей-сиріт, дітей, позбавлених батьківського піклування, та осіб з їх числа, дітей, які можуть бути усиновлені, дітей, які перебувають у складних життєвих обставинах, дітей, які постраждали внаслідок воєнних дій та збройних конфліктів, усиновлювачів, опікунів, піклувальників, прийомних батьків, батьків-вихователів.</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24.</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Надання допомоги у вирішенні питання погашення заборгованості за комунальні послуги у житлі, яке на праві власності належить дітям-сиротам, дітям, позбавленим батьківського піклування, у житлі, де проживають діти, що перебувають у складних життєвих обставинах.</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suppressLineNumber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2024 році не було звернень щодо погашення заборгованості за комунальні послуги у житлі, яке на праві власності належить дітям-сиротам, дітям, позбавленим батьківського піклування, у житлі, де проживають діти, що перебувають у складних життєвих обставинах.</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25.</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Заходи до Дня захисту дітей, Святого Миколая для дітей-сиріт, дітей, позбавлених батьківського піклування, дітей, які перебувають у складних життєвих обставинах.</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suppressLineNumber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 нагоди Дня захисту дітей проведено акції «Подаруй дитині свято» у с. Сокиричі Луцького району (екскурсія територією кінного клубу, змагання «Веселі старти») та «Творімо добро дітям» з врученням продуктових наборів (100 шт.) на суму 32 790,0 грн.</w:t>
            </w:r>
          </w:p>
          <w:p>
            <w:pPr>
              <w:pStyle w:val="Normal"/>
              <w:widowControl w:val="false"/>
              <w:suppressLineNumbers/>
              <w:tabs>
                <w:tab w:val="clear" w:pos="720"/>
                <w:tab w:val="left" w:pos="556" w:leader="none"/>
                <w:tab w:val="left" w:pos="8222"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Волонтерка Б'єрг-Саковська Мар'яна неодноразово надсилала з-за кордону (Данія) засоби гігієни, одяг, взуття, іграшки для дітей, які прибули з тимчасово окупованих територій або з зони бойових дій (25 осіб), та перерахувала 6 000,0 грн для дітей, які перебувають у складних життєвих обставинах.</w:t>
            </w:r>
          </w:p>
          <w:p>
            <w:pPr>
              <w:pStyle w:val="Normal"/>
              <w:widowControl w:val="false"/>
              <w:suppressLineNumbers/>
              <w:tabs>
                <w:tab w:val="clear" w:pos="720"/>
                <w:tab w:val="left" w:pos="556" w:leader="none"/>
                <w:tab w:val="left" w:pos="8222" w:leader="none"/>
              </w:tabs>
              <w:ind w:firstLine="567"/>
              <w:jc w:val="both"/>
              <w:rPr>
                <w:rFonts w:ascii="Times New Roman" w:hAnsi="Times New Roman"/>
                <w:color w:val="000000"/>
                <w:sz w:val="26"/>
                <w:szCs w:val="26"/>
                <w:lang w:val="uk-UA"/>
              </w:rPr>
            </w:pPr>
            <w:r>
              <w:rPr>
                <w:rFonts w:cs="Mangal" w:ascii="Times New Roman" w:hAnsi="Times New Roman"/>
                <w:color w:val="000000"/>
                <w:sz w:val="26"/>
                <w:szCs w:val="26"/>
                <w:lang w:val="uk-UA"/>
              </w:rPr>
              <w:t xml:space="preserve">До різдвяно-новорічних свят проведено акцію “Подарунок Святого Миколая” із врученням продуктових наборів та солодких подарунків 120 дітям </w:t>
            </w:r>
            <w:r>
              <w:rPr>
                <w:rFonts w:cs="Times New Roman" w:ascii="Times New Roman" w:hAnsi="Times New Roman"/>
                <w:color w:val="000000"/>
                <w:sz w:val="26"/>
                <w:szCs w:val="26"/>
                <w:lang w:val="uk-UA"/>
              </w:rPr>
              <w:t>Луцької міської територіальної громади</w:t>
            </w:r>
            <w:r>
              <w:rPr>
                <w:rFonts w:cs="Mangal" w:ascii="Times New Roman" w:hAnsi="Times New Roman"/>
                <w:color w:val="000000"/>
                <w:sz w:val="26"/>
                <w:szCs w:val="26"/>
                <w:lang w:val="uk-UA"/>
              </w:rPr>
              <w:t xml:space="preserve">, які перебувають у </w:t>
            </w:r>
            <w:r>
              <w:rPr>
                <w:rFonts w:cs="Times New Roman" w:ascii="Times New Roman" w:hAnsi="Times New Roman"/>
                <w:color w:val="000000"/>
                <w:sz w:val="26"/>
                <w:szCs w:val="26"/>
                <w:lang w:val="uk-UA"/>
              </w:rPr>
              <w:t xml:space="preserve">складних життєвих обставинах, </w:t>
            </w:r>
            <w:r>
              <w:rPr>
                <w:rFonts w:cs="Mangal" w:ascii="Times New Roman" w:hAnsi="Times New Roman"/>
                <w:color w:val="000000"/>
                <w:sz w:val="26"/>
                <w:szCs w:val="26"/>
                <w:lang w:val="uk-UA"/>
              </w:rPr>
              <w:t>на суму 60 692,0 грн</w:t>
            </w:r>
            <w:r>
              <w:rPr>
                <w:rFonts w:cs="Times New Roman" w:ascii="Times New Roman" w:hAnsi="Times New Roman"/>
                <w:color w:val="000000"/>
                <w:sz w:val="26"/>
                <w:szCs w:val="26"/>
                <w:lang w:val="uk-UA"/>
              </w:rPr>
              <w:t>.</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26.</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участі працівників служби у судових засіданнях щодо захисту прав та інтересів дітей.</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suppressLineNumbers/>
              <w:tabs>
                <w:tab w:val="clear" w:pos="720"/>
                <w:tab w:val="left" w:pos="556" w:leader="none"/>
                <w:tab w:val="left" w:pos="8222" w:leader="none"/>
              </w:tabs>
              <w:ind w:firstLine="567"/>
              <w:jc w:val="both"/>
              <w:rPr>
                <w:rFonts w:ascii="Times New Roman" w:hAnsi="Times New Roman" w:eastAsia="Andale Sans UI;Arial Unicode MS" w:cs="Tahoma"/>
                <w:color w:val="000000"/>
                <w:sz w:val="26"/>
                <w:szCs w:val="26"/>
                <w:lang w:val="uk-UA"/>
              </w:rPr>
            </w:pPr>
            <w:r>
              <w:rPr>
                <w:rFonts w:eastAsia="Andale Sans UI;Arial Unicode MS" w:cs="Tahoma" w:ascii="Times New Roman" w:hAnsi="Times New Roman"/>
                <w:color w:val="000000"/>
                <w:sz w:val="26"/>
                <w:szCs w:val="26"/>
                <w:lang w:val="uk-UA"/>
              </w:rPr>
              <w:t>У 2024 році представлено інтереси 217 дітей у суді, з них:</w:t>
            </w:r>
          </w:p>
          <w:p>
            <w:pPr>
              <w:pStyle w:val="Normal"/>
              <w:widowControl w:val="false"/>
              <w:suppressLineNumbers/>
              <w:tabs>
                <w:tab w:val="clear" w:pos="720"/>
                <w:tab w:val="left" w:pos="556" w:leader="none"/>
                <w:tab w:val="left" w:pos="8222" w:leader="none"/>
              </w:tabs>
              <w:ind w:firstLine="567"/>
              <w:jc w:val="both"/>
              <w:rPr>
                <w:rFonts w:ascii="Times New Roman" w:hAnsi="Times New Roman" w:eastAsia="Andale Sans UI;Arial Unicode MS" w:cs="Tahoma"/>
                <w:color w:val="000000"/>
                <w:sz w:val="26"/>
                <w:szCs w:val="26"/>
                <w:lang w:val="uk-UA"/>
              </w:rPr>
            </w:pPr>
            <w:r>
              <w:rPr>
                <w:rFonts w:eastAsia="Andale Sans UI;Arial Unicode MS" w:cs="Tahoma" w:ascii="Times New Roman" w:hAnsi="Times New Roman"/>
                <w:color w:val="000000"/>
                <w:sz w:val="26"/>
                <w:szCs w:val="26"/>
                <w:lang w:val="uk-UA"/>
              </w:rPr>
              <w:t>під час розгляду кримінальних справ – 50;</w:t>
            </w:r>
          </w:p>
          <w:p>
            <w:pPr>
              <w:pStyle w:val="Normal"/>
              <w:widowControl w:val="false"/>
              <w:suppressLineNumbers/>
              <w:tabs>
                <w:tab w:val="clear" w:pos="720"/>
                <w:tab w:val="left" w:pos="556" w:leader="none"/>
                <w:tab w:val="left" w:pos="8222" w:leader="none"/>
              </w:tabs>
              <w:ind w:firstLine="567"/>
              <w:jc w:val="both"/>
              <w:rPr>
                <w:rFonts w:ascii="Times New Roman" w:hAnsi="Times New Roman" w:eastAsia="Andale Sans UI;Arial Unicode MS" w:cs="Tahoma"/>
                <w:color w:val="000000"/>
                <w:sz w:val="26"/>
                <w:szCs w:val="26"/>
                <w:lang w:val="uk-UA"/>
              </w:rPr>
            </w:pPr>
            <w:r>
              <w:rPr>
                <w:rFonts w:eastAsia="Andale Sans UI;Arial Unicode MS" w:cs="Tahoma" w:ascii="Times New Roman" w:hAnsi="Times New Roman"/>
                <w:color w:val="000000"/>
                <w:sz w:val="26"/>
                <w:szCs w:val="26"/>
                <w:lang w:val="uk-UA"/>
              </w:rPr>
              <w:t>під час розгляду цивільних справ – 167.</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27.</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аналізу інформації про дітей, які навчаються у закладах інституційного догляду та виховання.</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suppressLineNumber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Для реалізації Національної стратегії реформування системи інституційного догляду та виховання дітей на 2017-2026 роки службою у справах дітей проводиться контроль за виконанням батьками батьківських обов'язків відносно дітей, які повернулись у сім'ї з інтернатних закладів.</w:t>
            </w:r>
          </w:p>
          <w:p>
            <w:pPr>
              <w:pStyle w:val="Normal"/>
              <w:widowControl w:val="false"/>
              <w:suppressLineNumber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серпні 2024 року у громаді почала функціонувати патронатна сім'я, куди було влаштовано 4 дитини. Ведеться активна рекламна робота щодо розвитку послуги патронату над дитиною з метою недопущення потрапляння дітей до інституційних закладів у разі неможливості виконання їх батьками батьківських обов'язків.</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28.</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випадку реальної загрози життю та здоров'ю дітей у проблемних сім'ях, вилучення дітей з таких сімей та влаштування їх у заклади соціального захисту, порушення питання про притягнення батьків до адміністративної відповідальності.</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suppressLineNumbers/>
              <w:tabs>
                <w:tab w:val="clear" w:pos="720"/>
                <w:tab w:val="left" w:pos="556" w:leader="none"/>
                <w:tab w:val="left" w:pos="8222" w:leader="none"/>
              </w:tabs>
              <w:ind w:firstLine="567"/>
              <w:jc w:val="both"/>
              <w:rPr>
                <w:rFonts w:ascii="Times New Roman" w:hAnsi="Times New Roman"/>
                <w:color w:val="000000"/>
                <w:sz w:val="26"/>
                <w:szCs w:val="26"/>
                <w:lang w:val="uk-UA"/>
              </w:rPr>
            </w:pPr>
            <w:r>
              <w:rPr>
                <w:rFonts w:eastAsia="Andale Sans UI;Arial Unicode MS" w:cs="Tahoma" w:ascii="Times New Roman" w:hAnsi="Times New Roman"/>
                <w:color w:val="000000"/>
                <w:sz w:val="26"/>
                <w:szCs w:val="26"/>
                <w:lang w:val="uk-UA"/>
              </w:rPr>
              <w:t>Станом на 31.12.2024 на облік службою у справах дітей взято 148 дітей, які перебувають у складних життєвих обставинах (діти, які самовільно залишають місце навчання та проживання, діти які виховуються в сім’ях, у яких батьки або особи, що їх заміняють, ухиляються від виконання батьківських обов'язків, діти, щодо яких скоєно насильство та інші категорії).</w:t>
            </w:r>
          </w:p>
          <w:p>
            <w:pPr>
              <w:pStyle w:val="Normal"/>
              <w:widowControl w:val="false"/>
              <w:suppressLineNumbers/>
              <w:tabs>
                <w:tab w:val="clear" w:pos="720"/>
                <w:tab w:val="left" w:pos="556" w:leader="none"/>
                <w:tab w:val="left" w:pos="8222" w:leader="none"/>
              </w:tabs>
              <w:ind w:firstLine="567"/>
              <w:jc w:val="both"/>
              <w:rPr>
                <w:rFonts w:ascii="Times New Roman" w:hAnsi="Times New Roman" w:eastAsia="Andale Sans UI;Arial Unicode MS" w:cs="Tahoma"/>
                <w:color w:val="000000"/>
                <w:sz w:val="26"/>
                <w:szCs w:val="26"/>
                <w:lang w:val="uk-UA"/>
              </w:rPr>
            </w:pPr>
            <w:r>
              <w:rPr>
                <w:rFonts w:eastAsia="Andale Sans UI;Arial Unicode MS" w:cs="Tahoma" w:ascii="Times New Roman" w:hAnsi="Times New Roman"/>
                <w:color w:val="000000"/>
                <w:sz w:val="26"/>
                <w:szCs w:val="26"/>
                <w:lang w:val="uk-UA"/>
              </w:rPr>
              <w:t>У звітному періоді, у зв'язку із загрозою життю та здоров'ю, від батьків було відібрано одну дитину. Проведено 28 рейдів, в ході яких виявлено 22 дитини, які залишились без батьківського піклування або самовільно залишили місце постійного проживання. Вони були влаштовані до Притулку для дітей служби у справах дітей Волинської ОДА та до КУ “Волинський обласний центр соціально-психологічної реабілітації дітей”.</w:t>
            </w:r>
          </w:p>
          <w:p>
            <w:pPr>
              <w:pStyle w:val="Normal"/>
              <w:widowControl w:val="false"/>
              <w:suppressLineNumbers/>
              <w:tabs>
                <w:tab w:val="clear" w:pos="720"/>
                <w:tab w:val="left" w:pos="556" w:leader="none"/>
                <w:tab w:val="left" w:pos="8222" w:leader="none"/>
              </w:tabs>
              <w:ind w:firstLine="567"/>
              <w:jc w:val="both"/>
              <w:rPr>
                <w:rFonts w:ascii="Times New Roman" w:hAnsi="Times New Roman" w:eastAsia="Andale Sans UI;Arial Unicode MS" w:cs="Tahoma"/>
                <w:color w:val="000000"/>
                <w:sz w:val="26"/>
                <w:szCs w:val="26"/>
                <w:lang w:val="uk-UA"/>
              </w:rPr>
            </w:pPr>
            <w:r>
              <w:rPr>
                <w:rFonts w:eastAsia="Andale Sans UI;Arial Unicode MS" w:cs="Tahoma" w:ascii="Times New Roman" w:hAnsi="Times New Roman"/>
                <w:color w:val="000000"/>
                <w:sz w:val="26"/>
                <w:szCs w:val="26"/>
                <w:lang w:val="uk-UA"/>
              </w:rPr>
              <w:t>До Луцького РУП ГУНП у Волинській області направлено 22 пакети матеріалів для оформлення протоколів за ст. 184 КУпАП (ухилення батьків від виконання своїх обов’язків щодо виховання та утримання дітей).</w:t>
            </w:r>
          </w:p>
          <w:p>
            <w:pPr>
              <w:pStyle w:val="Normal"/>
              <w:widowControl w:val="false"/>
              <w:suppressLineNumbers/>
              <w:tabs>
                <w:tab w:val="clear" w:pos="720"/>
                <w:tab w:val="left" w:pos="556" w:leader="none"/>
                <w:tab w:val="left" w:pos="8222" w:leader="none"/>
              </w:tabs>
              <w:ind w:firstLine="567"/>
              <w:jc w:val="both"/>
              <w:rPr>
                <w:rFonts w:ascii="Times New Roman" w:hAnsi="Times New Roman"/>
                <w:color w:val="000000"/>
                <w:sz w:val="26"/>
                <w:szCs w:val="26"/>
                <w:lang w:val="uk-UA"/>
              </w:rPr>
            </w:pPr>
            <w:r>
              <w:rPr>
                <w:rFonts w:eastAsia="Andale Sans UI;Arial Unicode MS" w:cs="Tahoma" w:ascii="Times New Roman" w:hAnsi="Times New Roman"/>
                <w:color w:val="000000"/>
                <w:sz w:val="26"/>
                <w:szCs w:val="26"/>
                <w:lang w:val="uk-UA"/>
              </w:rPr>
              <w:t>Проведено: 314 виховних та попереджувально-виховних заходів; 530 індивідуальних профілактичних бесід; 1 050 індивідуальних консультацій.</w:t>
            </w:r>
          </w:p>
          <w:p>
            <w:pPr>
              <w:pStyle w:val="Normal"/>
              <w:widowControl w:val="false"/>
              <w:suppressLineNumbers/>
              <w:tabs>
                <w:tab w:val="clear" w:pos="720"/>
                <w:tab w:val="left" w:pos="556" w:leader="none"/>
                <w:tab w:val="left" w:pos="8222" w:leader="none"/>
              </w:tabs>
              <w:ind w:firstLine="567"/>
              <w:jc w:val="both"/>
              <w:rPr>
                <w:rFonts w:ascii="Times New Roman" w:hAnsi="Times New Roman"/>
                <w:color w:val="000000"/>
                <w:sz w:val="26"/>
                <w:szCs w:val="26"/>
                <w:lang w:val="uk-UA"/>
              </w:rPr>
            </w:pPr>
            <w:r>
              <w:rPr>
                <w:rFonts w:eastAsia="Andale Sans UI;Arial Unicode MS" w:cs="Tahoma" w:ascii="Times New Roman" w:hAnsi="Times New Roman"/>
                <w:color w:val="000000"/>
                <w:sz w:val="26"/>
                <w:szCs w:val="26"/>
                <w:lang w:val="uk-UA"/>
              </w:rPr>
              <w:t>Обстежено умови проживання 1 790 дітей, які проживають у сім'ях, що перебувають у складних життєвих обставинах, багатодітних сім</w:t>
            </w:r>
            <w:r>
              <w:rPr>
                <w:rFonts w:eastAsia="Andale Sans UI;Arial Unicode MS" w:cs="Times New Roman" w:ascii="Times New Roman" w:hAnsi="Times New Roman"/>
                <w:color w:val="000000"/>
                <w:sz w:val="26"/>
                <w:szCs w:val="26"/>
                <w:lang w:val="uk-UA"/>
              </w:rPr>
              <w:t>'</w:t>
            </w:r>
            <w:r>
              <w:rPr>
                <w:rFonts w:eastAsia="Andale Sans UI;Arial Unicode MS" w:cs="Tahoma" w:ascii="Times New Roman" w:hAnsi="Times New Roman"/>
                <w:color w:val="000000"/>
                <w:sz w:val="26"/>
                <w:szCs w:val="26"/>
                <w:lang w:val="uk-UA"/>
              </w:rPr>
              <w:t>ях, у сім</w:t>
            </w:r>
            <w:r>
              <w:rPr>
                <w:rFonts w:eastAsia="Andale Sans UI;Arial Unicode MS" w:cs="Times New Roman" w:ascii="Times New Roman" w:hAnsi="Times New Roman"/>
                <w:color w:val="000000"/>
                <w:sz w:val="26"/>
                <w:szCs w:val="26"/>
                <w:lang w:val="uk-UA"/>
              </w:rPr>
              <w:t>'</w:t>
            </w:r>
            <w:r>
              <w:rPr>
                <w:rFonts w:eastAsia="Andale Sans UI;Arial Unicode MS" w:cs="Tahoma" w:ascii="Times New Roman" w:hAnsi="Times New Roman"/>
                <w:color w:val="000000"/>
                <w:sz w:val="26"/>
                <w:szCs w:val="26"/>
                <w:lang w:val="uk-UA"/>
              </w:rPr>
              <w:t>ях, де вчиняється насильство тощо.</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29.</w:t>
            </w:r>
          </w:p>
        </w:tc>
        <w:tc>
          <w:tcPr>
            <w:tcW w:w="3727"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У випадку вичерпання всіх заходів педагогічного та адміністративного впливу на батьків, які не займаються вихованням та утриманням дітей, підготовка матеріалів для подання позовної заяви у суд на позбавлення їх батьківських прав.</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suppressLineNumbers/>
              <w:tabs>
                <w:tab w:val="clear" w:pos="720"/>
                <w:tab w:val="left" w:pos="556" w:leader="none"/>
                <w:tab w:val="left" w:pos="8222" w:leader="none"/>
              </w:tabs>
              <w:ind w:firstLine="567"/>
              <w:jc w:val="both"/>
              <w:rPr>
                <w:rFonts w:ascii="Times New Roman" w:hAnsi="Times New Roman" w:cs="Tahoma"/>
                <w:color w:val="000000"/>
                <w:sz w:val="26"/>
                <w:szCs w:val="26"/>
                <w:lang w:val="uk-UA"/>
              </w:rPr>
            </w:pPr>
            <w:r>
              <w:rPr>
                <w:rFonts w:eastAsia="Andale Sans UI;Arial Unicode MS" w:cs="Tahoma" w:ascii="Times New Roman" w:hAnsi="Times New Roman"/>
                <w:color w:val="000000"/>
                <w:sz w:val="26"/>
                <w:szCs w:val="26"/>
                <w:lang w:val="uk-UA"/>
              </w:rPr>
              <w:t>У 2024 році службою у справах дітей підготовлено і передано до суду 14 позовних заяв щодо позбавлення батьків батьківських прав відносно 23 дітей.</w:t>
            </w:r>
          </w:p>
        </w:tc>
      </w:tr>
      <w:tr>
        <w:trPr>
          <w:trHeight w:val="288" w:hRule="atLeast"/>
        </w:trPr>
        <w:tc>
          <w:tcPr>
            <w:tcW w:w="615"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tc>
        <w:tc>
          <w:tcPr>
            <w:tcW w:w="3727" w:type="dxa"/>
            <w:tcBorders>
              <w:left w:val="single" w:sz="4" w:space="0" w:color="000000"/>
              <w:bottom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Додатково</w:t>
            </w:r>
          </w:p>
        </w:tc>
        <w:tc>
          <w:tcPr>
            <w:tcW w:w="10741" w:type="dxa"/>
            <w:tcBorders>
              <w:left w:val="single" w:sz="4" w:space="0" w:color="000000"/>
              <w:bottom w:val="single" w:sz="4" w:space="0" w:color="000000"/>
              <w:right w:val="single" w:sz="4" w:space="0" w:color="000000"/>
            </w:tcBorders>
            <w:shd w:fill="auto" w:val="clear"/>
          </w:tcPr>
          <w:p>
            <w:pPr>
              <w:pStyle w:val="Normal"/>
              <w:widowControl w:val="false"/>
              <w:suppressLineNumbers/>
              <w:tabs>
                <w:tab w:val="clear" w:pos="720"/>
                <w:tab w:val="left" w:pos="556" w:leader="none"/>
                <w:tab w:val="left" w:pos="8222" w:leader="none"/>
              </w:tabs>
              <w:ind w:firstLine="567"/>
              <w:jc w:val="both"/>
              <w:rPr>
                <w:rFonts w:ascii="Times New Roman" w:hAnsi="Times New Roman" w:eastAsia="Andale Sans UI;Arial Unicode MS"/>
                <w:color w:val="000000"/>
                <w:sz w:val="26"/>
                <w:szCs w:val="26"/>
                <w:lang w:val="uk-UA"/>
              </w:rPr>
            </w:pPr>
            <w:r>
              <w:rPr>
                <w:rFonts w:eastAsia="Andale Sans UI;Arial Unicode MS" w:cs="Tahoma" w:ascii="Times New Roman" w:hAnsi="Times New Roman"/>
                <w:color w:val="000000"/>
                <w:sz w:val="26"/>
                <w:szCs w:val="26"/>
                <w:lang w:val="uk-UA"/>
              </w:rPr>
              <w:t xml:space="preserve">Службою у справах дітей постійно ведеться облік переміщених під час війни дітей-сиріт та дітей, позбавлених батьківського піклування (виїзд за кордон, місце перебування за кордоном, постановка на консульський облік, повернення в Україну); також </w:t>
            </w:r>
            <w:r>
              <w:rPr>
                <w:rFonts w:eastAsia="Andale Sans UI;Arial Unicode MS" w:ascii="Times New Roman" w:hAnsi="Times New Roman"/>
                <w:color w:val="000000"/>
                <w:sz w:val="26"/>
                <w:szCs w:val="26"/>
                <w:lang w:val="uk-UA"/>
              </w:rPr>
              <w:t>надаються консультації військовослужбовцям щодо захисту прав та інтересів їх дітей.</w:t>
            </w:r>
          </w:p>
          <w:p>
            <w:pPr>
              <w:pStyle w:val="Normal"/>
              <w:widowControl w:val="false"/>
              <w:suppressLineNumbers/>
              <w:tabs>
                <w:tab w:val="clear" w:pos="720"/>
                <w:tab w:val="left" w:pos="556" w:leader="none"/>
                <w:tab w:val="left" w:pos="8222" w:leader="none"/>
              </w:tabs>
              <w:ind w:firstLine="567"/>
              <w:jc w:val="both"/>
              <w:rPr>
                <w:rFonts w:ascii="Times New Roman" w:hAnsi="Times New Roman" w:eastAsia="Andale Sans UI;Arial Unicode MS" w:cs="Tahoma"/>
                <w:color w:val="000000"/>
                <w:sz w:val="26"/>
                <w:szCs w:val="26"/>
                <w:lang w:val="uk-UA"/>
              </w:rPr>
            </w:pPr>
            <w:r>
              <w:rPr>
                <w:rFonts w:eastAsia="Andale Sans UI;Arial Unicode MS" w:cs="Tahoma" w:ascii="Times New Roman" w:hAnsi="Times New Roman"/>
                <w:color w:val="000000"/>
                <w:sz w:val="26"/>
                <w:szCs w:val="26"/>
                <w:lang w:val="uk-UA"/>
              </w:rPr>
              <w:t>Потягом 2024 року 277 дітям надано статус дітей, які постраждали внаслідок воєнних дій і збройних конфліктів. Отримала статус дитини, позбавленої батьківського піклування, одна внутрішньо переміщена дитина.</w:t>
            </w:r>
          </w:p>
          <w:p>
            <w:pPr>
              <w:pStyle w:val="Normal"/>
              <w:widowControl w:val="false"/>
              <w:suppressLineNumbers/>
              <w:tabs>
                <w:tab w:val="clear" w:pos="720"/>
                <w:tab w:val="left" w:pos="556" w:leader="none"/>
                <w:tab w:val="left" w:pos="8222" w:leader="none"/>
              </w:tabs>
              <w:ind w:firstLine="567"/>
              <w:jc w:val="both"/>
              <w:rPr>
                <w:rFonts w:ascii="Times New Roman" w:hAnsi="Times New Roman" w:cs="Tahoma"/>
                <w:color w:val="000000"/>
                <w:sz w:val="26"/>
                <w:szCs w:val="26"/>
                <w:lang w:val="uk-UA"/>
              </w:rPr>
            </w:pPr>
            <w:r>
              <w:rPr>
                <w:rFonts w:eastAsia="Andale Sans UI;Arial Unicode MS" w:cs="Tahoma" w:ascii="Times New Roman" w:hAnsi="Times New Roman"/>
                <w:color w:val="000000"/>
                <w:sz w:val="26"/>
                <w:szCs w:val="26"/>
                <w:lang w:val="uk-UA"/>
              </w:rPr>
              <w:t>Продовжує функціонувати дитячий будинок сімейного типу з м. Запоріжжя, на даний момент у ньому перебуває 10 вихованців.</w:t>
            </w:r>
          </w:p>
          <w:p>
            <w:pPr>
              <w:pStyle w:val="Normal"/>
              <w:widowControl w:val="false"/>
              <w:suppressLineNumbers/>
              <w:tabs>
                <w:tab w:val="clear" w:pos="720"/>
                <w:tab w:val="left" w:pos="556" w:leader="none"/>
                <w:tab w:val="left" w:pos="8222" w:leader="none"/>
              </w:tabs>
              <w:ind w:firstLine="567"/>
              <w:jc w:val="both"/>
              <w:rPr>
                <w:rFonts w:ascii="Times New Roman" w:hAnsi="Times New Roman"/>
                <w:color w:val="000000"/>
                <w:sz w:val="26"/>
                <w:szCs w:val="26"/>
                <w:lang w:val="uk-UA"/>
              </w:rPr>
            </w:pPr>
            <w:r>
              <w:rPr>
                <w:rFonts w:eastAsia="Andale Sans UI;Arial Unicode MS" w:cs="Tahoma" w:ascii="Times New Roman" w:hAnsi="Times New Roman"/>
                <w:color w:val="000000"/>
                <w:sz w:val="26"/>
                <w:szCs w:val="26"/>
                <w:lang w:val="uk-UA"/>
              </w:rPr>
              <w:t>У червні та жовтні 2024 року виконавчим комітетом Луцької міської ради створені два дитячих будинки сімейного типу (сім’ї та одинокої жінки, які внутрішньо переміщені) та влаштовано у них 8 внутрішньо переміщених дітей. За кошти субвенції з державного бюджету у грудні 2024 року придбано будинок для одного з цих дитячих будинків сімейного типу за адресою: м. Луцьк, вул. Боровиковського, 3б.</w:t>
            </w:r>
          </w:p>
        </w:tc>
      </w:tr>
    </w:tbl>
    <w:p>
      <w:pPr>
        <w:pStyle w:val="Normal"/>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3.3.6. Культура</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49"/>
        <w:gridCol w:w="3809"/>
        <w:gridCol w:w="10775"/>
      </w:tblGrid>
      <w:tr>
        <w:trPr>
          <w:trHeight w:val="615" w:hRule="atLeast"/>
        </w:trPr>
        <w:tc>
          <w:tcPr>
            <w:tcW w:w="549"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09"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4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09"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30"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Проведення ремонтних робіт, забезпечення закладів культури необхідним обладнанням, інвентарем, технічними засобами тощо; проведення заходів, спрямованих на дотримання норм безпеки та захисту життя у зв’язку з особливими умовами воєнного стану.</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Протягом звітного року матеріально-технічне забезпечення закладів культури та проведення ремонтних робіт здійснено на суму 5 174,1 тис. грн, в т. ч.:</w:t>
            </w:r>
          </w:p>
          <w:p>
            <w:pPr>
              <w:pStyle w:val="ListParagraph"/>
              <w:widowControl w:val="false"/>
              <w:ind w:left="0"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КЗ «Публічна бібліотека Луцької міської територіальної громади» придбано літературу та здійснено підписку періодичних видань; проведено ремонт книгосховища бібліотеки-філії № 6, капітальний ремонт приміщення бібліотеки-філії № 10 (1 534,4 тис. грн);</w:t>
            </w:r>
          </w:p>
          <w:p>
            <w:pPr>
              <w:pStyle w:val="Normal"/>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КО «Музей історії сільського господарства Волині-скансен»</w:t>
            </w:r>
            <w:r>
              <w:rPr>
                <w:rFonts w:eastAsia="Calibri" w:cs="Times New Roman" w:ascii="Times New Roman" w:hAnsi="Times New Roman"/>
                <w:b/>
                <w:color w:val="000000"/>
                <w:kern w:val="0"/>
                <w:sz w:val="26"/>
                <w:szCs w:val="26"/>
                <w:lang w:val="uk-UA" w:eastAsia="en-US" w:bidi="ar-SA"/>
              </w:rPr>
              <w:t xml:space="preserve"> </w:t>
            </w:r>
            <w:r>
              <w:rPr>
                <w:rFonts w:eastAsia="Calibri" w:cs="Times New Roman" w:ascii="Times New Roman" w:hAnsi="Times New Roman"/>
                <w:color w:val="000000"/>
                <w:kern w:val="0"/>
                <w:sz w:val="26"/>
                <w:szCs w:val="26"/>
                <w:lang w:val="uk-UA" w:eastAsia="en-US" w:bidi="ar-SA"/>
              </w:rPr>
              <w:t>проведено ремонт пам’яток дерев’яної архітектури, рекреаційних місць на суму 229,6 тис. грн;</w:t>
            </w:r>
          </w:p>
          <w:p>
            <w:pPr>
              <w:pStyle w:val="Normal"/>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КЗ «Центр культури Княгининок»</w:t>
            </w:r>
            <w:r>
              <w:rPr>
                <w:rFonts w:eastAsia="Calibri" w:cs="Times New Roman" w:ascii="Times New Roman" w:hAnsi="Times New Roman"/>
                <w:b/>
                <w:color w:val="000000"/>
                <w:kern w:val="0"/>
                <w:sz w:val="26"/>
                <w:szCs w:val="26"/>
                <w:lang w:val="uk-UA" w:eastAsia="en-US" w:bidi="ar-SA"/>
              </w:rPr>
              <w:t> </w:t>
            </w:r>
            <w:r>
              <w:rPr>
                <w:rFonts w:eastAsia="Calibri" w:cs="Times New Roman" w:ascii="Times New Roman" w:hAnsi="Times New Roman"/>
                <w:color w:val="000000"/>
                <w:kern w:val="0"/>
                <w:sz w:val="26"/>
                <w:szCs w:val="26"/>
                <w:lang w:val="uk-UA" w:eastAsia="en-US" w:bidi="ar-SA"/>
              </w:rPr>
              <w:t xml:space="preserve"> на суму 1 317,4 тис. грн проведено поточний ремонт електромереж та ремонт сходів приміщення Будинку культури сел. Рокині; встановлено двері, придбано теплові кондиціонери (2 шт.), інфрачервоний обігрівач, проведено заміну аварійних дверей запасного входу клубу с. Іванчиці; виготовлено ПКД та придбано товари для встановлення пожежної сигналізації у клубі с. Милуші; проведено поточний ремонт фасаду Будинку культури с. Жидичин, поточний ремонт запасного виходу Будинку культури с. Боголюби; встановлено відеонагляд Будинку культури с. Боголюби; придбано ноутбуки (3 шт.) для будинків культури сіл Забороль, Прилуцьке, Боголюби, стільці (20 шт.) для Будинку культури с. Забороль та інше;</w:t>
            </w:r>
          </w:p>
          <w:p>
            <w:pPr>
              <w:pStyle w:val="ListParagraph"/>
              <w:widowControl w:val="false"/>
              <w:ind w:left="0"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КЗ «Палац культури міста Луцька»</w:t>
            </w:r>
            <w:r>
              <w:rPr>
                <w:rFonts w:eastAsia="Calibri" w:cs="Times New Roman" w:ascii="Times New Roman" w:hAnsi="Times New Roman"/>
                <w:b/>
                <w:color w:val="000000"/>
                <w:kern w:val="0"/>
                <w:sz w:val="26"/>
                <w:szCs w:val="26"/>
                <w:lang w:val="uk-UA" w:eastAsia="en-US" w:bidi="ar-SA"/>
              </w:rPr>
              <w:t xml:space="preserve"> </w:t>
            </w:r>
            <w:r>
              <w:rPr>
                <w:rFonts w:eastAsia="Calibri" w:cs="Times New Roman" w:ascii="Times New Roman" w:hAnsi="Times New Roman"/>
                <w:color w:val="000000"/>
                <w:kern w:val="0"/>
                <w:sz w:val="26"/>
                <w:szCs w:val="26"/>
                <w:lang w:val="uk-UA" w:eastAsia="en-US" w:bidi="ar-SA"/>
              </w:rPr>
              <w:t>придбано ноутбук для КМЦ Красне, комп'ютерний набір, принтер та проєктор для Палацу культури, радіомікрофони (2 шт.), акустичні системи (2 шт.), колонки, зарядні станції (2 шт.), системи для прасування костюмів (2 шт.), сценічні костюми для колективів КМЦ Красне та Палацу культури; проведено поточний ремонт системи водопостачання в будинку культури мікрорайону Вересневе; поточний ремонт вузлів обліку теплової енергії і заміну теплових лічильників у Палаці культури та інше (всього на суму 689,4 тис. грн).</w:t>
            </w:r>
          </w:p>
          <w:p>
            <w:pPr>
              <w:pStyle w:val="ListParagraph"/>
              <w:widowControl w:val="false"/>
              <w:ind w:left="0"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У Луцькій музичній школі № 1 імені Ф. Шопена проведено: поточний ремонт зі встановлення протипожежних дверей в архів, поточний ремонт та облаштування пандусу і покриття сходової частини, приєднання електроустановок до електромереж та влаштування 3-го вузла комерційного обліку, ремонт музичних інструментів. Також придбано ноутбуки (3 шт.), цифрове піаніно (2 шт.), музінструменти. Для Луцької музичної школи № 2 придбано смарт ТV, музінструменти, крісла офісні, банкетки, стільці, акустичні системи тощо. У Луцькій музичній школі № 3 проведено поточний ремонт сходової клітки, тамбуру входу, коридору, класів, фасаду приміщення школи, ремонт музінструментів та придбано музінструменти. Для Луцької художньої школи придбано кондиціонери та меблі, встановлено камери відеонагляду і тривожну кнопку. Для Княгининівської школи мистецтв придбано ноутбук з комплектуючими. Всього видатки на мистецькі школи склали 1 403,3 тис. грн.</w:t>
            </w:r>
          </w:p>
        </w:tc>
      </w:tr>
      <w:tr>
        <w:trPr>
          <w:trHeight w:val="5550" w:hRule="atLeast"/>
        </w:trPr>
        <w:tc>
          <w:tcPr>
            <w:tcW w:w="54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09"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проєкту «Інклюзивний простір у закладах культури».</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 xml:space="preserve">З метою забезпечення доступності культурних послуг для осіб з особливими потребами та інших маломобільних груп населення, заклади культури облаштовано засобами безперешкодного доступу відповідно до вимог безбар’єрності: пандуси, понижені пороги, кнопки виклику, </w:t>
            </w:r>
            <w:r>
              <w:rPr>
                <w:rFonts w:eastAsia="Times New Roman" w:cs="Times New Roman" w:ascii="Times New Roman" w:hAnsi="Times New Roman"/>
                <w:color w:val="000000"/>
                <w:kern w:val="0"/>
                <w:sz w:val="26"/>
                <w:szCs w:val="26"/>
                <w:lang w:val="uk-UA" w:eastAsia="en-US" w:bidi="ar-SA"/>
              </w:rPr>
              <w:t>облаштовано с</w:t>
            </w:r>
            <w:r>
              <w:rPr>
                <w:rFonts w:eastAsia="Times New Roman" w:cs="Times New Roman" w:ascii="Times New Roman" w:hAnsi="Times New Roman"/>
                <w:color w:val="000000"/>
                <w:spacing w:val="-1"/>
                <w:kern w:val="0"/>
                <w:sz w:val="26"/>
                <w:szCs w:val="26"/>
                <w:lang w:val="uk-UA" w:eastAsia="en-US" w:bidi="ar-SA"/>
              </w:rPr>
              <w:t xml:space="preserve">анітарно-гігієнічні </w:t>
            </w:r>
            <w:r>
              <w:rPr>
                <w:rFonts w:eastAsia="Times New Roman" w:cs="Times New Roman" w:ascii="Times New Roman" w:hAnsi="Times New Roman"/>
                <w:color w:val="000000"/>
                <w:kern w:val="0"/>
                <w:sz w:val="26"/>
                <w:szCs w:val="26"/>
                <w:lang w:val="uk-UA" w:eastAsia="en-US" w:bidi="ar-SA"/>
              </w:rPr>
              <w:t>кімнати</w:t>
            </w:r>
            <w:r>
              <w:rPr>
                <w:rFonts w:eastAsia="Calibri" w:cs="Times New Roman" w:ascii="Times New Roman" w:hAnsi="Times New Roman"/>
                <w:color w:val="000000"/>
                <w:kern w:val="0"/>
                <w:sz w:val="26"/>
                <w:szCs w:val="26"/>
                <w:lang w:val="uk-UA" w:eastAsia="en-US" w:bidi="ar-SA"/>
              </w:rPr>
              <w:t>. Функціонує версія сайту КЗ «Луцька централізована бібліотечна система» для слабозорих осіб, у бібліотечних фондах наявні книги, написані шрифтом Брайля.</w:t>
            </w:r>
          </w:p>
          <w:p>
            <w:pPr>
              <w:pStyle w:val="Normal"/>
              <w:widowControl w:val="false"/>
              <w:ind w:firstLine="567"/>
              <w:jc w:val="both"/>
              <w:rPr>
                <w:rFonts w:ascii="Times New Roman" w:hAnsi="Times New Roman"/>
                <w:color w:val="000000"/>
                <w:sz w:val="26"/>
                <w:szCs w:val="26"/>
                <w:lang w:val="uk-UA" w:eastAsia="en-US"/>
              </w:rPr>
            </w:pPr>
            <w:r>
              <w:rPr>
                <w:rFonts w:eastAsia="Times New Roman" w:cs="Times New Roman" w:ascii="Times New Roman" w:hAnsi="Times New Roman"/>
                <w:color w:val="000000"/>
                <w:kern w:val="0"/>
                <w:sz w:val="26"/>
                <w:szCs w:val="26"/>
                <w:lang w:val="uk-UA" w:eastAsia="en-US" w:bidi="ar-SA"/>
              </w:rPr>
              <w:t xml:space="preserve">У </w:t>
            </w:r>
            <w:r>
              <w:rPr>
                <w:rFonts w:eastAsia="Times New Roman" w:cs="Times New Roman" w:ascii="Times New Roman" w:hAnsi="Times New Roman"/>
                <w:color w:val="000000"/>
                <w:spacing w:val="-1"/>
                <w:kern w:val="0"/>
                <w:sz w:val="26"/>
                <w:szCs w:val="26"/>
                <w:lang w:val="uk-UA" w:eastAsia="en-US" w:bidi="ar-SA"/>
              </w:rPr>
              <w:t xml:space="preserve">бібліотеках </w:t>
            </w:r>
            <w:r>
              <w:rPr>
                <w:rFonts w:eastAsia="Times New Roman" w:cs="Times New Roman" w:ascii="Times New Roman" w:hAnsi="Times New Roman"/>
                <w:color w:val="000000"/>
                <w:kern w:val="0"/>
                <w:sz w:val="26"/>
                <w:szCs w:val="26"/>
                <w:lang w:val="uk-UA" w:eastAsia="en-US" w:bidi="ar-SA"/>
              </w:rPr>
              <w:t xml:space="preserve">проходять творчі заняття з </w:t>
            </w:r>
            <w:r>
              <w:rPr>
                <w:rFonts w:eastAsia="Times New Roman" w:cs="Times New Roman" w:ascii="Times New Roman" w:hAnsi="Times New Roman"/>
                <w:color w:val="000000"/>
                <w:spacing w:val="-1"/>
                <w:kern w:val="0"/>
                <w:sz w:val="26"/>
                <w:szCs w:val="26"/>
                <w:lang w:val="uk-UA" w:eastAsia="en-US" w:bidi="ar-SA"/>
              </w:rPr>
              <w:t xml:space="preserve">волонтерами Волинської </w:t>
            </w:r>
            <w:r>
              <w:rPr>
                <w:rFonts w:eastAsia="Times New Roman" w:cs="Times New Roman" w:ascii="Times New Roman" w:hAnsi="Times New Roman"/>
                <w:color w:val="000000"/>
                <w:kern w:val="0"/>
                <w:sz w:val="26"/>
                <w:szCs w:val="26"/>
                <w:lang w:val="uk-UA" w:eastAsia="en-US" w:bidi="ar-SA"/>
              </w:rPr>
              <w:t xml:space="preserve">організації Товариства Червоного Хреста, в </w:t>
            </w:r>
            <w:r>
              <w:rPr>
                <w:rFonts w:eastAsia="Times New Roman" w:cs="Times New Roman" w:ascii="Times New Roman" w:hAnsi="Times New Roman"/>
                <w:color w:val="000000"/>
                <w:spacing w:val="-1"/>
                <w:kern w:val="0"/>
                <w:sz w:val="26"/>
                <w:szCs w:val="26"/>
                <w:lang w:val="uk-UA" w:eastAsia="en-US" w:bidi="ar-SA"/>
              </w:rPr>
              <w:t xml:space="preserve">рамках проєкту «Психосоціальна підтримка», </w:t>
            </w:r>
            <w:r>
              <w:rPr>
                <w:rFonts w:eastAsia="Times New Roman" w:cs="Times New Roman" w:ascii="Times New Roman" w:hAnsi="Times New Roman"/>
                <w:color w:val="000000"/>
                <w:kern w:val="0"/>
                <w:sz w:val="26"/>
                <w:szCs w:val="26"/>
                <w:lang w:val="uk-UA" w:eastAsia="en-US" w:bidi="ar-SA"/>
              </w:rPr>
              <w:t>налагоджено</w:t>
            </w:r>
            <w:r>
              <w:rPr>
                <w:rFonts w:eastAsia="Times New Roman" w:cs="Times New Roman" w:ascii="Times New Roman" w:hAnsi="Times New Roman"/>
                <w:color w:val="000000"/>
                <w:spacing w:val="101"/>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 xml:space="preserve">тісну співпрацю з територіальним центром </w:t>
            </w:r>
            <w:r>
              <w:rPr>
                <w:rFonts w:eastAsia="Times New Roman" w:cs="Times New Roman" w:ascii="Times New Roman" w:hAnsi="Times New Roman"/>
                <w:color w:val="000000"/>
                <w:spacing w:val="-1"/>
                <w:kern w:val="0"/>
                <w:sz w:val="26"/>
                <w:szCs w:val="26"/>
                <w:lang w:val="uk-UA" w:eastAsia="en-US" w:bidi="ar-SA"/>
              </w:rPr>
              <w:t xml:space="preserve">соціального обслуговування (надання соціальних </w:t>
            </w:r>
            <w:r>
              <w:rPr>
                <w:rFonts w:eastAsia="Times New Roman" w:cs="Times New Roman" w:ascii="Times New Roman" w:hAnsi="Times New Roman"/>
                <w:color w:val="000000"/>
                <w:kern w:val="0"/>
                <w:sz w:val="26"/>
                <w:szCs w:val="26"/>
                <w:lang w:val="uk-UA" w:eastAsia="en-US" w:bidi="ar-SA"/>
              </w:rPr>
              <w:t xml:space="preserve">послуг) </w:t>
            </w:r>
            <w:r>
              <w:rPr>
                <w:rFonts w:eastAsia="Times New Roman" w:cs="Times New Roman" w:ascii="Times New Roman" w:hAnsi="Times New Roman"/>
                <w:color w:val="000000"/>
                <w:spacing w:val="-1"/>
                <w:kern w:val="0"/>
                <w:sz w:val="26"/>
                <w:szCs w:val="26"/>
                <w:lang w:val="uk-UA" w:eastAsia="en-US" w:bidi="ar-SA"/>
              </w:rPr>
              <w:t xml:space="preserve">міської </w:t>
            </w:r>
            <w:r>
              <w:rPr>
                <w:rFonts w:eastAsia="Times New Roman" w:cs="Times New Roman" w:ascii="Times New Roman" w:hAnsi="Times New Roman"/>
                <w:color w:val="000000"/>
                <w:kern w:val="0"/>
                <w:sz w:val="26"/>
                <w:szCs w:val="26"/>
                <w:lang w:val="uk-UA" w:eastAsia="en-US" w:bidi="ar-SA"/>
              </w:rPr>
              <w:t xml:space="preserve">територіальної </w:t>
            </w:r>
            <w:r>
              <w:rPr>
                <w:rFonts w:eastAsia="Times New Roman" w:cs="Times New Roman" w:ascii="Times New Roman" w:hAnsi="Times New Roman"/>
                <w:color w:val="000000"/>
                <w:spacing w:val="-1"/>
                <w:kern w:val="0"/>
                <w:sz w:val="26"/>
                <w:szCs w:val="26"/>
                <w:lang w:val="uk-UA" w:eastAsia="en-US" w:bidi="ar-SA"/>
              </w:rPr>
              <w:t>громади,</w:t>
            </w:r>
            <w:r>
              <w:rPr>
                <w:rFonts w:eastAsia="Times New Roman" w:cs="Times New Roman" w:ascii="Times New Roman" w:hAnsi="Times New Roman"/>
                <w:color w:val="000000"/>
                <w:spacing w:val="30"/>
                <w:kern w:val="0"/>
                <w:sz w:val="26"/>
                <w:szCs w:val="26"/>
                <w:lang w:val="uk-UA" w:eastAsia="en-US" w:bidi="ar-SA"/>
              </w:rPr>
              <w:t xml:space="preserve"> для </w:t>
            </w:r>
            <w:r>
              <w:rPr>
                <w:rFonts w:eastAsia="Times New Roman" w:cs="Times New Roman" w:ascii="Times New Roman" w:hAnsi="Times New Roman"/>
                <w:color w:val="000000"/>
                <w:kern w:val="0"/>
                <w:sz w:val="26"/>
                <w:szCs w:val="26"/>
                <w:lang w:val="uk-UA" w:eastAsia="en-US" w:bidi="ar-SA"/>
              </w:rPr>
              <w:t xml:space="preserve">відвідувачів організовуються літературно-мистецькі, просвітницькі </w:t>
            </w:r>
            <w:r>
              <w:rPr>
                <w:rFonts w:eastAsia="Times New Roman" w:cs="Times New Roman" w:ascii="Times New Roman" w:hAnsi="Times New Roman"/>
                <w:color w:val="000000"/>
                <w:spacing w:val="-1"/>
                <w:kern w:val="0"/>
                <w:sz w:val="26"/>
                <w:szCs w:val="26"/>
                <w:lang w:val="uk-UA" w:eastAsia="en-US" w:bidi="ar-SA"/>
              </w:rPr>
              <w:t xml:space="preserve">заходи та </w:t>
            </w:r>
            <w:r>
              <w:rPr>
                <w:rFonts w:eastAsia="Times New Roman" w:cs="Times New Roman" w:ascii="Times New Roman" w:hAnsi="Times New Roman"/>
                <w:color w:val="000000"/>
                <w:kern w:val="0"/>
                <w:sz w:val="26"/>
                <w:szCs w:val="26"/>
                <w:lang w:val="uk-UA" w:eastAsia="en-US" w:bidi="ar-SA"/>
              </w:rPr>
              <w:t xml:space="preserve">практичні заняття з користування </w:t>
            </w:r>
            <w:r>
              <w:rPr>
                <w:rFonts w:eastAsia="Times New Roman" w:cs="Times New Roman" w:ascii="Times New Roman" w:hAnsi="Times New Roman"/>
                <w:color w:val="000000"/>
                <w:spacing w:val="-1"/>
                <w:kern w:val="0"/>
                <w:sz w:val="26"/>
                <w:szCs w:val="26"/>
                <w:lang w:val="uk-UA" w:eastAsia="en-US" w:bidi="ar-SA"/>
              </w:rPr>
              <w:t xml:space="preserve">інтернет ресурсами </w:t>
            </w:r>
            <w:r>
              <w:rPr>
                <w:rFonts w:eastAsia="Times New Roman" w:cs="Times New Roman" w:ascii="Times New Roman" w:hAnsi="Times New Roman"/>
                <w:color w:val="000000"/>
                <w:kern w:val="0"/>
                <w:sz w:val="26"/>
                <w:szCs w:val="26"/>
                <w:lang w:val="uk-UA" w:eastAsia="en-US" w:bidi="ar-SA"/>
              </w:rPr>
              <w:t xml:space="preserve">тощо. Особи з </w:t>
            </w:r>
            <w:r>
              <w:rPr>
                <w:rFonts w:eastAsia="Times New Roman" w:cs="Times New Roman" w:ascii="Times New Roman" w:hAnsi="Times New Roman"/>
                <w:color w:val="000000"/>
                <w:spacing w:val="-1"/>
                <w:kern w:val="0"/>
                <w:sz w:val="26"/>
                <w:szCs w:val="26"/>
                <w:lang w:val="uk-UA" w:eastAsia="en-US" w:bidi="ar-SA"/>
              </w:rPr>
              <w:t xml:space="preserve">інвалідністю беруть участь </w:t>
            </w:r>
            <w:r>
              <w:rPr>
                <w:rFonts w:eastAsia="Times New Roman" w:cs="Times New Roman" w:ascii="Times New Roman" w:hAnsi="Times New Roman"/>
                <w:color w:val="000000"/>
                <w:kern w:val="0"/>
                <w:sz w:val="26"/>
                <w:szCs w:val="26"/>
                <w:lang w:val="uk-UA" w:eastAsia="en-US" w:bidi="ar-SA"/>
              </w:rPr>
              <w:t xml:space="preserve">у волонтерській роботі. Читачі з </w:t>
            </w:r>
            <w:r>
              <w:rPr>
                <w:rFonts w:eastAsia="Times New Roman" w:cs="Times New Roman" w:ascii="Times New Roman" w:hAnsi="Times New Roman"/>
                <w:color w:val="000000"/>
                <w:spacing w:val="-1"/>
                <w:kern w:val="0"/>
                <w:sz w:val="26"/>
                <w:szCs w:val="26"/>
                <w:lang w:val="uk-UA" w:eastAsia="en-US" w:bidi="ar-SA"/>
              </w:rPr>
              <w:t xml:space="preserve">обмеженими </w:t>
            </w:r>
            <w:r>
              <w:rPr>
                <w:rFonts w:eastAsia="Times New Roman" w:cs="Times New Roman" w:ascii="Times New Roman" w:hAnsi="Times New Roman"/>
                <w:color w:val="000000"/>
                <w:kern w:val="0"/>
                <w:sz w:val="26"/>
                <w:szCs w:val="26"/>
                <w:lang w:val="uk-UA" w:eastAsia="en-US" w:bidi="ar-SA"/>
              </w:rPr>
              <w:t xml:space="preserve">можливостями є </w:t>
            </w:r>
            <w:r>
              <w:rPr>
                <w:rFonts w:eastAsia="Times New Roman" w:cs="Times New Roman" w:ascii="Times New Roman" w:hAnsi="Times New Roman"/>
                <w:color w:val="000000"/>
                <w:spacing w:val="-1"/>
                <w:kern w:val="0"/>
                <w:sz w:val="26"/>
                <w:szCs w:val="26"/>
                <w:lang w:val="uk-UA" w:eastAsia="en-US" w:bidi="ar-SA"/>
              </w:rPr>
              <w:t xml:space="preserve">постійними відвідувачами заходів, </w:t>
            </w:r>
            <w:r>
              <w:rPr>
                <w:rFonts w:eastAsia="Times New Roman" w:cs="Times New Roman" w:ascii="Times New Roman" w:hAnsi="Times New Roman"/>
                <w:color w:val="000000"/>
                <w:kern w:val="0"/>
                <w:sz w:val="26"/>
                <w:szCs w:val="26"/>
                <w:lang w:val="uk-UA" w:eastAsia="en-US" w:bidi="ar-SA"/>
              </w:rPr>
              <w:t xml:space="preserve">що проводяться в </w:t>
            </w:r>
            <w:r>
              <w:rPr>
                <w:rFonts w:eastAsia="Times New Roman" w:cs="Times New Roman" w:ascii="Times New Roman" w:hAnsi="Times New Roman"/>
                <w:color w:val="000000"/>
                <w:spacing w:val="-1"/>
                <w:kern w:val="0"/>
                <w:sz w:val="26"/>
                <w:szCs w:val="26"/>
                <w:lang w:val="uk-UA" w:eastAsia="en-US" w:bidi="ar-SA"/>
              </w:rPr>
              <w:t xml:space="preserve">межах </w:t>
            </w:r>
            <w:r>
              <w:rPr>
                <w:rFonts w:eastAsia="Times New Roman" w:cs="Times New Roman" w:ascii="Times New Roman" w:hAnsi="Times New Roman"/>
                <w:color w:val="000000"/>
                <w:kern w:val="0"/>
                <w:sz w:val="26"/>
                <w:szCs w:val="26"/>
                <w:lang w:val="uk-UA" w:eastAsia="en-US" w:bidi="ar-SA"/>
              </w:rPr>
              <w:t>літературного клубу</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«Словесність»,</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spacing w:val="-1"/>
                <w:kern w:val="0"/>
                <w:sz w:val="26"/>
                <w:szCs w:val="26"/>
                <w:lang w:val="uk-UA" w:eastAsia="en-US" w:bidi="ar-SA"/>
              </w:rPr>
              <w:t>користуються послугами</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бібліотечних</w:t>
            </w:r>
            <w:r>
              <w:rPr>
                <w:rFonts w:eastAsia="Times New Roman" w:cs="Times New Roman" w:ascii="Times New Roman" w:hAnsi="Times New Roman"/>
                <w:color w:val="000000"/>
                <w:spacing w:val="-2"/>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ХАБі</w:t>
            </w:r>
            <w:r>
              <w:rPr>
                <w:rFonts w:eastAsia="Times New Roman" w:cs="Times New Roman" w:ascii="Times New Roman" w:hAnsi="Times New Roman"/>
                <w:color w:val="000000"/>
                <w:spacing w:val="25"/>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Цифрової освіти</w:t>
            </w:r>
            <w:r>
              <w:rPr>
                <w:rFonts w:eastAsia="Times New Roman" w:cs="Times New Roman" w:ascii="Times New Roman" w:hAnsi="Times New Roman"/>
                <w:color w:val="000000"/>
                <w:spacing w:val="-1"/>
                <w:kern w:val="0"/>
                <w:sz w:val="26"/>
                <w:szCs w:val="26"/>
                <w:lang w:val="uk-UA" w:eastAsia="en-US" w:bidi="ar-SA"/>
              </w:rPr>
              <w:t>.</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У закладах культури клубного типу для вразливих категорій населення, серед яких, зокрема, родини військовослужбовців, більшість заходів арттерапевтичного спрямування проводились в межах проєктів «Чарівна майстерня», «Красна майстерня», «Мистецький простір мрій».</w:t>
            </w:r>
          </w:p>
          <w:p>
            <w:pPr>
              <w:pStyle w:val="Normal"/>
              <w:widowControl w:val="false"/>
              <w:ind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bCs/>
                <w:color w:val="000000"/>
                <w:spacing w:val="-1"/>
                <w:kern w:val="0"/>
                <w:sz w:val="26"/>
                <w:szCs w:val="26"/>
                <w:lang w:val="uk-UA" w:eastAsia="en-US" w:bidi="ar-SA"/>
              </w:rPr>
              <w:t>В історичному музеї с. Княгининок</w:t>
            </w:r>
            <w:r>
              <w:rPr>
                <w:rFonts w:eastAsia="Calibri" w:cs="Times New Roman" w:ascii="Times New Roman" w:hAnsi="Times New Roman"/>
                <w:color w:val="000000"/>
                <w:spacing w:val="-1"/>
                <w:kern w:val="0"/>
                <w:sz w:val="26"/>
                <w:szCs w:val="26"/>
                <w:lang w:val="uk-UA" w:eastAsia="en-US" w:bidi="ar-SA"/>
              </w:rPr>
              <w:t xml:space="preserve"> для осіб з інвалідністю з частковою або повною втратою зору відбуваються інтерактивні екскурсії на базі експозиції «Іграшки Лесиного краю», де є змога тактильно ознайомитися з певними експонатами та прочитати інформаційну складову шрифтом Брайля.</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Впродовж шкільних літніх канікул в межах проєкту «Творче літо» у закладах культури проведені арттерапевтичні заняття, цільовою аудиторією яких були діти військовослужбовців та діти внутрішньо переміщених осіб. У закладах відбуваються заходи, де відвідувачами є люди з інвалідністю, ВПО, військові на реабілітації та ветерани, родини військовослужбовців. Організовуються виїзні концерти для військових, які перебувають на реабілітації у лікувальних закладах.</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Працівники закладів культури постійно підвищують свої професійні компетенції, відвідуючи освітні заходи на теми психологічної підтримки та взаємодії, безбар’єрності та інклюзивного підходу у роботі з відвідувачами.</w:t>
            </w:r>
          </w:p>
        </w:tc>
      </w:tr>
      <w:tr>
        <w:trPr>
          <w:trHeight w:val="4140" w:hRule="atLeast"/>
        </w:trPr>
        <w:tc>
          <w:tcPr>
            <w:tcW w:w="54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09"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Розвиток аматорських колективів та інших творчих формувань.</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pPr>
            <w:r>
              <w:rPr>
                <w:rFonts w:ascii="Times New Roman" w:hAnsi="Times New Roman"/>
                <w:color w:val="000000"/>
                <w:kern w:val="0"/>
                <w:sz w:val="26"/>
                <w:szCs w:val="26"/>
                <w:lang w:val="uk-UA" w:eastAsia="ru-RU" w:bidi="ar-SA"/>
              </w:rPr>
              <w:t xml:space="preserve">На базі клубних закладів діє 147 клубних формувань, 65 з яких – для дітей, 7 творчих колективів для дітей удостоєні звання «зразковий аматорський», 19 колективів для дорослих – «народний аматорський». </w:t>
            </w:r>
            <w:r>
              <w:rPr>
                <w:rFonts w:ascii="Times New Roman" w:hAnsi="Times New Roman"/>
                <w:color w:val="000000"/>
                <w:kern w:val="0"/>
                <w:sz w:val="26"/>
                <w:szCs w:val="26"/>
                <w:lang w:val="uk-UA" w:eastAsia="en-US" w:bidi="ar-SA"/>
              </w:rPr>
              <w:t xml:space="preserve">У 2024 році колективи успішно пройшли атестацію на підтвердження звання «народний»/»зразковий», ансамблю сучасного танцю «Самоцвіти» </w:t>
            </w:r>
            <w:r>
              <w:rPr>
                <w:rStyle w:val="Markedcontent"/>
                <w:rFonts w:ascii="Times New Roman" w:hAnsi="Times New Roman"/>
                <w:color w:val="000000"/>
                <w:kern w:val="0"/>
                <w:sz w:val="26"/>
                <w:szCs w:val="26"/>
                <w:lang w:val="uk-UA" w:eastAsia="en-US" w:bidi="ar-SA"/>
              </w:rPr>
              <w:t>Будинку культури с. Боголюби присвоєно звання «зразковий», вокальному тріо «Васильові діти» КЗ «Центр культури «Княгининок» присвоєно звання «народний».</w:t>
            </w:r>
          </w:p>
          <w:p>
            <w:pPr>
              <w:pStyle w:val="Normal"/>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Проведено заходи до </w:t>
            </w:r>
            <w:bookmarkStart w:id="14" w:name="_Hlk182588817"/>
            <w:r>
              <w:rPr>
                <w:rFonts w:eastAsia="Calibri" w:cs="Times New Roman" w:ascii="Times New Roman" w:hAnsi="Times New Roman"/>
                <w:color w:val="000000"/>
                <w:kern w:val="0"/>
                <w:sz w:val="26"/>
                <w:szCs w:val="26"/>
                <w:lang w:val="uk-UA" w:eastAsia="en-US" w:bidi="ar-SA"/>
              </w:rPr>
              <w:t>65-річчя творчої діяльності народного аматорського ансамблю танцю «Волинянка»</w:t>
            </w:r>
            <w:bookmarkEnd w:id="14"/>
            <w:r>
              <w:rPr>
                <w:rFonts w:eastAsia="Calibri" w:cs="Times New Roman" w:ascii="Times New Roman" w:hAnsi="Times New Roman"/>
                <w:color w:val="000000"/>
                <w:kern w:val="0"/>
                <w:sz w:val="26"/>
                <w:szCs w:val="26"/>
                <w:lang w:val="uk-UA" w:eastAsia="en-US" w:bidi="ar-SA"/>
              </w:rPr>
              <w:t xml:space="preserve"> та 60-річчя творчої діяльності народного аматорського оркестру народних інструментів «Волинянка» Палацу культури м. Луцька. Колективи та окремі учасники нагороджені відзнаками Луцького міського голови.</w:t>
            </w:r>
          </w:p>
          <w:p>
            <w:pPr>
              <w:pStyle w:val="Normal"/>
              <w:widowControl w:val="false"/>
              <w:ind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en-US" w:bidi="ar-SA"/>
              </w:rPr>
              <w:t>Учасники народного аматорського ансамблю бального танцю «Юність» Палацу культури м. Луцька взяли участь у Всеукраїнському фестивалі-конкурсі «Верховина-STAR-FEST» (Івано-Франківська обл.). Народний аматорський ансамбль танцю «Волинянка» Палацу культури м. Луцька взяв участь у гала-концерті переможців VII Всеукраїнського фестивалю-конкурсі народної хореографії імені Павла Вірського.</w:t>
            </w:r>
          </w:p>
        </w:tc>
      </w:tr>
      <w:tr>
        <w:trPr>
          <w:trHeight w:val="288" w:hRule="atLeast"/>
        </w:trPr>
        <w:tc>
          <w:tcPr>
            <w:tcW w:w="54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09"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Створення в мистецьких школах додаткових освітніх послуг.</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На засадах самоокупності діє «Вечірня школа» у Луцькій музичній школі № 2 та «Вечірня майстерня» у Луцькій художній школі.</w:t>
            </w:r>
          </w:p>
        </w:tc>
      </w:tr>
      <w:tr>
        <w:trPr>
          <w:trHeight w:val="288" w:hRule="atLeast"/>
        </w:trPr>
        <w:tc>
          <w:tcPr>
            <w:tcW w:w="54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09"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проєкту «Бібліотека просто неба».</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eastAsia="en-US"/>
              </w:rPr>
            </w:pPr>
            <w:r>
              <w:rPr>
                <w:rFonts w:eastAsia="Times New Roman" w:cs="Times New Roman" w:ascii="Times New Roman" w:hAnsi="Times New Roman"/>
                <w:color w:val="000000"/>
                <w:kern w:val="0"/>
                <w:sz w:val="26"/>
                <w:szCs w:val="26"/>
                <w:lang w:val="uk-UA" w:eastAsia="en-US" w:bidi="ar-SA"/>
              </w:rPr>
              <w:t xml:space="preserve">В </w:t>
            </w:r>
            <w:r>
              <w:rPr>
                <w:rFonts w:eastAsia="Calibri" w:cs="Times New Roman" w:ascii="Times New Roman" w:hAnsi="Times New Roman"/>
                <w:color w:val="000000"/>
                <w:kern w:val="0"/>
                <w:sz w:val="26"/>
                <w:szCs w:val="26"/>
                <w:lang w:val="uk-UA" w:eastAsia="en-US" w:bidi="ar-SA"/>
              </w:rPr>
              <w:t xml:space="preserve">межах проєкту </w:t>
            </w:r>
            <w:r>
              <w:rPr>
                <w:rFonts w:eastAsia="Times New Roman" w:cs="Times New Roman" w:ascii="Times New Roman" w:hAnsi="Times New Roman"/>
                <w:color w:val="000000"/>
                <w:spacing w:val="-1"/>
                <w:kern w:val="0"/>
                <w:sz w:val="26"/>
                <w:szCs w:val="26"/>
                <w:lang w:val="uk-UA" w:eastAsia="en-US" w:bidi="ar-SA"/>
              </w:rPr>
              <w:t xml:space="preserve">«Бібліотека просто неба» проведено </w:t>
            </w:r>
            <w:r>
              <w:rPr>
                <w:rFonts w:eastAsia="Times New Roman" w:cs="Times New Roman" w:ascii="Times New Roman" w:hAnsi="Times New Roman"/>
                <w:color w:val="000000"/>
                <w:kern w:val="0"/>
                <w:sz w:val="26"/>
                <w:szCs w:val="26"/>
                <w:lang w:val="uk-UA" w:eastAsia="en-US" w:bidi="ar-SA"/>
              </w:rPr>
              <w:t xml:space="preserve">літературно-мистецькі вуличні </w:t>
            </w:r>
            <w:r>
              <w:rPr>
                <w:rFonts w:eastAsia="Times New Roman" w:cs="Times New Roman" w:ascii="Times New Roman" w:hAnsi="Times New Roman"/>
                <w:color w:val="000000"/>
                <w:spacing w:val="-1"/>
                <w:kern w:val="0"/>
                <w:sz w:val="26"/>
                <w:szCs w:val="26"/>
                <w:lang w:val="uk-UA" w:eastAsia="en-US" w:bidi="ar-SA"/>
              </w:rPr>
              <w:t xml:space="preserve">акції, бібліопікніки </w:t>
            </w:r>
            <w:r>
              <w:rPr>
                <w:rFonts w:eastAsia="Times New Roman" w:cs="Times New Roman" w:ascii="Times New Roman" w:hAnsi="Times New Roman"/>
                <w:color w:val="000000"/>
                <w:kern w:val="0"/>
                <w:sz w:val="26"/>
                <w:szCs w:val="26"/>
                <w:lang w:val="uk-UA" w:eastAsia="en-US" w:bidi="ar-SA"/>
              </w:rPr>
              <w:t xml:space="preserve">«Читаємо разом», </w:t>
            </w:r>
            <w:r>
              <w:rPr>
                <w:rFonts w:eastAsia="Times New Roman" w:cs="Times New Roman" w:ascii="Times New Roman" w:hAnsi="Times New Roman"/>
                <w:color w:val="000000"/>
                <w:spacing w:val="-1"/>
                <w:kern w:val="0"/>
                <w:sz w:val="26"/>
                <w:szCs w:val="26"/>
                <w:lang w:val="uk-UA" w:eastAsia="en-US" w:bidi="ar-SA"/>
              </w:rPr>
              <w:t xml:space="preserve">відеопокази, конкурси </w:t>
            </w:r>
            <w:r>
              <w:rPr>
                <w:rFonts w:eastAsia="Times New Roman" w:cs="Times New Roman" w:ascii="Times New Roman" w:hAnsi="Times New Roman"/>
                <w:color w:val="000000"/>
                <w:kern w:val="0"/>
                <w:sz w:val="26"/>
                <w:szCs w:val="26"/>
                <w:lang w:val="uk-UA" w:eastAsia="en-US" w:bidi="ar-SA"/>
              </w:rPr>
              <w:t>малюнків на асфальті, упродовж літа на різноманітних локаціях діяли</w:t>
            </w:r>
            <w:r>
              <w:rPr>
                <w:rFonts w:eastAsia="Times New Roman" w:cs="Times New Roman" w:ascii="Times New Roman" w:hAnsi="Times New Roman"/>
                <w:color w:val="000000"/>
                <w:spacing w:val="29"/>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читальні</w:t>
            </w:r>
            <w:r>
              <w:rPr>
                <w:rFonts w:eastAsia="Times New Roman" w:cs="Times New Roman" w:ascii="Times New Roman" w:hAnsi="Times New Roman"/>
                <w:color w:val="000000"/>
                <w:spacing w:val="29"/>
                <w:kern w:val="0"/>
                <w:sz w:val="26"/>
                <w:szCs w:val="26"/>
                <w:lang w:val="uk-UA" w:eastAsia="en-US" w:bidi="ar-SA"/>
              </w:rPr>
              <w:t xml:space="preserve"> </w:t>
            </w:r>
            <w:r>
              <w:rPr>
                <w:rFonts w:eastAsia="Times New Roman" w:cs="Times New Roman" w:ascii="Times New Roman" w:hAnsi="Times New Roman"/>
                <w:color w:val="000000"/>
                <w:kern w:val="0"/>
                <w:sz w:val="26"/>
                <w:szCs w:val="26"/>
                <w:lang w:val="uk-UA" w:eastAsia="en-US" w:bidi="ar-SA"/>
              </w:rPr>
              <w:t>зали</w:t>
            </w:r>
            <w:r>
              <w:rPr>
                <w:rFonts w:eastAsia="Times New Roman" w:cs="Times New Roman" w:ascii="Times New Roman" w:hAnsi="Times New Roman"/>
                <w:color w:val="000000"/>
                <w:spacing w:val="29"/>
                <w:kern w:val="0"/>
                <w:sz w:val="26"/>
                <w:szCs w:val="26"/>
                <w:lang w:val="uk-UA" w:eastAsia="en-US" w:bidi="ar-SA"/>
              </w:rPr>
              <w:t xml:space="preserve"> </w:t>
            </w:r>
            <w:r>
              <w:rPr>
                <w:rFonts w:eastAsia="Times New Roman" w:cs="Times New Roman" w:ascii="Times New Roman" w:hAnsi="Times New Roman"/>
                <w:color w:val="000000"/>
                <w:spacing w:val="-1"/>
                <w:kern w:val="0"/>
                <w:sz w:val="26"/>
                <w:szCs w:val="26"/>
                <w:lang w:val="uk-UA" w:eastAsia="en-US" w:bidi="ar-SA"/>
              </w:rPr>
              <w:t>просто</w:t>
            </w:r>
            <w:r>
              <w:rPr>
                <w:rFonts w:eastAsia="Times New Roman" w:cs="Times New Roman" w:ascii="Times New Roman" w:hAnsi="Times New Roman"/>
                <w:color w:val="000000"/>
                <w:spacing w:val="12"/>
                <w:kern w:val="0"/>
                <w:sz w:val="26"/>
                <w:szCs w:val="26"/>
                <w:lang w:val="uk-UA" w:eastAsia="en-US" w:bidi="ar-SA"/>
              </w:rPr>
              <w:t xml:space="preserve"> </w:t>
            </w:r>
            <w:r>
              <w:rPr>
                <w:rFonts w:eastAsia="Times New Roman" w:cs="Times New Roman" w:ascii="Times New Roman" w:hAnsi="Times New Roman"/>
                <w:color w:val="000000"/>
                <w:spacing w:val="-1"/>
                <w:kern w:val="0"/>
                <w:sz w:val="26"/>
                <w:szCs w:val="26"/>
                <w:lang w:val="uk-UA" w:eastAsia="en-US" w:bidi="ar-SA"/>
              </w:rPr>
              <w:t>неба</w:t>
            </w:r>
            <w:r>
              <w:rPr>
                <w:rFonts w:eastAsia="Times New Roman" w:cs="Times New Roman" w:ascii="Times New Roman" w:hAnsi="Times New Roman"/>
                <w:color w:val="000000"/>
                <w:kern w:val="0"/>
                <w:sz w:val="26"/>
                <w:szCs w:val="26"/>
                <w:lang w:val="uk-UA" w:eastAsia="en-US" w:bidi="ar-SA"/>
              </w:rPr>
              <w:t>.</w:t>
            </w:r>
          </w:p>
        </w:tc>
      </w:tr>
      <w:tr>
        <w:trPr>
          <w:trHeight w:val="288" w:hRule="atLeast"/>
        </w:trPr>
        <w:tc>
          <w:tcPr>
            <w:tcW w:w="54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809"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проєкту «Дитяча філармонія».</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В межах проєкту за участі дитячих творчих колективів, окремих виконавців проведено близько 100 концертів на різних локаціях міської територіальної громади та за її межами (Луцький військовий гарнізонний госпіталь, Луцька центральна районна лікарня, Луцька центральна бібліотека для дорослих, «Інклюзивний хаб» у Луцьку, м. Устилуг).</w:t>
            </w:r>
          </w:p>
        </w:tc>
      </w:tr>
      <w:tr>
        <w:trPr>
          <w:trHeight w:val="288" w:hRule="atLeast"/>
        </w:trPr>
        <w:tc>
          <w:tcPr>
            <w:tcW w:w="549"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809"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творчих звітів мистецьких шкіл та художніх колективів.</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eastAsia="Calibri" w:cs="Times New Roman" w:ascii="Times New Roman" w:hAnsi="Times New Roman"/>
                <w:color w:val="000000"/>
                <w:kern w:val="0"/>
                <w:sz w:val="26"/>
                <w:szCs w:val="26"/>
                <w:lang w:val="uk-UA" w:eastAsia="en-US" w:bidi="ar-SA"/>
              </w:rPr>
              <w:t xml:space="preserve">Проведено </w:t>
            </w:r>
            <w:r>
              <w:rPr>
                <w:rFonts w:eastAsia="Calibri" w:cs="Times New Roman" w:ascii="Times New Roman" w:hAnsi="Times New Roman"/>
                <w:bCs/>
                <w:color w:val="000000"/>
                <w:kern w:val="0"/>
                <w:sz w:val="26"/>
                <w:szCs w:val="26"/>
                <w:lang w:val="uk-UA" w:eastAsia="en-US" w:bidi="ar-SA"/>
              </w:rPr>
              <w:t>25 </w:t>
            </w:r>
            <w:r>
              <w:rPr>
                <w:rFonts w:eastAsia="Calibri" w:cs="Times New Roman" w:ascii="Times New Roman" w:hAnsi="Times New Roman"/>
                <w:color w:val="000000"/>
                <w:kern w:val="0"/>
                <w:sz w:val="26"/>
                <w:szCs w:val="26"/>
                <w:lang w:val="uk-UA" w:eastAsia="en-US" w:bidi="ar-SA"/>
              </w:rPr>
              <w:t>творчих звітів окремих колективів, клубних установ та мистецьких шкіл Луцької міської територіальної громади</w:t>
            </w:r>
          </w:p>
        </w:tc>
      </w:tr>
      <w:tr>
        <w:trPr>
          <w:trHeight w:val="288" w:hRule="atLeast"/>
        </w:trPr>
        <w:tc>
          <w:tcPr>
            <w:tcW w:w="54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809"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Реалізація культурно-освітніх, мистецьких проєктів, спрямованих на збереження та популяризацію культурної спадщини, утвердження духовності, національної ідентичності та європейських цінностей.</w:t>
            </w:r>
          </w:p>
        </w:tc>
        <w:tc>
          <w:tcPr>
            <w:tcW w:w="10775"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На організацію патріотичних культурно-просвітницьких, літературно-мистецьких заходів, на проведення заходів з нагоди відзначення пам’ятних дат та історичних подій використано 1 864,8 тис.</w:t>
            </w:r>
            <w:bookmarkStart w:id="15" w:name="_GoBack6"/>
            <w:bookmarkEnd w:id="15"/>
            <w:r>
              <w:rPr>
                <w:rFonts w:eastAsia="Calibri" w:cs="Times New Roman" w:ascii="Times New Roman" w:hAnsi="Times New Roman"/>
                <w:color w:val="000000"/>
                <w:kern w:val="0"/>
                <w:sz w:val="26"/>
                <w:szCs w:val="26"/>
                <w:lang w:val="uk-UA" w:eastAsia="en-US" w:bidi="ar-SA"/>
              </w:rPr>
              <w:t> грн.</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Впродовж 2024 року організовано низку благодійних заходів у межах мистецького марафону «Культура – духовні крила Перемоги!», під час яких здійснювався збір коштів на потреби ЗСУ. Для підтримки ЗСУ спрямовано близько 2,0 млн грн.</w:t>
            </w:r>
          </w:p>
          <w:p>
            <w:pPr>
              <w:pStyle w:val="Normal"/>
              <w:widowControl w:val="false"/>
              <w:ind w:firstLine="567"/>
              <w:jc w:val="both"/>
              <w:rPr>
                <w:rFonts w:ascii="Times New Roman" w:hAnsi="Times New Roman" w:cs="Times New Roman"/>
                <w:color w:val="000000"/>
                <w:sz w:val="26"/>
                <w:szCs w:val="26"/>
                <w:lang w:val="uk-UA" w:bidi="ar-SA"/>
              </w:rPr>
            </w:pPr>
            <w:r>
              <w:rPr>
                <w:rFonts w:eastAsia="Calibri" w:cs="Times New Roman" w:ascii="Times New Roman" w:hAnsi="Times New Roman"/>
                <w:color w:val="000000"/>
                <w:kern w:val="0"/>
                <w:sz w:val="26"/>
                <w:szCs w:val="26"/>
                <w:lang w:val="uk-UA" w:eastAsia="en-US" w:bidi="ar-SA"/>
              </w:rPr>
              <w:t>З метою популяризації національних духовно-культурних цінностей та традицій, утвердження почуття патріотизму та гідності, формування естетичних смаків, створення умов для творчої самореалізації дітей різних вікових категорій, в т. ч. дітей військовослужбовців, дітей ВПО, дітей із вразливих категорій населення закладами культури реалізовано проєкти і програми «Бібліотека – територія дитинства», «Творче літо», «Ігроленд», «Чарівна LEGOландія», фестиваль дитячих лялькових гуртків «Мій маленький театр» тощо.</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Задля підтримки творчо обдарованих дітей проведено мистецьку рейтингову акцію «Овація» серед учнів мистецьких шкіл громади, для лауреатів якої організовано екскурсію у музей композитора Ігоря Стравінського. Під патронатом міського голови проведено започаткований цьогоріч дитячий фестиваль «Луцьк-територія талантів», гала концерт якого відбувся за участі відомої співачки Світлани Тарабарової.</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Також за підтримки міського голови успішно реалізовано проєкт «КозакBatlle» до Дня захисників і захисниць України. На території музею історії сільського господарства Волині-скансен проведено Відкриті всеукраїнські ігри з видів спорту, започаткованих на національно-культурних традиціях «Дух незламних».</w:t>
            </w:r>
          </w:p>
          <w:p>
            <w:pPr>
              <w:pStyle w:val="NoSpacing"/>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В межах заходів до Дня міста Луцька під патронатом міського голови відбувся благодійний проєкт «Симфонія єдності» за участі відомого піаніста Євгена Хмари. </w:t>
            </w:r>
            <w:r>
              <w:rPr>
                <w:rFonts w:ascii="Times New Roman" w:hAnsi="Times New Roman"/>
                <w:color w:val="000000"/>
                <w:spacing w:val="-1"/>
                <w:sz w:val="26"/>
                <w:szCs w:val="26"/>
                <w:lang w:val="uk-UA"/>
              </w:rPr>
              <w:t>Проведено</w:t>
            </w:r>
            <w:r>
              <w:rPr>
                <w:rFonts w:ascii="Times New Roman" w:hAnsi="Times New Roman"/>
                <w:color w:val="000000"/>
                <w:spacing w:val="25"/>
                <w:sz w:val="26"/>
                <w:szCs w:val="26"/>
                <w:lang w:val="uk-UA"/>
              </w:rPr>
              <w:t xml:space="preserve"> </w:t>
            </w:r>
            <w:r>
              <w:rPr>
                <w:rFonts w:ascii="Times New Roman" w:hAnsi="Times New Roman"/>
                <w:color w:val="000000"/>
                <w:sz w:val="26"/>
                <w:szCs w:val="26"/>
                <w:lang w:val="uk-UA"/>
              </w:rPr>
              <w:t>літературний</w:t>
            </w:r>
            <w:r>
              <w:rPr>
                <w:rFonts w:ascii="Times New Roman" w:hAnsi="Times New Roman"/>
                <w:color w:val="000000"/>
                <w:spacing w:val="25"/>
                <w:sz w:val="26"/>
                <w:szCs w:val="26"/>
                <w:lang w:val="uk-UA"/>
              </w:rPr>
              <w:t xml:space="preserve"> </w:t>
            </w:r>
            <w:r>
              <w:rPr>
                <w:rFonts w:ascii="Times New Roman" w:hAnsi="Times New Roman"/>
                <w:color w:val="000000"/>
                <w:spacing w:val="-1"/>
                <w:sz w:val="26"/>
                <w:szCs w:val="26"/>
                <w:lang w:val="uk-UA"/>
              </w:rPr>
              <w:t>форум</w:t>
            </w:r>
            <w:r>
              <w:rPr>
                <w:rFonts w:ascii="Times New Roman" w:hAnsi="Times New Roman"/>
                <w:color w:val="000000"/>
                <w:spacing w:val="25"/>
                <w:sz w:val="26"/>
                <w:szCs w:val="26"/>
                <w:lang w:val="uk-UA"/>
              </w:rPr>
              <w:t xml:space="preserve"> </w:t>
            </w:r>
            <w:r>
              <w:rPr>
                <w:rFonts w:ascii="Times New Roman" w:hAnsi="Times New Roman"/>
                <w:color w:val="000000"/>
                <w:sz w:val="26"/>
                <w:szCs w:val="26"/>
                <w:lang w:val="uk-UA"/>
              </w:rPr>
              <w:t>«проСЛОВО».</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Налагоджена співпраця з майстрами народної творчості, які мешкають у межах Луцької громади, є активними учасниками проведення майстер-класів, воркшопів, ярмарків та залучаються до участі у різноманітних фестивалях.</w:t>
            </w:r>
          </w:p>
          <w:p>
            <w:pPr>
              <w:pStyle w:val="Normal"/>
              <w:widowControl w:val="false"/>
              <w:ind w:firstLine="567"/>
              <w:jc w:val="both"/>
              <w:rPr>
                <w:rFonts w:ascii="Times New Roman" w:hAnsi="Times New Roman" w:cs="Times New Roman"/>
                <w:color w:val="000000"/>
                <w:sz w:val="26"/>
                <w:szCs w:val="26"/>
                <w:lang w:val="uk-UA" w:bidi="ar-SA"/>
              </w:rPr>
            </w:pPr>
            <w:r>
              <w:rPr>
                <w:rFonts w:eastAsia="Calibri" w:cs="Times New Roman" w:ascii="Times New Roman" w:hAnsi="Times New Roman"/>
                <w:color w:val="000000"/>
                <w:kern w:val="0"/>
                <w:sz w:val="26"/>
                <w:szCs w:val="26"/>
                <w:lang w:val="uk-UA" w:eastAsia="en-US" w:bidi="ar-SA"/>
              </w:rPr>
              <w:t>У співпраці з національно-культурними товариствами Луцької міської територіальної громади (Волинське обласне товариство чехів «Матіце Волинська», товариство польської культури ім. Тадеуша Костюшко, товариство німців Волині та Волинської релігійної громади прогресивного іудаїзму) реалізовано</w:t>
            </w:r>
            <w:bookmarkStart w:id="16" w:name="_GoBack7"/>
            <w:bookmarkEnd w:id="16"/>
            <w:r>
              <w:rPr>
                <w:rFonts w:eastAsia="Calibri" w:cs="Times New Roman" w:ascii="Times New Roman" w:hAnsi="Times New Roman"/>
                <w:color w:val="000000"/>
                <w:kern w:val="0"/>
                <w:sz w:val="26"/>
                <w:szCs w:val="26"/>
                <w:lang w:val="uk-UA" w:eastAsia="en-US" w:bidi="ar-SA"/>
              </w:rPr>
              <w:t xml:space="preserve"> благодійний проєкт на підтримку ЗСУ «В єдності наша сила!».</w:t>
            </w:r>
          </w:p>
          <w:p>
            <w:pPr>
              <w:pStyle w:val="Normal"/>
              <w:widowControl w:val="false"/>
              <w:ind w:firstLine="567"/>
              <w:jc w:val="both"/>
              <w:rPr>
                <w:rFonts w:ascii="Times New Roman" w:hAnsi="Times New Roman" w:eastAsia="Calibri" w:cs="Times New Roman"/>
                <w:color w:val="000000"/>
                <w:kern w:val="0"/>
                <w:sz w:val="26"/>
                <w:szCs w:val="26"/>
                <w:lang w:val="uk-UA" w:eastAsia="ru-RU" w:bidi="ar-SA"/>
              </w:rPr>
            </w:pPr>
            <w:r>
              <w:rPr>
                <w:rFonts w:eastAsia="Calibri" w:cs="Times New Roman" w:ascii="Times New Roman" w:hAnsi="Times New Roman"/>
                <w:color w:val="000000"/>
                <w:kern w:val="0"/>
                <w:sz w:val="26"/>
                <w:szCs w:val="26"/>
                <w:lang w:val="uk-UA" w:eastAsia="ru-RU" w:bidi="ar-SA"/>
              </w:rPr>
              <w:t>Проводиться робота щодо виявлення, збереження та популяризації елементів нематеріальної культурної спадщини (НКС). Зареєстровано один елемент нематеріальної культурної спадщини – вишивка «занизування» (сел. Рокині), що внесений до обласного переліку НКС. Триває робота щодо реєстрації ще трьох елементів НКС: «Кульчинська кераміка», «Дерев’яна іграшка Волині та Волинського Полісся», «Волинська писанка».</w:t>
            </w:r>
          </w:p>
          <w:p>
            <w:pPr>
              <w:pStyle w:val="Normal"/>
              <w:widowControl w:val="false"/>
              <w:ind w:firstLine="567"/>
              <w:jc w:val="both"/>
              <w:rPr>
                <w:rFonts w:ascii="Times New Roman" w:hAnsi="Times New Roman" w:eastAsia="Calibri" w:cs="Times New Roman"/>
                <w:color w:val="000000"/>
                <w:sz w:val="26"/>
                <w:szCs w:val="26"/>
                <w:lang w:val="uk-UA" w:eastAsia="en-US"/>
              </w:rPr>
            </w:pPr>
            <w:r>
              <w:rPr>
                <w:rFonts w:eastAsia="Calibri" w:cs="Times New Roman" w:ascii="Times New Roman" w:hAnsi="Times New Roman"/>
                <w:color w:val="000000"/>
                <w:kern w:val="0"/>
                <w:sz w:val="26"/>
                <w:szCs w:val="26"/>
                <w:lang w:val="uk-UA" w:eastAsia="en-US" w:bidi="ar-SA"/>
              </w:rPr>
              <w:t xml:space="preserve">У </w:t>
            </w:r>
            <w:r>
              <w:rPr>
                <w:rFonts w:eastAsia="Calibri" w:cs="Times New Roman" w:ascii="Times New Roman" w:hAnsi="Times New Roman"/>
                <w:color w:val="000000"/>
                <w:spacing w:val="-1"/>
                <w:kern w:val="0"/>
                <w:sz w:val="26"/>
                <w:szCs w:val="26"/>
                <w:lang w:val="uk-UA" w:eastAsia="en-US" w:bidi="ar-SA"/>
              </w:rPr>
              <w:t xml:space="preserve">бібліотеках громади </w:t>
            </w:r>
            <w:r>
              <w:rPr>
                <w:rFonts w:eastAsia="Calibri" w:cs="Times New Roman" w:ascii="Times New Roman" w:hAnsi="Times New Roman"/>
                <w:color w:val="000000"/>
                <w:kern w:val="0"/>
                <w:sz w:val="26"/>
                <w:szCs w:val="26"/>
                <w:lang w:val="uk-UA" w:eastAsia="en-US" w:bidi="ar-SA"/>
              </w:rPr>
              <w:t xml:space="preserve">в </w:t>
            </w:r>
            <w:r>
              <w:rPr>
                <w:rFonts w:eastAsia="Calibri" w:cs="Times New Roman" w:ascii="Times New Roman" w:hAnsi="Times New Roman"/>
                <w:color w:val="000000"/>
                <w:spacing w:val="-1"/>
                <w:kern w:val="0"/>
                <w:sz w:val="26"/>
                <w:szCs w:val="26"/>
                <w:lang w:val="uk-UA" w:eastAsia="en-US" w:bidi="ar-SA"/>
              </w:rPr>
              <w:t xml:space="preserve">межах </w:t>
            </w:r>
            <w:r>
              <w:rPr>
                <w:rFonts w:eastAsia="Calibri" w:cs="Times New Roman" w:ascii="Times New Roman" w:hAnsi="Times New Roman"/>
                <w:color w:val="000000"/>
                <w:kern w:val="0"/>
                <w:sz w:val="26"/>
                <w:szCs w:val="26"/>
                <w:lang w:val="uk-UA" w:eastAsia="en-US" w:bidi="ar-SA"/>
              </w:rPr>
              <w:t xml:space="preserve">Національного тижня дитячого читання </w:t>
            </w:r>
            <w:r>
              <w:rPr>
                <w:rFonts w:eastAsia="Calibri" w:cs="Times New Roman" w:ascii="Times New Roman" w:hAnsi="Times New Roman"/>
                <w:color w:val="000000"/>
                <w:spacing w:val="-1"/>
                <w:kern w:val="0"/>
                <w:sz w:val="26"/>
                <w:szCs w:val="26"/>
                <w:lang w:val="uk-UA" w:eastAsia="en-US" w:bidi="ar-SA"/>
              </w:rPr>
              <w:t xml:space="preserve">відбулися </w:t>
            </w:r>
            <w:r>
              <w:rPr>
                <w:rFonts w:eastAsia="Calibri" w:cs="Times New Roman" w:ascii="Times New Roman" w:hAnsi="Times New Roman"/>
                <w:color w:val="000000"/>
                <w:kern w:val="0"/>
                <w:sz w:val="26"/>
                <w:szCs w:val="26"/>
                <w:lang w:val="uk-UA" w:eastAsia="en-US" w:bidi="ar-SA"/>
              </w:rPr>
              <w:t xml:space="preserve">літературні </w:t>
            </w:r>
            <w:r>
              <w:rPr>
                <w:rFonts w:eastAsia="Calibri" w:cs="Times New Roman" w:ascii="Times New Roman" w:hAnsi="Times New Roman"/>
                <w:color w:val="000000"/>
                <w:spacing w:val="-1"/>
                <w:kern w:val="0"/>
                <w:sz w:val="26"/>
                <w:szCs w:val="26"/>
                <w:lang w:val="uk-UA" w:eastAsia="en-US" w:bidi="ar-SA"/>
              </w:rPr>
              <w:t xml:space="preserve">зустрічі, </w:t>
            </w:r>
            <w:r>
              <w:rPr>
                <w:rFonts w:eastAsia="Calibri" w:cs="Times New Roman" w:ascii="Times New Roman" w:hAnsi="Times New Roman"/>
                <w:color w:val="000000"/>
                <w:kern w:val="0"/>
                <w:sz w:val="26"/>
                <w:szCs w:val="26"/>
                <w:lang w:val="uk-UA" w:eastAsia="en-US" w:bidi="ar-SA"/>
              </w:rPr>
              <w:t xml:space="preserve">читацькі </w:t>
            </w:r>
            <w:r>
              <w:rPr>
                <w:rFonts w:eastAsia="Calibri" w:cs="Times New Roman" w:ascii="Times New Roman" w:hAnsi="Times New Roman"/>
                <w:color w:val="000000"/>
                <w:spacing w:val="-1"/>
                <w:kern w:val="0"/>
                <w:sz w:val="26"/>
                <w:szCs w:val="26"/>
                <w:lang w:val="uk-UA" w:eastAsia="en-US" w:bidi="ar-SA"/>
              </w:rPr>
              <w:t xml:space="preserve">діалоги, </w:t>
            </w:r>
            <w:r>
              <w:rPr>
                <w:rFonts w:eastAsia="Calibri" w:cs="Times New Roman" w:ascii="Times New Roman" w:hAnsi="Times New Roman"/>
                <w:color w:val="000000"/>
                <w:kern w:val="0"/>
                <w:sz w:val="26"/>
                <w:szCs w:val="26"/>
                <w:lang w:val="uk-UA" w:eastAsia="en-US" w:bidi="ar-SA"/>
              </w:rPr>
              <w:t>креативні читання, години сімейного читання, діяли</w:t>
            </w:r>
            <w:r>
              <w:rPr>
                <w:rFonts w:eastAsia="Calibri" w:cs="Times New Roman" w:ascii="Times New Roman" w:hAnsi="Times New Roman"/>
                <w:color w:val="000000"/>
                <w:spacing w:val="52"/>
                <w:kern w:val="0"/>
                <w:sz w:val="26"/>
                <w:szCs w:val="26"/>
                <w:lang w:val="uk-UA" w:eastAsia="en-US" w:bidi="ar-SA"/>
              </w:rPr>
              <w:t xml:space="preserve"> </w:t>
            </w:r>
            <w:r>
              <w:rPr>
                <w:rFonts w:eastAsia="Calibri" w:cs="Times New Roman" w:ascii="Times New Roman" w:hAnsi="Times New Roman"/>
                <w:color w:val="000000"/>
                <w:spacing w:val="-1"/>
                <w:kern w:val="0"/>
                <w:sz w:val="26"/>
                <w:szCs w:val="26"/>
                <w:lang w:val="uk-UA" w:eastAsia="en-US" w:bidi="ar-SA"/>
              </w:rPr>
              <w:t>книжкові</w:t>
            </w:r>
            <w:r>
              <w:rPr>
                <w:rFonts w:eastAsia="Calibri" w:cs="Times New Roman" w:ascii="Times New Roman" w:hAnsi="Times New Roman"/>
                <w:color w:val="000000"/>
                <w:spacing w:val="43"/>
                <w:kern w:val="0"/>
                <w:sz w:val="26"/>
                <w:szCs w:val="26"/>
                <w:lang w:val="uk-UA" w:eastAsia="en-US" w:bidi="ar-SA"/>
              </w:rPr>
              <w:t xml:space="preserve"> </w:t>
            </w:r>
            <w:r>
              <w:rPr>
                <w:rFonts w:eastAsia="Calibri" w:cs="Times New Roman" w:ascii="Times New Roman" w:hAnsi="Times New Roman"/>
                <w:color w:val="000000"/>
                <w:kern w:val="0"/>
                <w:sz w:val="26"/>
                <w:szCs w:val="26"/>
                <w:lang w:val="uk-UA" w:eastAsia="en-US" w:bidi="ar-SA"/>
              </w:rPr>
              <w:t>виставки.</w:t>
            </w:r>
          </w:p>
        </w:tc>
      </w:tr>
      <w:tr>
        <w:trPr>
          <w:trHeight w:val="288" w:hRule="atLeast"/>
        </w:trPr>
        <w:tc>
          <w:tcPr>
            <w:tcW w:w="54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809"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Сприяння участі творчих колективів, окремих виконавців, обдарованих дітей у міжнародних мистецьких конкурсах, фестивалях.</w:t>
            </w:r>
          </w:p>
        </w:tc>
        <w:tc>
          <w:tcPr>
            <w:tcW w:w="10775"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407" w:leader="none"/>
                <w:tab w:val="left" w:pos="662" w:leader="none"/>
              </w:tabs>
              <w:ind w:firstLine="567"/>
              <w:jc w:val="both"/>
              <w:rPr>
                <w:rFonts w:ascii="Times New Roman" w:hAnsi="Times New Roman"/>
                <w:color w:val="000000"/>
                <w:sz w:val="26"/>
                <w:szCs w:val="26"/>
                <w:lang w:val="uk-UA"/>
              </w:rPr>
            </w:pPr>
            <w:r>
              <w:rPr>
                <w:rFonts w:ascii="Times New Roman" w:hAnsi="Times New Roman"/>
                <w:color w:val="000000"/>
                <w:kern w:val="0"/>
                <w:sz w:val="26"/>
                <w:szCs w:val="26"/>
                <w:lang w:val="uk-UA" w:eastAsia="en-US" w:bidi="ar-SA"/>
              </w:rPr>
              <w:t xml:space="preserve">Творчі колективи та окремі виконавці закладів культури громади здобули більше 500 нагород на міжнародних мистецьких конкурсах і фестивалях, серед яких: </w:t>
            </w:r>
            <w:r>
              <w:rPr>
                <w:rFonts w:ascii="Times New Roman" w:hAnsi="Times New Roman"/>
                <w:color w:val="000000"/>
                <w:w w:val="95"/>
                <w:kern w:val="0"/>
                <w:sz w:val="26"/>
                <w:szCs w:val="26"/>
                <w:lang w:val="uk-UA" w:eastAsia="en-US" w:bidi="ar-SA"/>
              </w:rPr>
              <w:t xml:space="preserve">конкурси </w:t>
            </w:r>
            <w:r>
              <w:rPr>
                <w:rFonts w:ascii="Times New Roman" w:hAnsi="Times New Roman"/>
                <w:color w:val="000000"/>
                <w:kern w:val="0"/>
                <w:sz w:val="26"/>
                <w:szCs w:val="26"/>
                <w:lang w:val="uk-UA" w:eastAsia="en-US" w:bidi="ar-SA"/>
              </w:rPr>
              <w:t xml:space="preserve">мистецтв </w:t>
            </w:r>
            <w:r>
              <w:rPr>
                <w:rFonts w:ascii="Times New Roman" w:hAnsi="Times New Roman"/>
                <w:color w:val="000000"/>
                <w:spacing w:val="-1"/>
                <w:kern w:val="0"/>
                <w:sz w:val="26"/>
                <w:szCs w:val="26"/>
                <w:lang w:val="uk-UA" w:eastAsia="en-US" w:bidi="ar-SA"/>
              </w:rPr>
              <w:t>«Творчість.UA»,</w:t>
            </w:r>
            <w:r>
              <w:rPr>
                <w:rFonts w:ascii="Times New Roman" w:hAnsi="Times New Roman"/>
                <w:color w:val="000000"/>
                <w:kern w:val="0"/>
                <w:sz w:val="26"/>
                <w:szCs w:val="26"/>
                <w:lang w:val="uk-UA" w:eastAsia="en-US" w:bidi="ar-SA"/>
              </w:rPr>
              <w:t xml:space="preserve"> «Польська весна» (м. Варшава), «PianoForte Greatfest 2024» </w:t>
            </w:r>
            <w:r>
              <w:rPr>
                <w:rFonts w:ascii="Times New Roman" w:hAnsi="Times New Roman"/>
                <w:color w:val="000000"/>
                <w:spacing w:val="-7"/>
                <w:kern w:val="0"/>
                <w:sz w:val="26"/>
                <w:szCs w:val="26"/>
                <w:lang w:val="uk-UA" w:eastAsia="en-US" w:bidi="ar-SA"/>
              </w:rPr>
              <w:t>(</w:t>
            </w:r>
            <w:r>
              <w:rPr>
                <w:rFonts w:ascii="Times New Roman" w:hAnsi="Times New Roman"/>
                <w:color w:val="000000"/>
                <w:kern w:val="0"/>
                <w:sz w:val="26"/>
                <w:szCs w:val="26"/>
                <w:lang w:val="uk-UA" w:eastAsia="en-US" w:bidi="ar-SA"/>
              </w:rPr>
              <w:t>м. Львів),</w:t>
            </w:r>
            <w:r>
              <w:rPr>
                <w:rFonts w:ascii="Times New Roman" w:hAnsi="Times New Roman"/>
                <w:color w:val="000000"/>
                <w:spacing w:val="-1"/>
                <w:kern w:val="0"/>
                <w:sz w:val="26"/>
                <w:szCs w:val="26"/>
                <w:lang w:val="uk-UA" w:eastAsia="en-US" w:bidi="ar-SA"/>
              </w:rPr>
              <w:t xml:space="preserve"> «Inter </w:t>
            </w:r>
            <w:r>
              <w:rPr>
                <w:rFonts w:ascii="Times New Roman" w:hAnsi="Times New Roman"/>
                <w:color w:val="000000"/>
                <w:kern w:val="0"/>
                <w:sz w:val="26"/>
                <w:szCs w:val="26"/>
                <w:lang w:val="uk-UA" w:eastAsia="en-US" w:bidi="ar-SA"/>
              </w:rPr>
              <w:t xml:space="preserve">Ego» of Mira </w:t>
            </w:r>
            <w:r>
              <w:rPr>
                <w:rFonts w:ascii="Times New Roman" w:hAnsi="Times New Roman"/>
                <w:color w:val="000000"/>
                <w:spacing w:val="-1"/>
                <w:kern w:val="0"/>
                <w:sz w:val="26"/>
                <w:szCs w:val="26"/>
                <w:lang w:val="uk-UA" w:eastAsia="en-US" w:bidi="ar-SA"/>
              </w:rPr>
              <w:t>Shentiurk music (</w:t>
            </w:r>
            <w:r>
              <w:rPr>
                <w:rFonts w:ascii="Times New Roman" w:hAnsi="Times New Roman"/>
                <w:color w:val="000000"/>
                <w:kern w:val="0"/>
                <w:sz w:val="26"/>
                <w:szCs w:val="26"/>
                <w:lang w:val="uk-UA" w:eastAsia="en-US" w:bidi="ar-SA"/>
              </w:rPr>
              <w:t xml:space="preserve">м. Анталія, Туреччина), </w:t>
            </w:r>
            <w:r>
              <w:rPr>
                <w:rFonts w:ascii="Times New Roman" w:hAnsi="Times New Roman"/>
                <w:color w:val="000000"/>
                <w:spacing w:val="-1"/>
                <w:kern w:val="0"/>
                <w:sz w:val="26"/>
                <w:szCs w:val="26"/>
                <w:lang w:val="uk-UA" w:eastAsia="en-US" w:bidi="ar-SA"/>
              </w:rPr>
              <w:t>фестивалі</w:t>
            </w:r>
            <w:r>
              <w:rPr>
                <w:rFonts w:ascii="Times New Roman" w:hAnsi="Times New Roman"/>
                <w:color w:val="000000"/>
                <w:spacing w:val="28"/>
                <w:kern w:val="0"/>
                <w:sz w:val="26"/>
                <w:szCs w:val="26"/>
                <w:lang w:val="uk-UA" w:eastAsia="en-US" w:bidi="ar-SA"/>
              </w:rPr>
              <w:t>-</w:t>
            </w:r>
            <w:r>
              <w:rPr>
                <w:rFonts w:ascii="Times New Roman" w:hAnsi="Times New Roman"/>
                <w:color w:val="000000"/>
                <w:kern w:val="0"/>
                <w:sz w:val="26"/>
                <w:szCs w:val="26"/>
                <w:lang w:val="uk-UA" w:eastAsia="en-US" w:bidi="ar-SA"/>
              </w:rPr>
              <w:t xml:space="preserve">конкурси «Golden </w:t>
            </w:r>
            <w:r>
              <w:rPr>
                <w:rFonts w:ascii="Times New Roman" w:hAnsi="Times New Roman"/>
                <w:color w:val="000000"/>
                <w:spacing w:val="-1"/>
                <w:kern w:val="0"/>
                <w:sz w:val="26"/>
                <w:szCs w:val="26"/>
                <w:lang w:val="uk-UA" w:eastAsia="en-US" w:bidi="ar-SA"/>
              </w:rPr>
              <w:t xml:space="preserve">fest», </w:t>
            </w:r>
            <w:r>
              <w:rPr>
                <w:rFonts w:eastAsia="Times New Roman" w:ascii="Times New Roman" w:hAnsi="Times New Roman"/>
                <w:bCs/>
                <w:color w:val="000000"/>
                <w:kern w:val="0"/>
                <w:sz w:val="26"/>
                <w:szCs w:val="26"/>
                <w:lang w:val="uk-UA" w:eastAsia="en-US" w:bidi="ar-SA"/>
              </w:rPr>
              <w:t>«Зореграй» (м. Запоріжжя),</w:t>
            </w:r>
            <w:r>
              <w:rPr>
                <w:rFonts w:ascii="Times New Roman" w:hAnsi="Times New Roman"/>
                <w:color w:val="000000"/>
                <w:kern w:val="0"/>
                <w:sz w:val="26"/>
                <w:szCs w:val="26"/>
                <w:lang w:val="uk-UA" w:eastAsia="en-US" w:bidi="ar-SA"/>
              </w:rPr>
              <w:t xml:space="preserve"> канадсько-український дистанційний фестиваль дитячої творчості (м. Торонто) та інші.</w:t>
            </w:r>
          </w:p>
          <w:p>
            <w:pPr>
              <w:pStyle w:val="Normal"/>
              <w:widowControl w:val="false"/>
              <w:ind w:firstLine="567"/>
              <w:jc w:val="both"/>
              <w:rPr>
                <w:rFonts w:ascii="Times New Roman" w:hAnsi="Times New Roman" w:eastAsia="Calibri"/>
                <w:color w:val="000000"/>
                <w:sz w:val="26"/>
                <w:szCs w:val="26"/>
                <w:lang w:val="uk-UA" w:eastAsia="en-US"/>
              </w:rPr>
            </w:pPr>
            <w:r>
              <w:rPr>
                <w:rFonts w:eastAsia="Calibri" w:ascii="Times New Roman" w:hAnsi="Times New Roman"/>
                <w:color w:val="000000"/>
                <w:kern w:val="0"/>
                <w:sz w:val="26"/>
                <w:szCs w:val="26"/>
                <w:lang w:val="uk-UA" w:eastAsia="en-US" w:bidi="ar-SA"/>
              </w:rPr>
              <w:t xml:space="preserve">Роботи учнів Луцької художньої школи направлено для </w:t>
            </w:r>
            <w:r>
              <w:rPr>
                <w:rFonts w:eastAsia="Calibri" w:ascii="Times New Roman" w:hAnsi="Times New Roman"/>
                <w:color w:val="000000"/>
                <w:spacing w:val="-1"/>
                <w:kern w:val="0"/>
                <w:sz w:val="26"/>
                <w:szCs w:val="26"/>
                <w:lang w:val="uk-UA" w:eastAsia="en-US" w:bidi="ar-SA"/>
              </w:rPr>
              <w:t>участі</w:t>
            </w:r>
            <w:r>
              <w:rPr>
                <w:rFonts w:eastAsia="Calibri" w:ascii="Times New Roman" w:hAnsi="Times New Roman"/>
                <w:color w:val="000000"/>
                <w:kern w:val="0"/>
                <w:sz w:val="26"/>
                <w:szCs w:val="26"/>
                <w:lang w:val="uk-UA" w:eastAsia="en-US" w:bidi="ar-SA"/>
              </w:rPr>
              <w:t xml:space="preserve"> в конкурсі в м. Бітола (</w:t>
            </w:r>
            <w:r>
              <w:rPr>
                <w:rFonts w:eastAsia="Calibri" w:ascii="Times New Roman" w:hAnsi="Times New Roman"/>
                <w:color w:val="000000"/>
                <w:spacing w:val="-1"/>
                <w:kern w:val="0"/>
                <w:sz w:val="26"/>
                <w:szCs w:val="26"/>
                <w:lang w:val="uk-UA" w:eastAsia="en-US" w:bidi="ar-SA"/>
              </w:rPr>
              <w:t>Македонія)</w:t>
            </w:r>
            <w:r>
              <w:rPr>
                <w:rFonts w:eastAsia="Calibri" w:ascii="Times New Roman" w:hAnsi="Times New Roman"/>
                <w:color w:val="000000"/>
                <w:spacing w:val="44"/>
                <w:kern w:val="0"/>
                <w:sz w:val="26"/>
                <w:szCs w:val="26"/>
                <w:lang w:val="uk-UA" w:eastAsia="en-US" w:bidi="ar-SA"/>
              </w:rPr>
              <w:t xml:space="preserve"> </w:t>
            </w:r>
            <w:r>
              <w:rPr>
                <w:rFonts w:eastAsia="Calibri" w:ascii="Times New Roman" w:hAnsi="Times New Roman"/>
                <w:color w:val="000000"/>
                <w:kern w:val="0"/>
                <w:sz w:val="26"/>
                <w:szCs w:val="26"/>
                <w:lang w:val="uk-UA" w:eastAsia="en-US" w:bidi="ar-SA"/>
              </w:rPr>
              <w:t>та</w:t>
            </w:r>
            <w:r>
              <w:rPr>
                <w:rFonts w:eastAsia="Calibri" w:ascii="Times New Roman" w:hAnsi="Times New Roman"/>
                <w:color w:val="000000"/>
                <w:spacing w:val="44"/>
                <w:kern w:val="0"/>
                <w:sz w:val="26"/>
                <w:szCs w:val="26"/>
                <w:lang w:val="uk-UA" w:eastAsia="en-US" w:bidi="ar-SA"/>
              </w:rPr>
              <w:t xml:space="preserve"> </w:t>
            </w:r>
            <w:r>
              <w:rPr>
                <w:rFonts w:eastAsia="Calibri" w:ascii="Times New Roman" w:hAnsi="Times New Roman"/>
                <w:color w:val="000000"/>
                <w:kern w:val="0"/>
                <w:sz w:val="26"/>
                <w:szCs w:val="26"/>
                <w:lang w:val="uk-UA" w:eastAsia="en-US" w:bidi="ar-SA"/>
              </w:rPr>
              <w:t>м. Нова</w:t>
            </w:r>
            <w:r>
              <w:rPr>
                <w:rFonts w:eastAsia="Calibri" w:ascii="Times New Roman" w:hAnsi="Times New Roman"/>
                <w:color w:val="000000"/>
                <w:spacing w:val="44"/>
                <w:kern w:val="0"/>
                <w:sz w:val="26"/>
                <w:szCs w:val="26"/>
                <w:lang w:val="uk-UA" w:eastAsia="en-US" w:bidi="ar-SA"/>
              </w:rPr>
              <w:t xml:space="preserve"> </w:t>
            </w:r>
            <w:r>
              <w:rPr>
                <w:rFonts w:eastAsia="Calibri" w:ascii="Times New Roman" w:hAnsi="Times New Roman"/>
                <w:color w:val="000000"/>
                <w:kern w:val="0"/>
                <w:sz w:val="26"/>
                <w:szCs w:val="26"/>
                <w:lang w:val="uk-UA" w:eastAsia="en-US" w:bidi="ar-SA"/>
              </w:rPr>
              <w:t>Загора</w:t>
            </w:r>
            <w:r>
              <w:rPr>
                <w:rFonts w:eastAsia="Calibri" w:ascii="Times New Roman" w:hAnsi="Times New Roman"/>
                <w:color w:val="000000"/>
                <w:spacing w:val="44"/>
                <w:kern w:val="0"/>
                <w:sz w:val="26"/>
                <w:szCs w:val="26"/>
                <w:lang w:val="uk-UA" w:eastAsia="en-US" w:bidi="ar-SA"/>
              </w:rPr>
              <w:t xml:space="preserve"> (Б</w:t>
            </w:r>
            <w:r>
              <w:rPr>
                <w:rFonts w:eastAsia="Calibri" w:ascii="Times New Roman" w:hAnsi="Times New Roman"/>
                <w:color w:val="000000"/>
                <w:kern w:val="0"/>
                <w:sz w:val="26"/>
                <w:szCs w:val="26"/>
                <w:lang w:val="uk-UA" w:eastAsia="en-US" w:bidi="ar-SA"/>
              </w:rPr>
              <w:t>олгарія).</w:t>
            </w:r>
          </w:p>
          <w:p>
            <w:pPr>
              <w:pStyle w:val="Normal"/>
              <w:widowControl w:val="false"/>
              <w:ind w:firstLine="567"/>
              <w:jc w:val="both"/>
              <w:rPr/>
            </w:pPr>
            <w:r>
              <w:rPr>
                <w:rFonts w:eastAsia="Calibri" w:ascii="Times New Roman" w:hAnsi="Times New Roman"/>
                <w:color w:val="000000"/>
                <w:kern w:val="0"/>
                <w:sz w:val="26"/>
                <w:szCs w:val="26"/>
                <w:lang w:val="uk-UA" w:eastAsia="en-US" w:bidi="ar-SA"/>
              </w:rPr>
              <w:t xml:space="preserve">Зразковий аматорський ансамбль танцю «Волиняночка» Палацу культури м. Луцька презентував національну культуру на </w:t>
            </w:r>
            <w:r>
              <w:rPr>
                <w:rStyle w:val="X193iq5w"/>
                <w:rFonts w:eastAsia="Calibri" w:ascii="Times New Roman" w:hAnsi="Times New Roman"/>
                <w:color w:val="000000"/>
                <w:kern w:val="0"/>
                <w:sz w:val="26"/>
                <w:szCs w:val="26"/>
                <w:lang w:val="uk-UA" w:eastAsia="en-US" w:bidi="ar-SA"/>
              </w:rPr>
              <w:t xml:space="preserve">XXIV Міжнародному фестивалі-конкурсі хореографічного мистецтва «Арабески Італії» у м. Червія та </w:t>
            </w:r>
            <w:r>
              <w:rPr>
                <w:rStyle w:val="X193iq5w"/>
                <w:rFonts w:eastAsia="Calibri" w:cs="Times New Roman" w:ascii="Times New Roman" w:hAnsi="Times New Roman"/>
                <w:color w:val="000000"/>
                <w:kern w:val="0"/>
                <w:sz w:val="26"/>
                <w:szCs w:val="26"/>
                <w:lang w:val="uk-UA" w:eastAsia="en-US" w:bidi="ar-SA"/>
              </w:rPr>
              <w:t>у фестивалі «Festival Da Pinnocchio» (Італія).</w:t>
            </w:r>
          </w:p>
          <w:p>
            <w:pPr>
              <w:pStyle w:val="Normal"/>
              <w:widowControl w:val="false"/>
              <w:ind w:firstLine="567"/>
              <w:jc w:val="both"/>
              <w:rPr/>
            </w:pPr>
            <w:r>
              <w:rPr>
                <w:rStyle w:val="X193iq5w"/>
                <w:rFonts w:eastAsia="Calibri" w:cs="Times New Roman" w:ascii="Times New Roman" w:hAnsi="Times New Roman"/>
                <w:color w:val="000000"/>
                <w:kern w:val="0"/>
                <w:sz w:val="26"/>
                <w:szCs w:val="26"/>
                <w:lang w:val="uk-UA" w:eastAsia="en-US" w:bidi="ar-SA"/>
              </w:rPr>
              <w:t>Народний аматорський ансамбль танцю «Волинянка» Палацу культури міста Луцька побував у Французькій Республіці, де брав участь у міжнародному фольклорному фестивалі «Festival de Montignac-Lascaux Cultures aux Coeurs». Ансамбль народної музики «Волиняни» Луцької музичної школи № 3 презентували мистецтво України на міжнародному фестивалі у Польщі (м. Варшава). Фольклорний гурт «Зоряниця» та окремі виконавці Луцької музичної школи № 1 імені Фридерика Шопена взяли участь у заходах з нагоди Дня незалежності Польщі у м. Санок. Учасниці народного аматорського вокального гурту «Нота Нео» культурно-мистецького центру «Красне» взяли участь у концертному сезоні Міжнародного українського культурного центру у Фінляндії, де презентували українські різдвяні звичаї та традиції.</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Надано сприяння художниці Олені Звягінцевій щодо підготовки до участі у міжнародному виставковому проєкті «Трансгресії» у м. Швайнфурт, Німеччина.</w:t>
            </w:r>
          </w:p>
        </w:tc>
      </w:tr>
      <w:tr>
        <w:trPr>
          <w:trHeight w:val="288" w:hRule="atLeast"/>
        </w:trPr>
        <w:tc>
          <w:tcPr>
            <w:tcW w:w="54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809"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Реалізація заходів у рамках міжнародних проєктів та програм, підготовка проєктних заявок з метою залучення коштів міжнародної технічної допомоги, участь у культурно-мистецьких заходах за кордоном.</w:t>
            </w:r>
          </w:p>
        </w:tc>
        <w:tc>
          <w:tcPr>
            <w:tcW w:w="10775" w:type="dxa"/>
            <w:tcBorders>
              <w:left w:val="single" w:sz="4" w:space="0" w:color="000000"/>
              <w:bottom w:val="single" w:sz="4" w:space="0" w:color="000000"/>
              <w:right w:val="single" w:sz="4" w:space="0" w:color="000000"/>
            </w:tcBorders>
            <w:shd w:fill="auto" w:val="clear"/>
          </w:tcPr>
          <w:p>
            <w:pPr>
              <w:pStyle w:val="ListParagraph"/>
              <w:widowControl w:val="false"/>
              <w:tabs>
                <w:tab w:val="clear" w:pos="720"/>
                <w:tab w:val="left" w:pos="540" w:leader="none"/>
                <w:tab w:val="left" w:pos="709" w:leader="none"/>
              </w:tabs>
              <w:ind w:left="0" w:firstLine="567"/>
              <w:jc w:val="both"/>
              <w:rPr>
                <w:rFonts w:ascii="Times New Roman" w:hAnsi="Times New Roman"/>
                <w:color w:val="000000"/>
                <w:sz w:val="26"/>
                <w:szCs w:val="26"/>
                <w:lang w:val="uk-UA"/>
              </w:rPr>
            </w:pPr>
            <w:r>
              <w:rPr>
                <w:rFonts w:eastAsia="Calibri" w:cs="Times New Roman" w:ascii="Times New Roman" w:hAnsi="Times New Roman"/>
                <w:color w:val="000000"/>
                <w:kern w:val="0"/>
                <w:sz w:val="26"/>
                <w:szCs w:val="26"/>
                <w:lang w:val="uk-UA" w:eastAsia="ru-RU" w:bidi="ar-SA"/>
              </w:rPr>
              <w:t>Більше 100 заходів проведено</w:t>
            </w:r>
            <w:r>
              <w:rPr>
                <w:rFonts w:eastAsia="Calibri" w:cs="Times New Roman" w:ascii="Times New Roman" w:hAnsi="Times New Roman"/>
                <w:color w:val="000000"/>
                <w:kern w:val="0"/>
                <w:sz w:val="26"/>
                <w:szCs w:val="26"/>
                <w:lang w:val="uk-UA" w:eastAsia="en-US" w:bidi="ar-SA"/>
              </w:rPr>
              <w:t xml:space="preserve"> в межах реалізації програми Ради Європи «Інтеркультурні міста»: онлайн зустрічі, тренінги, майстер-класи, покази вистав, квести, екскурсії, які спрямовані на представників національних спільнот, ВПО та інших мешканців громади.</w:t>
            </w:r>
          </w:p>
          <w:p>
            <w:pPr>
              <w:pStyle w:val="Normal"/>
              <w:widowControl w:val="false"/>
              <w:tabs>
                <w:tab w:val="clear" w:pos="720"/>
                <w:tab w:val="left" w:pos="540" w:leader="none"/>
                <w:tab w:val="left" w:pos="709" w:leader="none"/>
              </w:tabs>
              <w:ind w:firstLine="567"/>
              <w:jc w:val="both"/>
              <w:rPr>
                <w:rFonts w:ascii="Times New Roman" w:hAnsi="Times New Roman" w:cs="Times New Roman"/>
                <w:color w:val="000000"/>
                <w:sz w:val="26"/>
                <w:szCs w:val="26"/>
                <w:lang w:val="uk-UA" w:eastAsia="en-US"/>
              </w:rPr>
            </w:pPr>
            <w:r>
              <w:rPr>
                <w:rFonts w:cs="Times New Roman" w:ascii="Times New Roman" w:hAnsi="Times New Roman"/>
                <w:color w:val="000000"/>
                <w:kern w:val="0"/>
                <w:sz w:val="26"/>
                <w:szCs w:val="26"/>
                <w:lang w:val="uk-UA" w:eastAsia="en-US" w:bidi="ar-SA"/>
              </w:rPr>
              <w:t xml:space="preserve">В межах реалізації проєкту Ради Європи «Підтримка </w:t>
            </w:r>
            <w:r>
              <w:rPr>
                <w:rFonts w:cs="Times New Roman" w:ascii="Times New Roman" w:hAnsi="Times New Roman"/>
                <w:color w:val="000000"/>
                <w:spacing w:val="-1"/>
                <w:kern w:val="0"/>
                <w:sz w:val="26"/>
                <w:szCs w:val="26"/>
                <w:lang w:val="uk-UA" w:eastAsia="en-US" w:bidi="ar-SA"/>
              </w:rPr>
              <w:t>реформування</w:t>
            </w:r>
            <w:r>
              <w:rPr>
                <w:rFonts w:cs="Times New Roman" w:ascii="Times New Roman" w:hAnsi="Times New Roman"/>
                <w:color w:val="000000"/>
                <w:spacing w:val="22"/>
                <w:kern w:val="0"/>
                <w:sz w:val="26"/>
                <w:szCs w:val="26"/>
                <w:lang w:val="uk-UA" w:eastAsia="en-US" w:bidi="ar-SA"/>
              </w:rPr>
              <w:t xml:space="preserve"> з</w:t>
            </w:r>
            <w:r>
              <w:rPr>
                <w:rFonts w:cs="Times New Roman" w:ascii="Times New Roman" w:hAnsi="Times New Roman"/>
                <w:color w:val="000000"/>
                <w:spacing w:val="-1"/>
                <w:kern w:val="0"/>
                <w:sz w:val="26"/>
                <w:szCs w:val="26"/>
                <w:lang w:val="uk-UA" w:eastAsia="en-US" w:bidi="ar-SA"/>
              </w:rPr>
              <w:t xml:space="preserve">аконодавчої бази щодо </w:t>
            </w:r>
            <w:r>
              <w:rPr>
                <w:rFonts w:cs="Times New Roman" w:ascii="Times New Roman" w:hAnsi="Times New Roman"/>
                <w:color w:val="000000"/>
                <w:kern w:val="0"/>
                <w:sz w:val="26"/>
                <w:szCs w:val="26"/>
                <w:lang w:val="uk-UA" w:eastAsia="en-US" w:bidi="ar-SA"/>
              </w:rPr>
              <w:t xml:space="preserve">національних меншин та </w:t>
            </w:r>
            <w:r>
              <w:rPr>
                <w:rFonts w:cs="Times New Roman" w:ascii="Times New Roman" w:hAnsi="Times New Roman"/>
                <w:color w:val="000000"/>
                <w:spacing w:val="-1"/>
                <w:kern w:val="0"/>
                <w:sz w:val="26"/>
                <w:szCs w:val="26"/>
                <w:lang w:val="uk-UA" w:eastAsia="en-US" w:bidi="ar-SA"/>
              </w:rPr>
              <w:t xml:space="preserve">зміцнення </w:t>
            </w:r>
            <w:r>
              <w:rPr>
                <w:rFonts w:cs="Times New Roman" w:ascii="Times New Roman" w:hAnsi="Times New Roman"/>
                <w:color w:val="000000"/>
                <w:kern w:val="0"/>
                <w:sz w:val="26"/>
                <w:szCs w:val="26"/>
                <w:lang w:val="uk-UA" w:eastAsia="en-US" w:bidi="ar-SA"/>
              </w:rPr>
              <w:t>стійкості</w:t>
            </w:r>
            <w:r>
              <w:rPr>
                <w:rFonts w:cs="Times New Roman" w:ascii="Times New Roman" w:hAnsi="Times New Roman"/>
                <w:color w:val="000000"/>
                <w:spacing w:val="-1"/>
                <w:kern w:val="0"/>
                <w:sz w:val="26"/>
                <w:szCs w:val="26"/>
                <w:lang w:val="uk-UA" w:eastAsia="en-US" w:bidi="ar-SA"/>
              </w:rPr>
              <w:t xml:space="preserve"> національних меншин</w:t>
            </w:r>
            <w:r>
              <w:rPr>
                <w:rFonts w:cs="Times New Roman" w:ascii="Times New Roman" w:hAnsi="Times New Roman"/>
                <w:color w:val="000000"/>
                <w:kern w:val="0"/>
                <w:sz w:val="26"/>
                <w:szCs w:val="26"/>
                <w:lang w:val="uk-UA" w:eastAsia="en-US" w:bidi="ar-SA"/>
              </w:rPr>
              <w:t xml:space="preserve"> і </w:t>
            </w:r>
            <w:r>
              <w:rPr>
                <w:rFonts w:cs="Times New Roman" w:ascii="Times New Roman" w:hAnsi="Times New Roman"/>
                <w:color w:val="000000"/>
                <w:spacing w:val="-1"/>
                <w:kern w:val="0"/>
                <w:sz w:val="26"/>
                <w:szCs w:val="26"/>
                <w:lang w:val="uk-UA" w:eastAsia="en-US" w:bidi="ar-SA"/>
              </w:rPr>
              <w:t>ромів</w:t>
            </w:r>
            <w:r>
              <w:rPr>
                <w:rFonts w:cs="Times New Roman" w:ascii="Times New Roman" w:hAnsi="Times New Roman"/>
                <w:color w:val="000000"/>
                <w:kern w:val="0"/>
                <w:sz w:val="26"/>
                <w:szCs w:val="26"/>
                <w:lang w:val="uk-UA" w:eastAsia="en-US" w:bidi="ar-SA"/>
              </w:rPr>
              <w:t xml:space="preserve"> в </w:t>
            </w:r>
            <w:r>
              <w:rPr>
                <w:rFonts w:cs="Times New Roman" w:ascii="Times New Roman" w:hAnsi="Times New Roman"/>
                <w:color w:val="000000"/>
                <w:spacing w:val="-1"/>
                <w:kern w:val="0"/>
                <w:sz w:val="26"/>
                <w:szCs w:val="26"/>
                <w:lang w:val="uk-UA" w:eastAsia="en-US" w:bidi="ar-SA"/>
              </w:rPr>
              <w:t xml:space="preserve">Україні» </w:t>
            </w:r>
            <w:r>
              <w:rPr>
                <w:rFonts w:cs="Times New Roman" w:ascii="Times New Roman" w:hAnsi="Times New Roman"/>
                <w:color w:val="000000"/>
                <w:kern w:val="0"/>
                <w:sz w:val="26"/>
                <w:szCs w:val="26"/>
                <w:lang w:val="uk-UA" w:eastAsia="en-US" w:bidi="ar-SA"/>
              </w:rPr>
              <w:t xml:space="preserve">упроваджено проєкти «Арттерапія для ВПО/Ромських дітей» та «Разом сильніші: підтримка та розширення можливостей національних меншин у Луцьку під час війни»; проведено </w:t>
            </w:r>
            <w:r>
              <w:rPr>
                <w:rFonts w:eastAsia="Calibri" w:cs="Times New Roman" w:ascii="Times New Roman" w:hAnsi="Times New Roman"/>
                <w:bCs/>
                <w:color w:val="000000"/>
                <w:kern w:val="0"/>
                <w:sz w:val="26"/>
                <w:szCs w:val="26"/>
                <w:lang w:val="uk-UA" w:eastAsia="en-US" w:bidi="ar-SA"/>
              </w:rPr>
              <w:t>тренінг для менеджерів культури «Фандрайзинг та проєктний менеджмент» за участі експертів Ради Європи.</w:t>
            </w:r>
          </w:p>
          <w:p>
            <w:pPr>
              <w:pStyle w:val="Normal"/>
              <w:widowControl w:val="false"/>
              <w:tabs>
                <w:tab w:val="clear" w:pos="720"/>
                <w:tab w:val="left" w:pos="540" w:leader="none"/>
                <w:tab w:val="left" w:pos="709" w:leader="none"/>
              </w:tabs>
              <w:ind w:firstLine="567"/>
              <w:jc w:val="both"/>
              <w:rPr>
                <w:rFonts w:ascii="Times New Roman" w:hAnsi="Times New Roman" w:cs="Times New Roman"/>
                <w:color w:val="000000"/>
                <w:sz w:val="26"/>
                <w:szCs w:val="26"/>
                <w:lang w:val="uk-UA" w:eastAsia="en-US"/>
              </w:rPr>
            </w:pPr>
            <w:r>
              <w:rPr>
                <w:rFonts w:cs="Times New Roman" w:ascii="Times New Roman" w:hAnsi="Times New Roman"/>
                <w:color w:val="000000"/>
                <w:kern w:val="0"/>
                <w:sz w:val="26"/>
                <w:szCs w:val="26"/>
                <w:lang w:val="uk-UA" w:eastAsia="en-US" w:bidi="ar-SA"/>
              </w:rPr>
              <w:t xml:space="preserve">У </w:t>
            </w:r>
            <w:r>
              <w:rPr>
                <w:rFonts w:eastAsia="Calibri" w:cs="Times New Roman" w:ascii="Times New Roman" w:hAnsi="Times New Roman"/>
                <w:color w:val="000000"/>
                <w:kern w:val="0"/>
                <w:sz w:val="26"/>
                <w:szCs w:val="26"/>
                <w:lang w:val="uk-UA" w:eastAsia="en-US" w:bidi="ar-SA"/>
              </w:rPr>
              <w:t>межах програми «Єднання заради дії», що втілюється Радою міжнародних наукових досліджень та обмінів (IREX в Україні) за підтримки Державного департаменту США, упроваджувався грантовий проєкт «ЯК ВДОМА: створення креативного простору для внутрішньо переміщених осіб на базі бібліотек Луцької МТГ» (в межах якого проведено 29 заходів).</w:t>
            </w:r>
          </w:p>
          <w:p>
            <w:pPr>
              <w:pStyle w:val="Normal"/>
              <w:widowControl w:val="false"/>
              <w:tabs>
                <w:tab w:val="clear" w:pos="720"/>
                <w:tab w:val="left" w:pos="540" w:leader="none"/>
                <w:tab w:val="left" w:pos="709" w:leader="none"/>
              </w:tabs>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На базі бібліотеки-філії № 1 КЗ «Публічна бібліотека Луцької територіальної громади» у 2024 році стартував міжнародний проєкт «Справедливість для української молоді: розслідування та переслідування воєнних злочинів російської федерації проти українських дітей», що підтримується Посольством США в Україні. Започатковано роботу Молодіжного клубу правосуддя, робота якого продовжуватиметься у 2025 році.</w:t>
            </w:r>
          </w:p>
          <w:p>
            <w:pPr>
              <w:pStyle w:val="Normal"/>
              <w:widowControl w:val="false"/>
              <w:tabs>
                <w:tab w:val="clear" w:pos="720"/>
                <w:tab w:val="left" w:pos="540" w:leader="none"/>
                <w:tab w:val="left" w:pos="709" w:leader="none"/>
              </w:tabs>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Розпочато реалізацію проєкту «Бібліотека для всіх: створення та облаштування інклюзивного громадського простору на базі центральної міської бібліотеки Луцької територіальної громади» у межах грантового конкурсу «Партнерство заради відновлення» Програми розвитку ООН, що фінансується урядом Швеції. Проєкт передбачає встановлення спеціалізованого обладнання, яке допоможе людям з вадами зору та слуху отримати повноцінний доступ до інформації та ресурсів бібліотеки. У 2024 році модернізовано приміщення, облаштовано спеціальні зони для навчання та розвитку, проведення тренінгів і культурно-соціальних заходів.</w:t>
            </w:r>
          </w:p>
        </w:tc>
      </w:tr>
      <w:tr>
        <w:trPr>
          <w:trHeight w:val="288" w:hRule="atLeast"/>
        </w:trPr>
        <w:tc>
          <w:tcPr>
            <w:tcW w:w="549"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809" w:type="dxa"/>
            <w:tcBorders>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Упровадження сучасних методів промоції культури, просування культурних продуктів.</w:t>
            </w:r>
          </w:p>
        </w:tc>
        <w:tc>
          <w:tcPr>
            <w:tcW w:w="10775"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Проведено навчання для менеджерів культури «SMM: як працюють алгоритми в соцмережах, поради з грамотного просування».</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Відбувається постійне висвітлення діяльності закладів культури у соціальних мережах (Facebook, Instagram, Telegram), на офіційних сайтах Луцької міської ради та департаменту культури.</w:t>
            </w:r>
          </w:p>
          <w:p>
            <w:pPr>
              <w:pStyle w:val="NoSpacing"/>
              <w:widowControl w:val="false"/>
              <w:ind w:firstLine="567"/>
              <w:jc w:val="both"/>
              <w:rPr/>
            </w:pPr>
            <w:r>
              <w:rPr>
                <w:rFonts w:ascii="Times New Roman" w:hAnsi="Times New Roman"/>
                <w:color w:val="000000"/>
                <w:sz w:val="26"/>
                <w:szCs w:val="26"/>
                <w:lang w:val="uk-UA"/>
              </w:rPr>
              <w:t xml:space="preserve">Створено </w:t>
            </w:r>
            <w:r>
              <w:rPr>
                <w:rFonts w:ascii="Times New Roman" w:hAnsi="Times New Roman"/>
                <w:color w:val="000000" w:themeColor="text1"/>
                <w:sz w:val="26"/>
                <w:szCs w:val="26"/>
                <w:lang w:val="uk-UA"/>
              </w:rPr>
              <w:t>11 </w:t>
            </w:r>
            <w:r>
              <w:rPr>
                <w:rStyle w:val="C23"/>
                <w:rFonts w:ascii="Times New Roman" w:hAnsi="Times New Roman"/>
                <w:color w:val="000000"/>
                <w:sz w:val="26"/>
                <w:szCs w:val="26"/>
                <w:lang w:val="uk-UA"/>
              </w:rPr>
              <w:t xml:space="preserve">презентаційно-промоційних </w:t>
            </w:r>
            <w:r>
              <w:rPr>
                <w:rFonts w:ascii="Times New Roman" w:hAnsi="Times New Roman"/>
                <w:color w:val="000000"/>
                <w:sz w:val="26"/>
                <w:szCs w:val="26"/>
                <w:lang w:val="uk-UA"/>
              </w:rPr>
              <w:t>відеороликів, до Всеукраїнського дня працівників культури та майстрів народного мистецтва підготовлено відеоінформацію про роботу галузі.</w:t>
            </w:r>
          </w:p>
          <w:p>
            <w:pPr>
              <w:pStyle w:val="NoSpacing"/>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В ефірі регіонального телебачення транслювалися відеосюжети про заклади культури громади та культурно-мистецькі заходи. Інформація про культурно-мистецьке життя громади висвітлюється в медіа. </w:t>
            </w:r>
            <w:r>
              <w:rPr>
                <w:rFonts w:eastAsia="Calibri" w:cs="Times New Roman" w:ascii="Times New Roman" w:hAnsi="Times New Roman"/>
                <w:color w:val="000000"/>
                <w:sz w:val="26"/>
                <w:szCs w:val="26"/>
                <w:lang w:val="uk-UA"/>
              </w:rPr>
              <w:t>Творчі колективи, окремі виконавці, учні мистецьких шкіл презентують творчий доробок громади шляхом участі у мистецьких конкурсах, фестивалях, інших культурно-мистецьких заходах.</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3.3.7. Фізична культура та спорт</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31"/>
        <w:gridCol w:w="3821"/>
        <w:gridCol w:w="10781"/>
      </w:tblGrid>
      <w:tr>
        <w:trPr>
          <w:trHeight w:val="615" w:hRule="atLeast"/>
        </w:trPr>
        <w:tc>
          <w:tcPr>
            <w:tcW w:w="531"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21"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3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21"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О</w:t>
            </w:r>
            <w:r>
              <w:rPr>
                <w:rFonts w:cs="Times New Roman" w:ascii="Times New Roman" w:hAnsi="Times New Roman"/>
                <w:color w:val="000000"/>
                <w:spacing w:val="-4"/>
                <w:sz w:val="26"/>
                <w:szCs w:val="26"/>
                <w:lang w:val="uk-UA"/>
              </w:rPr>
              <w:t>рганізація та проведення фізкультурно-оздоровчих та спортивно-масових заходів за місцем проживання та у місцях масового відпочинку громадян серед різних вікових категорій та соціальних груп.</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КЗ «Луцький МЦФЗН “Спорт для всіх”» проведено більше сотні спортивних заходів, в яких взяли участь більше шести тисяч учасників, наймасштабніші з яких: спортивно-патріотичний захід з дітьми-сиротами «Спорт, що об’єднує нас» з нагоди Дня прикордонника;</w:t>
            </w:r>
            <w:r>
              <w:rPr>
                <w:rFonts w:cs="Times New Roman" w:ascii="Times New Roman" w:hAnsi="Times New Roman"/>
                <w:b w:val="false"/>
                <w:bCs w:val="false"/>
                <w:color w:val="000000"/>
                <w:sz w:val="26"/>
                <w:szCs w:val="26"/>
                <w:lang w:val="uk-UA"/>
              </w:rPr>
              <w:t xml:space="preserve"> </w:t>
            </w:r>
            <w:r>
              <w:rPr>
                <w:rFonts w:eastAsia="NSimSun" w:cs="Times New Roman" w:ascii="Times New Roman" w:hAnsi="Times New Roman"/>
                <w:b w:val="false"/>
                <w:bCs w:val="false"/>
                <w:color w:val="000000"/>
                <w:kern w:val="2"/>
                <w:sz w:val="26"/>
                <w:szCs w:val="26"/>
                <w:lang w:val="uk-UA" w:eastAsia="zh-CN" w:bidi="hi-IN"/>
              </w:rPr>
              <w:t>ф</w:t>
            </w:r>
            <w:r>
              <w:rPr>
                <w:rFonts w:cs="Times New Roman" w:ascii="Times New Roman" w:hAnsi="Times New Roman"/>
                <w:b w:val="false"/>
                <w:bCs w:val="false"/>
                <w:color w:val="000000"/>
                <w:sz w:val="26"/>
                <w:szCs w:val="26"/>
                <w:lang w:val="uk-UA"/>
              </w:rPr>
              <w:t>ести</w:t>
            </w:r>
            <w:r>
              <w:rPr>
                <w:rFonts w:cs="Times New Roman" w:ascii="Times New Roman" w:hAnsi="Times New Roman"/>
                <w:color w:val="000000"/>
                <w:sz w:val="26"/>
                <w:szCs w:val="26"/>
                <w:lang w:val="uk-UA"/>
              </w:rPr>
              <w:t>валь спорту «Тато, мама, я – активна сім’я»; спортивні заходи з нагоди Міжнародного дня людей похилого віку; спортивні заходи для дітей та молоді з інвалідністю «Ти зможеш, якщо зміг я!», «Повір у себе»; ф</w:t>
            </w:r>
            <w:r>
              <w:rPr>
                <w:rFonts w:cs="Times New Roman" w:ascii="Times New Roman" w:hAnsi="Times New Roman"/>
                <w:b w:val="false"/>
                <w:bCs w:val="false"/>
                <w:color w:val="000000"/>
                <w:sz w:val="26"/>
                <w:szCs w:val="26"/>
                <w:lang w:val="uk-UA"/>
              </w:rPr>
              <w:t>естиваль</w:t>
            </w:r>
            <w:r>
              <w:rPr>
                <w:rFonts w:cs="Times New Roman" w:ascii="Times New Roman" w:hAnsi="Times New Roman"/>
                <w:color w:val="000000"/>
                <w:sz w:val="26"/>
                <w:szCs w:val="26"/>
                <w:lang w:val="uk-UA"/>
              </w:rPr>
              <w:t xml:space="preserve"> спорту серед молоді за програмою Всеукраїнських масових спортивних заходів для молоді «Здорова молодь – здорова нація», турнір з риболовлі в с. Коршів, тренування з ампфутболу тощо.</w:t>
            </w:r>
          </w:p>
        </w:tc>
      </w:tr>
      <w:tr>
        <w:trPr>
          <w:trHeight w:val="288" w:hRule="atLeast"/>
        </w:trPr>
        <w:tc>
          <w:tcPr>
            <w:tcW w:w="53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21"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pacing w:val="-4"/>
                <w:sz w:val="26"/>
                <w:szCs w:val="26"/>
                <w:lang w:val="uk-UA"/>
              </w:rPr>
              <w:t>Проведення спільно з міськими федераціями з видів спорту спартакіад, змагань, турнірів, майстер-класів та інших фізкультурно-оздоровчих та спортивних заходів серед здобувачів освіти.</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40" w:leader="none"/>
              </w:tabs>
              <w:ind w:firstLine="567"/>
              <w:jc w:val="both"/>
              <w:rPr>
                <w:rFonts w:ascii="Times New Roman" w:hAnsi="Times New Roman"/>
                <w:color w:val="000000"/>
                <w:sz w:val="26"/>
                <w:szCs w:val="26"/>
                <w:lang w:val="uk-UA"/>
              </w:rPr>
            </w:pPr>
            <w:r>
              <w:rPr>
                <w:rFonts w:cs="Times New Roman" w:ascii="Times New Roman" w:hAnsi="Times New Roman"/>
                <w:color w:val="000000"/>
                <w:spacing w:val="-4"/>
                <w:sz w:val="26"/>
                <w:szCs w:val="26"/>
                <w:lang w:val="uk-UA"/>
              </w:rPr>
              <w:t>У 2024 році було проведено козацький турнір з рукопашу гопак «Сильним доля усміхається», відкритий чемпіонат м. Луцька з волейболу серед жінок, фінальні змагання ІХ відкритого чемпіонату м. Луцька з мініфутболу (юнаки 2014 р. н. та молодші) «Весняний кубок – 2024», ІV Всеукраїнський турнір з волейболу серед юнаків пам’яті воїнів, які загинули, захищаючи незалежність і суверенітет України, відкритий чемпіонат м. Луцька з кіокушинкай карате «ЗАХІДНИЙ КОРДОН» (розділ «куміте»), турнір професійної диск-гольф асоціації Lutsk Disc Golf Open, бігові змагання «Альпініст Лучеськ Трейл 2024», відкритий благодійний турнір з гімнастики художньої «Чудовий світ дитинства», Всеукраїнський турнір з дзюдо на призи ЗМСУ Р. Машуренка, чемпіонат Луцької міської територіальної громади з футболу 2024, турнір з мініфутболу серед команд Луцької міської територіальної громади «Кубок міського голови – 2024», турнір з пляжного волейболу серед команд Луцької міської територіальної громади «Кубок міського голови – 2024», турнір з ММА пам’яті капітана ДРБ «Сонечко» Андрія «Тренера» Романова, турнір з тенісу серед юнаків та дівчат «Кубок міського голови – 2024» тощо. Усього на спортивно-масову роботу було витрачено 2 400,0 тис. грн (1 732,0</w:t>
            </w:r>
            <w:bookmarkStart w:id="17" w:name="_GoBack111"/>
            <w:bookmarkEnd w:id="17"/>
            <w:r>
              <w:rPr>
                <w:rFonts w:cs="Times New Roman" w:ascii="Times New Roman" w:hAnsi="Times New Roman"/>
                <w:color w:val="000000"/>
                <w:spacing w:val="-4"/>
                <w:sz w:val="26"/>
                <w:szCs w:val="26"/>
                <w:lang w:val="uk-UA"/>
              </w:rPr>
              <w:t> тис. грн – витрати на організацію та проведення заходів).</w:t>
            </w:r>
          </w:p>
        </w:tc>
      </w:tr>
      <w:tr>
        <w:trPr>
          <w:trHeight w:val="288" w:hRule="atLeast"/>
        </w:trPr>
        <w:tc>
          <w:tcPr>
            <w:tcW w:w="53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21"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Покращення спортивної інфраструктури шляхом будівництва спортивних споруд або реконструкції та модернізації діючих, зокрема щорічного будівництва багатофункціональних спортивних майданчиків.</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Протягом звітного року було проведено капітальний ремонт даху у ДЮСШ № 4 на суму 30,0 тис. грн. В ДЮСШ № 3 за програмою ЕСКО встановлено два теплові насоси, що дозволить зменшити споживання електроенергії для обігріву спорткомплексу. Було здійснено поточні ремонти таких об’єктів: спортивний майданчик зі штучним покриттям за адресою: Київський майдан, 1, 3 (839,1 тис. грн); спортивний майданчик з поліуретановим покриттям на вул. Глушець (74,1 тис. грн); спортивний майданчик зі штучним покриттям за адресою: просп. Соборності, 37б (99,3 тис. грн). Всього було використано 1 012,5 тис. грн.</w:t>
            </w:r>
          </w:p>
        </w:tc>
      </w:tr>
      <w:tr>
        <w:trPr>
          <w:trHeight w:val="288" w:hRule="atLeast"/>
        </w:trPr>
        <w:tc>
          <w:tcPr>
            <w:tcW w:w="53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21"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Проведення навчально-тренувальних зборів та забезпечення участі вихованців комунальних дитячо-юнацьких спортивних шкіл у змаганнях різних рівнів.</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60 навчально-тренувальних зборів, зокрема з французького боксу САВАТ, шотокан карате, пауерліфтингу, акробатики спортивної, ММА, боксу, дзюдо,  джиу-джитсу, комбат дзю-дзюцу, грепплінгу, спортивної радіопеленгації, кікбоксингу, сумо, карате кіокушинкай та інші.</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Забезпечено участь у змаганнях збірної команди Луцької МТГ: у Всеукраїнському турнірі «КУБОК ЛЮБАРТА» з сумо (ІІІ ранг); у Всеукраїнському турнірі з козацького двобою «Путь в октагон»; Всеукраїнському турнірі з дзюдо на призи Заслуженого майстра спорту України Руслана Машуренка серед молоді до 23 років (2002-2009 р. н.); у відкритому чемпіонаті Волинської області з баскетболу серед юнаків та дівчат 2013 р. н. та молодших.</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Витрати на участь збірних команд Луцької МТГ у змаганнях різних рівнів у 2024 році склали 22,9 тис. грн, на проведення навчально-тренувальних зборів </w:t>
            </w:r>
            <w:r>
              <w:rPr>
                <w:rFonts w:eastAsia="Times New Roman" w:cs="Times New Roman" w:ascii="Times New Roman" w:hAnsi="Times New Roman"/>
                <w:color w:val="000000"/>
                <w:sz w:val="26"/>
                <w:szCs w:val="26"/>
                <w:lang w:val="uk-UA"/>
              </w:rPr>
              <w:t>‒</w:t>
            </w:r>
            <w:r>
              <w:rPr>
                <w:rFonts w:ascii="Times New Roman" w:hAnsi="Times New Roman"/>
                <w:color w:val="000000"/>
                <w:sz w:val="26"/>
                <w:szCs w:val="26"/>
                <w:lang w:val="uk-UA"/>
              </w:rPr>
              <w:t xml:space="preserve"> 642,0 тис. грн.</w:t>
            </w:r>
          </w:p>
        </w:tc>
      </w:tr>
      <w:tr>
        <w:trPr>
          <w:trHeight w:val="1359" w:hRule="atLeast"/>
        </w:trPr>
        <w:tc>
          <w:tcPr>
            <w:tcW w:w="53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21"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s="Times New Roman"/>
                <w:color w:val="000000"/>
                <w:spacing w:val="-4"/>
                <w:sz w:val="26"/>
                <w:szCs w:val="26"/>
                <w:lang w:val="uk-UA"/>
              </w:rPr>
            </w:pPr>
            <w:r>
              <w:rPr>
                <w:rFonts w:cs="Times New Roman" w:ascii="Times New Roman" w:hAnsi="Times New Roman"/>
                <w:color w:val="000000"/>
                <w:spacing w:val="-4"/>
                <w:sz w:val="26"/>
                <w:szCs w:val="26"/>
                <w:lang w:val="uk-UA"/>
              </w:rPr>
              <w:t>Забезпечення комунальних дитячо-юнацьких спортивних шкіл необхідним спортивним інвентарем, обладнанням, спортивною екіпіровкою.</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Для дитячо-юнацьких спортивних шкіл у звітному періоді було придбано: фітнес-центр, велотренажер магнітний гриф технічний, диск важкоатлетичний, лава для преса, набір гантелей, лижні палиці, лижі, лижоролери, велоформа,  футбольні форми, табло світлодіодне, медболи (м’ячі медичні), м’ячі баскетбольні, вітровки, тренажер «гак машина», тренажер «дельта машина»; штангетки для важкої атлетики та інше.</w:t>
            </w:r>
          </w:p>
        </w:tc>
      </w:tr>
    </w:tbl>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bookmarkStart w:id="18" w:name="_heading=h.26in1rg"/>
      <w:bookmarkEnd w:id="18"/>
      <w:r>
        <w:rPr>
          <w:rFonts w:cs="Times New Roman" w:ascii="Times New Roman" w:hAnsi="Times New Roman"/>
          <w:b/>
          <w:color w:val="000000"/>
          <w:sz w:val="26"/>
          <w:szCs w:val="26"/>
          <w:lang w:val="uk-UA"/>
        </w:rPr>
        <w:t>3.4. СТВОРЕННЯ УМОВ ДЛЯ ПОКРАЩЕННЯ ДОВКІЛЛЯ</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ТА РЕСУРСОЗБЕРЕЖЕННЯ</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3.4.1. Охорона навколишнього природного середовища</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1"/>
        <w:gridCol w:w="3791"/>
        <w:gridCol w:w="10781"/>
      </w:tblGrid>
      <w:tr>
        <w:trPr>
          <w:trHeight w:val="615" w:hRule="atLeast"/>
        </w:trPr>
        <w:tc>
          <w:tcPr>
            <w:tcW w:w="561"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91"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Зменшення негативного впливу відходів на довкілля шляхом відокремлення окремих потоків відходів, їх повторної переробки, недопущення утворення рециклінгу.</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uk-UA"/>
              </w:rPr>
              <w:t xml:space="preserve">З травня 2024 року розпочато реалізацію міжнародного проєкту “Міста нуль відходів в Україні” в рамках Програми Life, що фінансується </w:t>
            </w:r>
            <w:r>
              <w:rPr>
                <w:rFonts w:cs="Times New Roman" w:ascii="Times New Roman" w:hAnsi="Times New Roman"/>
                <w:iCs/>
                <w:color w:val="000000"/>
                <w:sz w:val="26"/>
                <w:szCs w:val="26"/>
                <w:lang w:val="uk-UA" w:eastAsia="uk-UA"/>
              </w:rPr>
              <w:t>Європейським агентством з питань клімату, інфраструктури та навколишнього середовища (CINEA), відповідно до повноважень, делегованих Європейською Комісією</w:t>
            </w:r>
            <w:r>
              <w:rPr>
                <w:rFonts w:cs="Times New Roman" w:ascii="Times New Roman" w:hAnsi="Times New Roman"/>
                <w:color w:val="000000"/>
                <w:sz w:val="26"/>
                <w:szCs w:val="26"/>
                <w:lang w:val="uk-UA" w:eastAsia="uk-UA"/>
              </w:rPr>
              <w:t>. Проєкт спрямований на покращення системи управління відходами для чотирьох українських міст, одне з яких м. Луцьк. В рамках проєкту протягом року проведено дослідження ситуації в галузі управління побутовими відходами. Н</w:t>
            </w:r>
            <w:r>
              <w:rPr>
                <w:rFonts w:cs="Times New Roman" w:ascii="Times New Roman" w:hAnsi="Times New Roman"/>
                <w:color w:val="000000"/>
                <w:sz w:val="26"/>
                <w:szCs w:val="26"/>
                <w:lang w:val="uk-UA"/>
              </w:rPr>
              <w:t>а замовлення ЛСКАП «Луцькспецкомунтранс» у 2024 році ТзОВ «Центр ЛТД» виконано науково-технічний звіт морфологічного дослідження складу ТПВ Луцької МТГ,</w:t>
            </w:r>
            <w:r>
              <w:rPr>
                <w:rFonts w:cs="Times New Roman" w:ascii="Times New Roman" w:hAnsi="Times New Roman"/>
                <w:color w:val="000000"/>
                <w:sz w:val="26"/>
                <w:szCs w:val="26"/>
                <w:lang w:val="uk-UA" w:eastAsia="uk-UA"/>
              </w:rPr>
              <w:t xml:space="preserve"> розпочато створення геоінформаційної системи управління відходами.</w:t>
            </w:r>
          </w:p>
          <w:p>
            <w:pPr>
              <w:pStyle w:val="Normal"/>
              <w:widowControl w:val="false"/>
              <w:ind w:firstLine="567"/>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Підписано угоду про сертифікацію та приєднання до Європейської програми “Міста нуль відходів”, отримано статус місто-кандидат.</w:t>
            </w:r>
          </w:p>
          <w:p>
            <w:pPr>
              <w:pStyle w:val="Normal"/>
              <w:widowControl w:val="false"/>
              <w:ind w:firstLine="567"/>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В трьох пунктах роздільного збору відходів “Чистий Луцьк” на вул. Трункіна, 7, “Чисте довкілля” на вул. Ветеранів, ”Чиста громада” поблизу полігону в с. Брище створено умови для сортування та роздільного збору побутових відходів.</w:t>
            </w:r>
          </w:p>
          <w:p>
            <w:pPr>
              <w:pStyle w:val="Normal"/>
              <w:widowControl w:val="false"/>
              <w:ind w:firstLine="567"/>
              <w:jc w:val="both"/>
              <w:rPr>
                <w:rFonts w:ascii="Times New Roman" w:hAnsi="Times New Roman"/>
                <w:color w:val="000000"/>
                <w:sz w:val="26"/>
                <w:szCs w:val="26"/>
                <w:lang w:val="uk-UA" w:eastAsia="uk-UA"/>
              </w:rPr>
            </w:pPr>
            <w:r>
              <w:rPr>
                <w:rFonts w:ascii="Times New Roman" w:hAnsi="Times New Roman"/>
                <w:color w:val="000000"/>
                <w:sz w:val="26"/>
                <w:szCs w:val="26"/>
                <w:lang w:val="uk-UA" w:eastAsia="uk-UA"/>
              </w:rPr>
              <w:t>Розробляється проєктно-кошторисна документація на будівництво механіко-біологічного комплексу перевантаження та переробки ТПВ Луцької міської територіальної громади.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eastAsia="uk-UA"/>
              </w:rPr>
              <w:t>В аптеках та громадських закладах встановлено 15 спеціальних контейнерів для збору блістерів від ліків; у навчальних закладах встановлено 105 компостерів, проводяться позакласні заходи щодо роздільного збору відходів органіки.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eastAsia="uk-UA"/>
              </w:rPr>
              <w:t>“</w:t>
            </w:r>
            <w:r>
              <w:rPr>
                <w:rFonts w:ascii="Times New Roman" w:hAnsi="Times New Roman"/>
                <w:color w:val="000000"/>
                <w:sz w:val="26"/>
                <w:szCs w:val="26"/>
                <w:lang w:val="uk-UA" w:eastAsia="uk-UA"/>
              </w:rPr>
              <w:t>Зелені” відходи (скошена трава) вивозяться в сел. Рокині на приватне підприємство для компостування.</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eastAsia="uk-UA"/>
              </w:rPr>
              <w:t>ЛСКАП «Луцькспецкомунтранс» встановлено 10 контейнерів для роздільного збору скла на території м. Луцька.</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заходів щодо екологічного безпечного збирання, перевезення, зберігання, утилізації і знешкодження відходів.</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Передано на утилізацію 3 000 кг відпрацьованих батарейок, акумуляторів, зібраних з контейнерів, що встановлені у навчальних закладах громади та в загальнодоступних місцях.</w:t>
            </w:r>
          </w:p>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bidi="ar-SA"/>
              </w:rPr>
              <w:t xml:space="preserve">ПАТ “СКФ Україна” проведено робіт із </w:t>
            </w:r>
            <w:r>
              <w:rPr>
                <w:rFonts w:eastAsia="Times New Roman" w:cs="Times New Roman" w:ascii="Times New Roman" w:hAnsi="Times New Roman"/>
                <w:color w:val="000000"/>
                <w:sz w:val="26"/>
                <w:szCs w:val="26"/>
                <w:lang w:val="uk-UA"/>
              </w:rPr>
              <w:t>екологічно безпечного збирання, перевезення, зберігання, утилізації і знешкодження відходів</w:t>
            </w:r>
            <w:r>
              <w:rPr>
                <w:rFonts w:cs="Times New Roman" w:ascii="Times New Roman" w:hAnsi="Times New Roman"/>
                <w:color w:val="000000"/>
                <w:sz w:val="26"/>
                <w:szCs w:val="26"/>
                <w:lang w:val="uk-UA"/>
              </w:rPr>
              <w:t xml:space="preserve"> на суму 500</w:t>
            </w:r>
            <w:r>
              <w:rPr>
                <w:rFonts w:eastAsia="Times New Roman" w:cs="Times New Roman" w:ascii="Times New Roman" w:hAnsi="Times New Roman"/>
                <w:color w:val="000000"/>
                <w:sz w:val="26"/>
                <w:szCs w:val="26"/>
                <w:lang w:val="uk-UA" w:bidi="ar-SA"/>
              </w:rPr>
              <w:t xml:space="preserve">,0 тис. грн </w:t>
            </w:r>
            <w:r>
              <w:rPr>
                <w:rFonts w:eastAsia="Times New Roman" w:cs="Times New Roman" w:ascii="Times New Roman" w:hAnsi="Times New Roman"/>
                <w:color w:val="000000"/>
                <w:sz w:val="26"/>
                <w:szCs w:val="26"/>
                <w:lang w:val="uk-UA"/>
              </w:rPr>
              <w:t>за власні кошти.</w:t>
            </w:r>
          </w:p>
          <w:p>
            <w:pPr>
              <w:pStyle w:val="Normal"/>
              <w:widowControl w:val="false"/>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rPr>
              <w:t xml:space="preserve">ТзОВ “БАС Мотор” </w:t>
            </w:r>
            <w:r>
              <w:rPr>
                <w:rFonts w:eastAsia="Times New Roman" w:cs="Times New Roman" w:ascii="Times New Roman" w:hAnsi="Times New Roman"/>
                <w:color w:val="000000"/>
                <w:sz w:val="26"/>
                <w:szCs w:val="26"/>
                <w:lang w:val="uk-UA" w:bidi="ar-SA"/>
              </w:rPr>
              <w:t xml:space="preserve">проведено робіт із </w:t>
            </w:r>
            <w:r>
              <w:rPr>
                <w:rFonts w:eastAsia="Times New Roman" w:cs="Times New Roman" w:ascii="Times New Roman" w:hAnsi="Times New Roman"/>
                <w:color w:val="000000"/>
                <w:sz w:val="26"/>
                <w:szCs w:val="26"/>
                <w:lang w:val="uk-UA"/>
              </w:rPr>
              <w:t>екологічно безпечного збирання, перевезення, зберігання, утилізації і знешкодження відходів на суму 7</w:t>
            </w:r>
            <w:r>
              <w:rPr>
                <w:rFonts w:eastAsia="Times New Roman" w:cs="Times New Roman" w:ascii="Times New Roman" w:hAnsi="Times New Roman"/>
                <w:color w:val="000000"/>
                <w:sz w:val="26"/>
                <w:szCs w:val="26"/>
                <w:lang w:val="uk-UA" w:bidi="ar-SA"/>
              </w:rPr>
              <w:t xml:space="preserve">,7 тис. грн </w:t>
            </w:r>
            <w:r>
              <w:rPr>
                <w:rFonts w:eastAsia="Times New Roman" w:cs="Times New Roman" w:ascii="Times New Roman" w:hAnsi="Times New Roman"/>
                <w:color w:val="000000"/>
                <w:sz w:val="26"/>
                <w:szCs w:val="26"/>
                <w:lang w:val="uk-UA"/>
              </w:rPr>
              <w:t>за власні кошти.</w:t>
            </w:r>
          </w:p>
          <w:p>
            <w:pPr>
              <w:pStyle w:val="Normal"/>
              <w:widowControl w:val="false"/>
              <w:ind w:firstLine="567"/>
              <w:jc w:val="both"/>
              <w:rPr>
                <w:rFonts w:ascii="Times New Roman" w:hAnsi="Times New Roman" w:eastAsia="Times New Roman" w:cs="Times New Roman"/>
                <w:color w:val="000000"/>
                <w:sz w:val="26"/>
                <w:szCs w:val="26"/>
                <w:lang w:val="uk-UA" w:bidi="ar-SA"/>
              </w:rPr>
            </w:pPr>
            <w:r>
              <w:rPr>
                <w:rFonts w:eastAsia="Times New Roman" w:cs="Times New Roman" w:ascii="Times New Roman" w:hAnsi="Times New Roman"/>
                <w:color w:val="000000"/>
                <w:sz w:val="26"/>
                <w:szCs w:val="26"/>
                <w:lang w:val="uk-UA" w:bidi="ar-SA"/>
              </w:rPr>
              <w:t>ТзОВ “Луцька КПФ” проведено реконструкцію флотаційних пасток для очищення стічних вод на суму 400,0 тис. грн за власні кошти.</w:t>
            </w:r>
          </w:p>
          <w:p>
            <w:pPr>
              <w:pStyle w:val="Normal"/>
              <w:widowControl w:val="false"/>
              <w:ind w:firstLine="567"/>
              <w:rPr>
                <w:rFonts w:ascii="Times New Roman" w:hAnsi="Times New Roman" w:eastAsia="Times New Roman" w:cs="Times New Roman"/>
                <w:color w:val="000000"/>
                <w:sz w:val="26"/>
                <w:szCs w:val="26"/>
                <w:lang w:val="uk-UA" w:bidi="ar-SA"/>
              </w:rPr>
            </w:pPr>
            <w:r>
              <w:rPr>
                <w:rFonts w:eastAsia="Times New Roman" w:cs="Times New Roman" w:ascii="Times New Roman" w:hAnsi="Times New Roman"/>
                <w:color w:val="000000"/>
                <w:sz w:val="26"/>
                <w:szCs w:val="26"/>
                <w:lang w:val="uk-UA" w:bidi="ar-SA"/>
              </w:rPr>
              <w:t>ПрАТ “Теремно Хліб” виконано реконструкцію місця для тимчасового зберігання небезпечних відходів на суму 8,0 тис. грн.</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Придбання навчального обладнання для організації сортування відходів на територіях комунальних закладів освіти.</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опитування керівників навчальних закладів щодо потреби встановлення  обладнання для організації сортування відходів на територіях комунальних закладів освіти.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Придбано та встановлено у закладах дошкільної освіти 120-ти літрові кольорові контейнери для збору ПЕТ пляшки та скла (57 шт.), виготовлено спеціальні наліпки, проведено тренінг щодо використання та організації збору вторсировини. Вартість закупівлі контейнерів </w:t>
            </w:r>
            <w:r>
              <w:rPr>
                <w:rFonts w:eastAsia="Times New Roman" w:cs="Times New Roman" w:ascii="Times New Roman" w:hAnsi="Times New Roman"/>
                <w:color w:val="000000"/>
                <w:sz w:val="26"/>
                <w:szCs w:val="26"/>
                <w:lang w:val="uk-UA"/>
              </w:rPr>
              <w:t>–</w:t>
            </w:r>
            <w:r>
              <w:rPr>
                <w:rFonts w:ascii="Times New Roman" w:hAnsi="Times New Roman"/>
                <w:color w:val="000000"/>
                <w:sz w:val="26"/>
                <w:szCs w:val="26"/>
                <w:lang w:val="uk-UA"/>
              </w:rPr>
              <w:t xml:space="preserve"> 98,0 тис. грн, наліпок </w:t>
            </w:r>
            <w:r>
              <w:rPr>
                <w:rFonts w:eastAsia="Times New Roman" w:cs="Times New Roman" w:ascii="Times New Roman" w:hAnsi="Times New Roman"/>
                <w:color w:val="000000"/>
                <w:sz w:val="26"/>
                <w:szCs w:val="26"/>
                <w:lang w:val="uk-UA"/>
              </w:rPr>
              <w:t>–</w:t>
            </w:r>
            <w:r>
              <w:rPr>
                <w:rFonts w:ascii="Times New Roman" w:hAnsi="Times New Roman"/>
                <w:color w:val="000000"/>
                <w:sz w:val="26"/>
                <w:szCs w:val="26"/>
                <w:lang w:val="uk-UA"/>
              </w:rPr>
              <w:t xml:space="preserve"> 4,2 тис. грн.</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Закуплено з метою встановлення у закладах загальної середньої освіти 80-ти літрові картонні контейнери для збору алюмінієвої банки та ПЕТ-пляшки (100 шт.) вартістю 7,2 тис. грн, наліпки </w:t>
            </w:r>
            <w:r>
              <w:rPr>
                <w:rFonts w:eastAsia="Times New Roman" w:cs="Times New Roman" w:ascii="Times New Roman" w:hAnsi="Times New Roman"/>
                <w:color w:val="000000"/>
                <w:sz w:val="26"/>
                <w:szCs w:val="26"/>
                <w:lang w:val="uk-UA"/>
              </w:rPr>
              <w:t>‒</w:t>
            </w:r>
            <w:r>
              <w:rPr>
                <w:rFonts w:ascii="Times New Roman" w:hAnsi="Times New Roman"/>
                <w:color w:val="000000"/>
                <w:sz w:val="26"/>
                <w:szCs w:val="26"/>
                <w:lang w:val="uk-UA"/>
              </w:rPr>
              <w:t xml:space="preserve"> 4,2 тис. грн.</w:t>
            </w:r>
          </w:p>
        </w:tc>
      </w:tr>
      <w:tr>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налагоджувальних робіт на газоспалювальному обладнанні місцевих підприємств.</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ТзОВ</w:t>
            </w:r>
            <w:r>
              <w:rPr>
                <w:rFonts w:eastAsia="Times New Roman" w:cs="Times New Roman" w:ascii="Times New Roman" w:hAnsi="Times New Roman"/>
                <w:color w:val="000000"/>
                <w:sz w:val="26"/>
                <w:szCs w:val="26"/>
                <w:lang w:val="uk-UA" w:bidi="ar-SA"/>
              </w:rPr>
              <w:t> “БАС Мотор” виконано проведення режимно-налагоджувальних робіт на котлоагрегатах на суму 32,2 тис. грн.</w:t>
            </w:r>
          </w:p>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bidi="ar-SA"/>
              </w:rPr>
              <w:t>На ПАТ “СКФ Україна” проведено реконструкцію газоочисного устаткування на суму 338,0 тис. грн, підрядником ТзОВ “Sistem energy”.</w:t>
            </w:r>
          </w:p>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bidi="ar-SA"/>
              </w:rPr>
              <w:t>ДКП “Луцьктепло” виконано проведення режимно-налагоджувальних робіт на котлоагрегатах на суму 560,0 тис. грн.</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Ведення моніторингу показників вмісту небезпечних речовин в атмосферному повітрі.</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ПАТ</w:t>
            </w:r>
            <w:r>
              <w:rPr>
                <w:rFonts w:eastAsia="Times New Roman" w:cs="Times New Roman" w:ascii="Times New Roman" w:hAnsi="Times New Roman"/>
                <w:color w:val="000000"/>
                <w:spacing w:val="2"/>
                <w:sz w:val="26"/>
                <w:szCs w:val="26"/>
                <w:lang w:val="uk-UA" w:bidi="ar-SA"/>
              </w:rPr>
              <w:t xml:space="preserve"> “СКФ Україна” для </w:t>
            </w:r>
            <w:r>
              <w:rPr>
                <w:rFonts w:eastAsia="Times New Roman" w:cs="Times New Roman" w:ascii="Times New Roman" w:hAnsi="Times New Roman"/>
                <w:color w:val="000000"/>
                <w:spacing w:val="2"/>
                <w:sz w:val="26"/>
                <w:szCs w:val="26"/>
                <w:lang w:val="uk-UA"/>
              </w:rPr>
              <w:t>ведення моніторингу показників вмісту небезпечних речовин в атмосферному повітрі п</w:t>
            </w:r>
            <w:r>
              <w:rPr>
                <w:rFonts w:cs="Times New Roman" w:ascii="Times New Roman" w:hAnsi="Times New Roman"/>
                <w:color w:val="000000"/>
                <w:spacing w:val="2"/>
                <w:sz w:val="26"/>
                <w:szCs w:val="26"/>
                <w:lang w:val="uk-UA"/>
              </w:rPr>
              <w:t>ридбано обладнання на суму 36,0 тис. грн. Проведено лабораторний контроль за якісним складом стічних вод на суму 15,0 тис. грн.</w:t>
            </w:r>
          </w:p>
          <w:p>
            <w:pPr>
              <w:pStyle w:val="Normal"/>
              <w:widowControl w:val="false"/>
              <w:snapToGrid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pacing w:val="2"/>
                <w:sz w:val="26"/>
                <w:szCs w:val="26"/>
                <w:lang w:val="uk-UA"/>
              </w:rPr>
              <w:t xml:space="preserve">Проведено лабораторні дослідження викидів забруднюючих речовин в атмосферному повітрі від стацджерел на </w:t>
            </w:r>
            <w:r>
              <w:rPr>
                <w:rFonts w:eastAsia="Times New Roman" w:cs="Times New Roman" w:ascii="Times New Roman" w:hAnsi="Times New Roman"/>
                <w:color w:val="000000"/>
                <w:spacing w:val="2"/>
                <w:sz w:val="26"/>
                <w:szCs w:val="26"/>
                <w:lang w:val="uk-UA" w:bidi="ar-SA"/>
              </w:rPr>
              <w:t>ТзОВ “БАС Мотор” на суму 3,3 тис. грн.</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Утримання в належному стані прибережних захисних смуг та русел малих річок та інших водойм (очищення берегів р. Сапалаївка, Жидувка від порослі, самонасіву, аварійних дерев; розробка проєктно-кошторисної документації на розчищення русла р. Омеляник, виконання робіт з розчистки русла).</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Проведено</w:t>
            </w:r>
            <w:r>
              <w:rPr>
                <w:rFonts w:eastAsia="Times New Roman" w:cs="Times New Roman" w:ascii="Times New Roman" w:hAnsi="Times New Roman"/>
                <w:color w:val="000000"/>
                <w:sz w:val="26"/>
                <w:szCs w:val="26"/>
                <w:lang w:val="uk-UA" w:eastAsia="uk-UA" w:bidi="ar-SA"/>
              </w:rPr>
              <w:t xml:space="preserve"> роботи з видалення самосійних, аварійних дерев, чагарників на суму 305,0 тис. грн у водоохоронній зоні та прибережній смузі р. Сапалаївка від моста на вул. Шопена до вул. Кука Василя (по обидві сторони).</w:t>
            </w:r>
          </w:p>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uk-UA" w:bidi="ar-SA"/>
              </w:rPr>
              <w:t>Проведено очищення від чагарників, самонасіву водоохоронної зони та прибережної захисної смуги р. Стир на суму 98,7 тис. грн в районі вул. Набережної.</w:t>
            </w:r>
          </w:p>
          <w:p>
            <w:pPr>
              <w:pStyle w:val="Normal"/>
              <w:widowControl w:val="false"/>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z w:val="26"/>
                <w:szCs w:val="26"/>
                <w:lang w:val="uk-UA" w:eastAsia="uk-UA" w:bidi="ar-SA"/>
              </w:rPr>
              <w:t>Розпочато виготовлення проєктно-кошторисної документації та оцінки впливу на довкілля з відновлення гідрологічного режиму і санітарного стану р. Омеляник в с. Великий Омеляник та в м. Луцьку в районі вул. Володимирської, виконано робіт на суму 40,0 тис. грн.</w:t>
            </w:r>
          </w:p>
          <w:p>
            <w:pPr>
              <w:pStyle w:val="Normal"/>
              <w:widowControl w:val="false"/>
              <w:tabs>
                <w:tab w:val="clear" w:pos="720"/>
                <w:tab w:val="left" w:pos="570" w:leader="none"/>
              </w:tabs>
              <w:ind w:firstLine="567"/>
              <w:jc w:val="both"/>
              <w:rPr>
                <w:rFonts w:ascii="Times New Roman" w:hAnsi="Times New Roman" w:eastAsia="Times New Roman" w:cs="Times New Roman"/>
                <w:color w:val="000000"/>
                <w:sz w:val="26"/>
                <w:szCs w:val="26"/>
                <w:lang w:val="uk-UA" w:eastAsia="uk-UA" w:bidi="ar-SA"/>
              </w:rPr>
            </w:pPr>
            <w:r>
              <w:rPr>
                <w:rFonts w:eastAsia="Times New Roman" w:cs="Times New Roman" w:ascii="Times New Roman" w:hAnsi="Times New Roman"/>
                <w:color w:val="000000"/>
                <w:sz w:val="26"/>
                <w:szCs w:val="26"/>
                <w:lang w:val="uk-UA" w:eastAsia="uk-UA" w:bidi="ar-SA"/>
              </w:rPr>
              <w:t>Відновлення та підтримання сприятливого гідрологічного режиму та санітарного стану р. Омеляник (ліквідація заторів) на суму 19,7 тис. грн.</w:t>
            </w:r>
          </w:p>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z w:val="26"/>
                <w:szCs w:val="26"/>
                <w:lang w:val="uk-UA" w:bidi="ar-SA"/>
              </w:rPr>
              <w:t>ПАТ “СКФ Україна” проведено р</w:t>
            </w:r>
            <w:r>
              <w:rPr>
                <w:rFonts w:eastAsia="Times New Roman" w:cs="Times New Roman" w:ascii="Times New Roman" w:hAnsi="Times New Roman"/>
                <w:color w:val="000000"/>
                <w:sz w:val="26"/>
                <w:szCs w:val="26"/>
                <w:lang w:val="uk-UA" w:eastAsia="uk-UA" w:bidi="ar-SA"/>
              </w:rPr>
              <w:t>еконструкцію очисних споруд виробничих та дощових вод зі скидом в р. Жидувка на суму 2 000</w:t>
            </w:r>
            <w:r>
              <w:rPr>
                <w:rFonts w:eastAsia="Times New Roman" w:cs="Times New Roman" w:ascii="Times New Roman" w:hAnsi="Times New Roman"/>
                <w:color w:val="000000"/>
                <w:sz w:val="26"/>
                <w:szCs w:val="26"/>
                <w:lang w:val="uk-UA" w:bidi="ar-SA"/>
              </w:rPr>
              <w:t>,0 тис. грн, підрядник ТзОВ “Підшипник-енергоремонт”.</w:t>
            </w:r>
          </w:p>
        </w:tc>
      </w:tr>
      <w:tr>
        <w:trPr>
          <w:trHeight w:val="746"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Догляд за зеленими насадженнями.</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Виконано робіт зі створення нових насаджень, ландшафтних композицій та влаштовано квітників на суму 74 750,00 грн. За зверненнями громадян, установ та організацій проведено обстеження понад 2 000 дерев, проведено 12 засідань комісії з визначення стану зелених насаджень, складено 494 акти обстеження зелених насаджень.</w:t>
            </w:r>
          </w:p>
        </w:tc>
      </w:tr>
      <w:tr>
        <w:trPr>
          <w:trHeight w:val="746" w:hRule="atLeast"/>
        </w:trPr>
        <w:tc>
          <w:tcPr>
            <w:tcW w:w="561"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791" w:type="dxa"/>
            <w:tcBorders>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обліку зелених насаджень, створення реєстру старовікових дерев.</w:t>
            </w:r>
          </w:p>
        </w:tc>
        <w:tc>
          <w:tcPr>
            <w:tcW w:w="10781" w:type="dxa"/>
            <w:tcBorders>
              <w:left w:val="single" w:sz="4" w:space="0" w:color="000000"/>
              <w:bottom w:val="single" w:sz="4" w:space="0" w:color="000000"/>
              <w:right w:val="single" w:sz="4" w:space="0" w:color="000000"/>
            </w:tcBorders>
            <w:shd w:fill="auto" w:val="clear"/>
          </w:tcPr>
          <w:p>
            <w:pPr>
              <w:pStyle w:val="36"/>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Триває облік зелених насаджень на території громади. До аналітичної системи Inspektree внесено дані про 11 720 дерев, в т. ч. про старовікові дерева.</w:t>
            </w:r>
          </w:p>
        </w:tc>
      </w:tr>
      <w:tr>
        <w:trPr>
          <w:trHeight w:val="1126"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791"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Збереження та утримання територій і об'єктів природно-заповідного фонду (виготовлення землевпорядних документів, встановлення огородження, поточний догляд).</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Style38"/>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Розпочато виготовлення землевпорядної документації для встановлення меж територій та об’єктів природно-заповідного фонду (ПЗФ): Дуб біля будинку Косачів, Липа звичайна в с. Іванчиці віком 350 років, Липа звичайна в с. Іванчиці віком 250 років, Платан західний. Всього виконано робіт на суму 40,5 тис. грн.</w:t>
            </w:r>
          </w:p>
          <w:p>
            <w:pPr>
              <w:pStyle w:val="Style38"/>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Закуплено корми (мальок риби та вівсяні пластівці) для утримання тварин занесених до Червоної книги України, які перебувають на утримані в КП “Луцький зоопарк”, виготовлено металеві стенди та інформаційні таблиці про них.</w:t>
            </w:r>
          </w:p>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Виготовлено та встановлено підрядною організацією ПАТ “Сяйво” 30 металоконструкцій охоронних та інформаційних знаків для ознакування та винесення в натуру меж об’єктів ПЗФ на суму 93,0 тис. грн.</w:t>
            </w:r>
          </w:p>
          <w:p>
            <w:pPr>
              <w:pStyle w:val="Style38"/>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Здійснювався поточний догляд за територіями об’єктів природно-заповідного фонду, а саме викошування бур’янів та самонасів, полив саджанців.</w:t>
            </w:r>
          </w:p>
        </w:tc>
      </w:tr>
      <w:tr>
        <w:trPr>
          <w:trHeight w:val="288" w:hRule="atLeast"/>
        </w:trPr>
        <w:tc>
          <w:tcPr>
            <w:tcW w:w="561"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10.</w:t>
            </w:r>
          </w:p>
        </w:tc>
        <w:tc>
          <w:tcPr>
            <w:tcW w:w="3791" w:type="dxa"/>
            <w:tcBorders>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заходів по боротьбі з небезпечними інвазійними рослинами, обробка територій від паразитних комах, карантинних видів.</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w:t>
            </w:r>
            <w:r>
              <w:rPr>
                <w:rFonts w:eastAsia="Times New Roman" w:cs="Times New Roman" w:ascii="Times New Roman" w:hAnsi="Times New Roman"/>
                <w:color w:val="000000"/>
                <w:sz w:val="26"/>
                <w:szCs w:val="26"/>
                <w:lang w:val="uk-UA" w:bidi="ar-SA"/>
              </w:rPr>
              <w:t xml:space="preserve">роведено роботи щодо ліквідації </w:t>
            </w:r>
            <w:r>
              <w:rPr>
                <w:rFonts w:cs="Times New Roman" w:ascii="Times New Roman" w:hAnsi="Times New Roman"/>
                <w:color w:val="000000"/>
                <w:sz w:val="26"/>
                <w:szCs w:val="26"/>
                <w:lang w:val="uk-UA"/>
              </w:rPr>
              <w:t>чужорідних видів рослин, які загрожують природним екосистемам, а саме ліквідації Борщівника Сосновського</w:t>
            </w:r>
            <w:r>
              <w:rPr>
                <w:rFonts w:eastAsia="Times New Roman" w:cs="Times New Roman" w:ascii="Times New Roman" w:hAnsi="Times New Roman"/>
                <w:color w:val="000000"/>
                <w:sz w:val="26"/>
                <w:szCs w:val="26"/>
                <w:lang w:val="uk-UA" w:bidi="ar-SA"/>
              </w:rPr>
              <w:t xml:space="preserve"> на таких локаціях: прибережна смуга р. Жидувка в районі ЗОШ № 20, с. Липляни біля стариці р. Стир.</w:t>
            </w:r>
          </w:p>
          <w:p>
            <w:pPr>
              <w:pStyle w:val="Normal"/>
              <w:widowControl w:val="false"/>
              <w:ind w:firstLine="567"/>
              <w:jc w:val="both"/>
              <w:rPr>
                <w:rFonts w:ascii="Times New Roman" w:hAnsi="Times New Roman" w:eastAsia="Times New Roman" w:cs="Times New Roman"/>
                <w:color w:val="000000"/>
                <w:sz w:val="26"/>
                <w:szCs w:val="26"/>
                <w:lang w:val="uk-UA"/>
              </w:rPr>
            </w:pPr>
            <w:r>
              <w:rPr>
                <w:rFonts w:eastAsia="Times New Roman" w:cs="Times New Roman" w:ascii="Times New Roman" w:hAnsi="Times New Roman"/>
                <w:color w:val="000000"/>
                <w:sz w:val="26"/>
                <w:szCs w:val="26"/>
                <w:lang w:val="uk-UA" w:bidi="ar-SA"/>
              </w:rPr>
              <w:t>Здійснено дворазову обробку від кліщів, комарів та білого американського метелика територій загальноміських пляжів (Центральний пляж, пляж біля водойми в Теремно) та на території парків (Центральний парк культури та відпочинку ім. Лесі Українки, парк на вул. Конякіна, парк 900-річчя м. Луцька).</w:t>
            </w:r>
          </w:p>
        </w:tc>
      </w:tr>
      <w:tr>
        <w:trPr>
          <w:trHeight w:val="288" w:hRule="atLeast"/>
        </w:trPr>
        <w:tc>
          <w:tcPr>
            <w:tcW w:w="561"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11.</w:t>
            </w:r>
          </w:p>
        </w:tc>
        <w:tc>
          <w:tcPr>
            <w:tcW w:w="3791" w:type="dxa"/>
            <w:tcBorders>
              <w:left w:val="single" w:sz="4" w:space="0" w:color="000000"/>
              <w:bottom w:val="single" w:sz="4" w:space="0" w:color="000000"/>
            </w:tcBorders>
            <w:shd w:fill="auto" w:val="clear"/>
          </w:tcPr>
          <w:p>
            <w:pPr>
              <w:pStyle w:val="Standard"/>
              <w:widowControl w:val="false"/>
              <w:tabs>
                <w:tab w:val="clear" w:pos="720"/>
                <w:tab w:val="left" w:pos="57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загальноміських заходів та акцій щодо охорони навколишнього природного середовища, виготовлення поліграфічної продукції екологічної тематики.</w:t>
            </w:r>
          </w:p>
        </w:tc>
        <w:tc>
          <w:tcPr>
            <w:tcW w:w="10781" w:type="dxa"/>
            <w:tcBorders>
              <w:left w:val="single" w:sz="4" w:space="0" w:color="000000"/>
              <w:bottom w:val="single" w:sz="4" w:space="0" w:color="000000"/>
              <w:right w:val="single" w:sz="4" w:space="0" w:color="000000"/>
            </w:tcBorders>
            <w:shd w:fill="auto" w:val="clear"/>
          </w:tcPr>
          <w:p>
            <w:pPr>
              <w:pStyle w:val="36"/>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У 2024 році проведено ряд </w:t>
            </w:r>
            <w:r>
              <w:rPr>
                <w:rFonts w:cs="Times New Roman" w:ascii="Times New Roman" w:hAnsi="Times New Roman"/>
                <w:color w:val="000000"/>
                <w:sz w:val="26"/>
                <w:szCs w:val="26"/>
                <w:lang w:val="uk-UA" w:bidi="hi-IN"/>
              </w:rPr>
              <w:t>загальноміських заходів та акцій щодо охорони навколишнього природного середовища: толоки з прибирання прибережних територій річок Сапалаївка та Жидувка; загальноміську толоку до Всеукраїнського дня довкілля; толоку в с. Жидичин в заплаві стариці р. Стир. Проведено еколого-просвітницькі акції: у ЗДО № 7 на тему збереження біорізноманіття, зокрема значення комах у природі “Побудуємо містечко для корисних комах”, у ЗДО № 25 присвячені тематиці дослідження та збереження лісу, як екосистеми, та у ЗДО № 26 присвячений дню міста та вивченню природи рідного краю.</w:t>
            </w:r>
          </w:p>
          <w:p>
            <w:pPr>
              <w:pStyle w:val="Style38"/>
              <w:widowControl w:val="false"/>
              <w:ind w:firstLine="567"/>
              <w:jc w:val="both"/>
              <w:rPr>
                <w:rFonts w:ascii="Times New Roman" w:hAnsi="Times New Roman" w:cs="Times New Roman"/>
                <w:color w:val="000000"/>
                <w:sz w:val="26"/>
                <w:szCs w:val="26"/>
                <w:lang w:val="uk-UA" w:bidi="hi-IN"/>
              </w:rPr>
            </w:pPr>
            <w:r>
              <w:rPr>
                <w:rFonts w:cs="Times New Roman" w:ascii="Times New Roman" w:hAnsi="Times New Roman"/>
                <w:color w:val="000000"/>
                <w:sz w:val="26"/>
                <w:szCs w:val="26"/>
                <w:lang w:val="uk-UA" w:bidi="hi-IN"/>
              </w:rPr>
              <w:t>В березні 2024 року проведено освітній івент в Палаці учнівської молоді та підведення підсумків еколого-просвітницької роботи колективів екологічної просвіти закладів загальної середньої освіти, відзнаками міського голови нагороджено 9 осіб та 12 колективів.</w:t>
            </w:r>
          </w:p>
          <w:p>
            <w:pPr>
              <w:pStyle w:val="36"/>
              <w:widowControl w:val="false"/>
              <w:ind w:firstLine="567"/>
              <w:jc w:val="both"/>
              <w:rPr>
                <w:rFonts w:ascii="Times New Roman" w:hAnsi="Times New Roman" w:cs="Times New Roman"/>
                <w:color w:val="000000"/>
                <w:sz w:val="26"/>
                <w:szCs w:val="26"/>
                <w:lang w:val="uk-UA" w:bidi="hi-IN"/>
              </w:rPr>
            </w:pPr>
            <w:r>
              <w:rPr>
                <w:rFonts w:cs="Times New Roman" w:ascii="Times New Roman" w:hAnsi="Times New Roman"/>
                <w:color w:val="000000"/>
                <w:sz w:val="26"/>
                <w:szCs w:val="26"/>
                <w:lang w:val="uk-UA" w:bidi="hi-IN"/>
              </w:rPr>
              <w:t>В рамках другого етапу всеукраїнської акції “Шевченко єднає Україну” висаджено алею дубів на території КЗ загальної середньої освіти «Луцька гімназія № 17 Луцької міської ради». Висаджено 300 саджанців дуба звичайного у Національному природному парку Цуманська пуща.</w:t>
            </w:r>
          </w:p>
          <w:p>
            <w:pPr>
              <w:pStyle w:val="36"/>
              <w:widowControl w:val="false"/>
              <w:ind w:firstLine="567"/>
              <w:jc w:val="both"/>
              <w:rPr>
                <w:rFonts w:ascii="Times New Roman" w:hAnsi="Times New Roman" w:cs="Times New Roman"/>
                <w:color w:val="000000"/>
                <w:sz w:val="26"/>
                <w:szCs w:val="26"/>
                <w:lang w:val="uk-UA" w:bidi="hi-IN"/>
              </w:rPr>
            </w:pPr>
            <w:r>
              <w:rPr>
                <w:rFonts w:cs="Times New Roman" w:ascii="Times New Roman" w:hAnsi="Times New Roman"/>
                <w:color w:val="000000"/>
                <w:sz w:val="26"/>
                <w:szCs w:val="26"/>
                <w:lang w:val="uk-UA" w:bidi="hi-IN"/>
              </w:rPr>
              <w:t>10 травня у КЗ загальної середньої освіти «Луцька гімназія № 17 Луцької міської ради» проведено регіональну (не) конференцію, афілійований міні-EdCamp за темою “Формування екологічної компетентності учнівства в умовах євроінтеграції засобами міжнародної співпраці”.</w:t>
            </w:r>
          </w:p>
        </w:tc>
      </w:tr>
    </w:tbl>
    <w:p>
      <w:pPr>
        <w:pStyle w:val="Normal"/>
        <w:widowControl w:val="false"/>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widowControl w:val="false"/>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3.4.2. Розвиток ресурсоощадної та енергоефективної системи життєзабезпечення міста</w:t>
      </w:r>
    </w:p>
    <w:p>
      <w:pPr>
        <w:pStyle w:val="Normal"/>
        <w:widowControl w:val="false"/>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46"/>
        <w:gridCol w:w="3812"/>
        <w:gridCol w:w="10775"/>
      </w:tblGrid>
      <w:tr>
        <w:trPr>
          <w:trHeight w:val="615" w:hRule="atLeast"/>
        </w:trPr>
        <w:tc>
          <w:tcPr>
            <w:tcW w:w="546"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812"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7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Розробка адаптованого Плану дій сталого енергетичного розвитку та клімату Луцької міської територіальної громади.</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900" w:leader="none"/>
              </w:tabs>
              <w:ind w:firstLine="567"/>
              <w:jc w:val="both"/>
              <w:rPr/>
            </w:pPr>
            <w:r>
              <w:rPr>
                <w:rFonts w:cs="Times New Roman" w:ascii="Times New Roman" w:hAnsi="Times New Roman"/>
                <w:color w:val="000000"/>
                <w:sz w:val="26"/>
                <w:szCs w:val="26"/>
                <w:lang w:val="uk-UA"/>
              </w:rPr>
              <w:t>План дій сталого енергетичного розвитку та клімату Луцької міської територіальної громади до 2050 року затверджено рішенням Луцької міської ради від 29.05.2024 № 59/90. Разом з тим, розроблено та затверджено рішенням Луцької міської ради від 29.05.2024 № 59/89 «Звіт про стан виконання протягом 2019-2020 років програми «План дій зі сталого енергетичного розвитку міста Луцька на 2012-2025 роки (оновлена версія 2015 року)». За умовами Угоди мерів проведено ряд заходів щодо внесення даних, зазначених у вищевказаних нормативно-правових документах Луцької міської територіальної громади на сайті Угоди (</w:t>
            </w:r>
            <w:hyperlink r:id="rId16">
              <w:r>
                <w:rPr>
                  <w:rFonts w:ascii="Times New Roman" w:hAnsi="Times New Roman"/>
                  <w:color w:val="000000"/>
                  <w:sz w:val="26"/>
                  <w:szCs w:val="26"/>
                  <w:lang w:val="uk-UA"/>
                </w:rPr>
                <w:t>https://com-east.eu/</w:t>
              </w:r>
            </w:hyperlink>
            <w:r>
              <w:rPr>
                <w:rFonts w:ascii="Times New Roman" w:hAnsi="Times New Roman"/>
                <w:color w:val="000000"/>
                <w:sz w:val="26"/>
                <w:szCs w:val="26"/>
                <w:lang w:val="uk-UA"/>
              </w:rPr>
              <w:t>)</w:t>
            </w:r>
            <w:r>
              <w:rPr>
                <w:rFonts w:cs="Times New Roman" w:ascii="Times New Roman" w:hAnsi="Times New Roman"/>
                <w:color w:val="000000"/>
                <w:sz w:val="26"/>
                <w:szCs w:val="26"/>
                <w:lang w:val="uk-UA"/>
              </w:rPr>
              <w:t>, який має обмежений доступ.</w:t>
            </w:r>
          </w:p>
        </w:tc>
      </w:tr>
      <w:tr>
        <w:trPr>
          <w:trHeight w:val="288"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Проведення регулярного моніторингу споживання енергоресурсів бюджетними установами та закладами, розширення бази об’єктів моніторингу, розміщених в сільських населених пунктах, відповідно до «Меморандуму про партнерство щодо запровадження систем енергетичного менеджменту для підвищення енергетичної ефективності будівель бюджетних установ».</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Відповідно до Закону України «Про енергетичну ефективність», постанови Кабінету Міністрів України від 23.12.2021 № 1460 «Про впровадження систем енергетичного менеджменту» та розпорядження міського голови від 17.03.2023 № 74 «Про систему моніторингу споживання енергоносіїв», за допомогою системи онлайн-моніторингу «ЕнергоПлан» Луцькою міською радою щомісячно проводиться аналіз </w:t>
            </w:r>
            <w:r>
              <w:rPr>
                <w:rFonts w:cs="Times New Roman" w:ascii="Times New Roman" w:hAnsi="Times New Roman"/>
                <w:color w:val="000000"/>
                <w:sz w:val="26"/>
                <w:szCs w:val="26"/>
                <w:lang w:val="uk-UA"/>
              </w:rPr>
              <w:t>стану</w:t>
            </w:r>
            <w:r>
              <w:rPr>
                <w:rFonts w:ascii="Times New Roman" w:hAnsi="Times New Roman"/>
                <w:color w:val="000000"/>
                <w:sz w:val="26"/>
                <w:szCs w:val="26"/>
                <w:lang w:val="uk-UA"/>
              </w:rPr>
              <w:t xml:space="preserve"> споживання енергоресурсів бюджетними установами/закладами Луцької міської територіальної громади з розбивкою за будівлями та видами енергоресурсів із ранжуванням установ/закладів за обсягами питомого споживання</w:t>
            </w:r>
            <w:r>
              <w:rPr>
                <w:rFonts w:cs="Times New Roman" w:ascii="Times New Roman" w:hAnsi="Times New Roman"/>
                <w:color w:val="000000"/>
                <w:sz w:val="26"/>
                <w:szCs w:val="26"/>
                <w:lang w:val="uk-UA"/>
              </w:rPr>
              <w:t xml:space="preserve">. Результати аналізу доводяться до керівників </w:t>
            </w:r>
            <w:r>
              <w:rPr>
                <w:rFonts w:ascii="Times New Roman" w:hAnsi="Times New Roman"/>
                <w:color w:val="000000"/>
                <w:sz w:val="26"/>
                <w:szCs w:val="26"/>
                <w:lang w:val="uk-UA"/>
              </w:rPr>
              <w:t xml:space="preserve">установ/закладів </w:t>
            </w:r>
            <w:r>
              <w:rPr>
                <w:rFonts w:cs="Times New Roman" w:ascii="Times New Roman" w:hAnsi="Times New Roman"/>
                <w:color w:val="000000"/>
                <w:sz w:val="26"/>
                <w:szCs w:val="26"/>
                <w:lang w:val="uk-UA"/>
              </w:rPr>
              <w:t>для прийняття обґрунтованих рішень та вжиття відповідних заходів.</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Системою онлайн моніторингу «ЕнергоПлан» охоплено 178 установ та закладів, що мають в своєму володінні та/або користуванні 276 будівель. В процесі адміністрування програмного продукту «ЕнергоПлан» здійснюється постійний контроль щодо регулярного, своєчасного та правильного подання інформації виконавцями, редагування існуючої бази у випадку встановлення нових приладів обліку або їх демонтажу, уточнення та зміни вхідних даних щодо об’єктів. У звітному періоді до бази об’єктів моніторингу додано ще один заклад </w:t>
            </w:r>
            <w:r>
              <w:rPr>
                <w:rFonts w:eastAsia="Times New Roman" w:cs="Times New Roman" w:ascii="Times New Roman" w:hAnsi="Times New Roman"/>
                <w:color w:val="000000"/>
                <w:sz w:val="26"/>
                <w:szCs w:val="26"/>
                <w:lang w:val="uk-UA"/>
              </w:rPr>
              <w:t>–</w:t>
            </w:r>
            <w:r>
              <w:rPr>
                <w:rFonts w:cs="Times New Roman" w:ascii="Times New Roman" w:hAnsi="Times New Roman"/>
                <w:color w:val="000000"/>
                <w:sz w:val="26"/>
                <w:szCs w:val="26"/>
                <w:lang w:val="uk-UA"/>
              </w:rPr>
              <w:t xml:space="preserve"> КЗ «Кульчинська початкова школа № 36 Луцької міської ради».</w:t>
            </w:r>
          </w:p>
          <w:p>
            <w:pPr>
              <w:pStyle w:val="Normal"/>
              <w:widowControl w:val="false"/>
              <w:ind w:firstLine="567"/>
              <w:jc w:val="both"/>
              <w:rPr/>
            </w:pPr>
            <w:r>
              <w:rPr>
                <w:rFonts w:cs="Times New Roman" w:ascii="Times New Roman" w:hAnsi="Times New Roman"/>
                <w:color w:val="000000" w:themeColor="text1"/>
                <w:sz w:val="26"/>
                <w:szCs w:val="26"/>
                <w:lang w:val="uk-UA"/>
              </w:rPr>
              <w:t>Інформація про о</w:t>
            </w:r>
            <w:r>
              <w:rPr>
                <w:rFonts w:cs="Times New Roman" w:ascii="Times New Roman" w:hAnsi="Times New Roman"/>
                <w:color w:val="000000"/>
                <w:sz w:val="26"/>
                <w:szCs w:val="26"/>
                <w:lang w:val="uk-UA"/>
              </w:rPr>
              <w:t xml:space="preserve">бсяг та структуру енергоресурсів, спожитих бюджетними установами/закладами Луцької міської територіальної громади публікується помісячно на сайті міської ради: </w:t>
            </w:r>
            <w:hyperlink r:id="rId17">
              <w:r>
                <w:rPr>
                  <w:rFonts w:cs="Times New Roman" w:ascii="Times New Roman" w:hAnsi="Times New Roman"/>
                  <w:color w:val="000000"/>
                  <w:sz w:val="26"/>
                  <w:szCs w:val="26"/>
                  <w:lang w:val="uk-UA"/>
                </w:rPr>
                <w:t>https://www.lutskrada.gov.ua/pages/2024</w:t>
              </w:r>
            </w:hyperlink>
            <w:r>
              <w:rPr>
                <w:rFonts w:cs="Times New Roman" w:ascii="Times New Roman" w:hAnsi="Times New Roman"/>
                <w:color w:val="000000"/>
                <w:sz w:val="26"/>
                <w:szCs w:val="26"/>
                <w:lang w:val="uk-UA"/>
              </w:rPr>
              <w:t>.</w:t>
            </w:r>
          </w:p>
          <w:p>
            <w:pPr>
              <w:pStyle w:val="Normal"/>
              <w:widowControl w:val="false"/>
              <w:ind w:firstLine="567"/>
              <w:jc w:val="both"/>
              <w:rPr/>
            </w:pPr>
            <w:r>
              <w:rPr>
                <w:rFonts w:cs="Times New Roman" w:ascii="Times New Roman" w:hAnsi="Times New Roman"/>
                <w:color w:val="000000" w:themeColor="text1"/>
                <w:sz w:val="26"/>
                <w:szCs w:val="26"/>
                <w:lang w:val="uk-UA"/>
              </w:rPr>
              <w:t>На порталі відкритих даних</w:t>
            </w:r>
            <w:r>
              <w:rPr>
                <w:rFonts w:cs="Times New Roman" w:ascii="Times New Roman" w:hAnsi="Times New Roman"/>
                <w:color w:val="000000"/>
                <w:sz w:val="26"/>
                <w:szCs w:val="26"/>
                <w:lang w:val="uk-UA"/>
              </w:rPr>
              <w:t xml:space="preserve"> щомісячно </w:t>
            </w:r>
            <w:r>
              <w:rPr>
                <w:rFonts w:cs="Times New Roman" w:ascii="Times New Roman" w:hAnsi="Times New Roman"/>
                <w:color w:val="000000" w:themeColor="text1"/>
                <w:sz w:val="26"/>
                <w:szCs w:val="26"/>
                <w:lang w:val="uk-UA"/>
              </w:rPr>
              <w:t>публікується інформація про споживання енергоресурсів комунальними підприємствами, установами та організаціями (</w:t>
            </w:r>
            <w:hyperlink r:id="rId18">
              <w:r>
                <w:rPr>
                  <w:rFonts w:cs="Times New Roman" w:ascii="Times New Roman" w:hAnsi="Times New Roman"/>
                  <w:color w:val="000000" w:themeColor="text1"/>
                  <w:sz w:val="26"/>
                  <w:szCs w:val="26"/>
                  <w:lang w:val="uk-UA"/>
                </w:rPr>
                <w:t>https://data.lutskrada.gov.ua/dataset/64f40db6-4286-49a3-a5e2-164f2cf2730e</w:t>
              </w:r>
            </w:hyperlink>
            <w:r>
              <w:rPr>
                <w:rFonts w:cs="Times New Roman" w:ascii="Times New Roman" w:hAnsi="Times New Roman"/>
                <w:color w:val="000000" w:themeColor="text1"/>
                <w:sz w:val="26"/>
                <w:szCs w:val="26"/>
                <w:lang w:val="uk-UA"/>
              </w:rPr>
              <w:t>).</w:t>
            </w:r>
          </w:p>
        </w:tc>
      </w:tr>
      <w:tr>
        <w:trPr>
          <w:trHeight w:val="288"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Проведення обов’язкових обстежень об’єктів бюджетної сфери у разі значних відхилень рівня використання енергетичних ресурсів та вибіркових обстежень.</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 результатами аналізу споживання енергоресурсів бюджетними установами/закладами Луцької міської територіальної громади, з метою раціонального їх використання та врегулювання питомого споживання, міською радою вживаються контрольні заходи до згаданих об’єктів. У разі значних відхилень рівня використання енергетичних ресурсів проводиться інформаційно-роз’яснювальна робота щодо впровадження енергоефективних заходів.</w:t>
            </w:r>
          </w:p>
        </w:tc>
      </w:tr>
      <w:tr>
        <w:trPr>
          <w:trHeight w:val="288"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Збільшення кількості об’єктів, в яких впроваджуються енергоощадні заходи, згідно з укладеними енергосервісними договорами відповідно до «Меморандуму про партнерство щодо запровадження енергосервісу».</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Станом на 31.12.2024 в стадії реалізації знаходиться 35 енергосервісних договорів щодо скорочення споживання енергоресурсів та/або комунальних послуг закладами освіти, укладених між департаментом освіти Луцької міської ради, закладами загальної середньої освіти та ТОВ “ЕСКО ЦЕНТРАЛЬ”, ТОВ “ЕСКО ЮА”, ТОВ “ЕЛТЕК ЛАЙТ”, на загальну суму 227 889,3 тис. грн, з періодом реалізації 2022-2037 рокт. Планована економія за весь період реалізації договорів 77 437,305 </w:t>
            </w:r>
            <w:r>
              <w:rPr>
                <w:rFonts w:eastAsia="Calibri" w:cs="Times New Roman" w:ascii="Times New Roman" w:hAnsi="Times New Roman"/>
                <w:color w:val="000000"/>
                <w:kern w:val="0"/>
                <w:sz w:val="26"/>
                <w:szCs w:val="26"/>
                <w:lang w:val="uk-UA" w:eastAsia="en-US" w:bidi="ar-SA"/>
              </w:rPr>
              <w:t>Мвт*год.</w:t>
            </w:r>
          </w:p>
        </w:tc>
      </w:tr>
      <w:tr>
        <w:trPr>
          <w:trHeight w:val="288"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Забезпечення впровадження енергоефективних заходів бюджетними установами та закладами, комунальними підприємствами.</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 метою підвищення енергоефективності житлово-комунального сектору громади протягом звітного періоду здійснено:</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ЖКП № 7 – заміну 36 шт. ламп розжарювання на енергозберігаючі за кошти підприємства; 408 шт. – відповідно до затвердженої урядом програми для населення по обміну ламп розжарювання на світлодіодні лампи.</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ЖКП № 3 – заміну 722 шт. ламп розжарювання на енергозберігаючі </w:t>
            </w:r>
            <w:r>
              <w:rPr>
                <w:rFonts w:cs="Times New Roman" w:ascii="Times New Roman" w:hAnsi="Times New Roman"/>
                <w:color w:val="000000"/>
                <w:sz w:val="26"/>
                <w:szCs w:val="26"/>
                <w:lang w:val="uk-UA" w:eastAsia="ru-RU"/>
              </w:rPr>
              <w:t>лампи на сходових клітках будинків</w:t>
            </w:r>
            <w:r>
              <w:rPr>
                <w:rFonts w:ascii="Times New Roman" w:hAnsi="Times New Roman"/>
                <w:color w:val="000000"/>
                <w:sz w:val="26"/>
                <w:szCs w:val="26"/>
                <w:lang w:val="uk-UA"/>
              </w:rPr>
              <w:t>;</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ЖКП № 2 – </w:t>
            </w:r>
            <w:r>
              <w:rPr>
                <w:rFonts w:cs="Times New Roman" w:ascii="Times New Roman" w:hAnsi="Times New Roman"/>
                <w:color w:val="000000"/>
                <w:sz w:val="26"/>
                <w:szCs w:val="26"/>
                <w:lang w:val="uk-UA" w:eastAsia="ru-RU"/>
              </w:rPr>
              <w:t>заміну 30 шт. ламп розжарювання на енергозберігаючі відповідно до затвердженої урядом програми для населення по обміну ламп розжарювання</w:t>
            </w:r>
            <w:r>
              <w:rPr>
                <w:rFonts w:cs="Times New Roman" w:ascii="Times New Roman" w:hAnsi="Times New Roman"/>
                <w:color w:val="000000"/>
                <w:sz w:val="26"/>
                <w:szCs w:val="26"/>
                <w:lang w:val="uk-UA"/>
              </w:rPr>
              <w:t>.</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ru-RU"/>
              </w:rPr>
              <w:t>КП «Луцьке підприємство електротраспорту» проведено заміна існуючих дерев’яних та металевих віконних конструкцій в чотирьох будівлях підприємства (Депо І черга (адміністративно-побутовий корпус), блок допоміжних приміщень (гараж), тягова підстанція № 5 по вул. Карпенка-Карого, будівля мийки машин) на нові енергозберігаючі металопластикові вікна, загальною площею 158,4 м кв.</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ru-RU"/>
              </w:rPr>
              <w:t>Луцькою міською радою проведено заміну дерев’яних вікон (12 шт.) та дверей (1 шт.) адмінбудівлі за адресою: м. Луцьк, вул. Богдана Хмельницького, 19 на енергозберігаючі (металопластик)</w:t>
            </w:r>
            <w:r>
              <w:rPr>
                <w:rFonts w:ascii="Times New Roman" w:hAnsi="Times New Roman"/>
                <w:color w:val="000000"/>
                <w:sz w:val="26"/>
                <w:szCs w:val="26"/>
                <w:lang w:val="uk-UA"/>
              </w:rPr>
              <w:t>; з</w:t>
            </w:r>
            <w:r>
              <w:rPr>
                <w:rFonts w:cs="Times New Roman" w:ascii="Times New Roman" w:hAnsi="Times New Roman"/>
                <w:color w:val="000000"/>
                <w:sz w:val="26"/>
                <w:szCs w:val="26"/>
                <w:lang w:val="uk-UA" w:eastAsia="ru-RU"/>
              </w:rPr>
              <w:t>аміна газових конвекторів (5 шт.) на сучасні (енергозберігаючі) в приміщенні Боголюбського старостату за адресою: с. Боголюби, вул. Центральна, 57.</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Управлінням охорони здоров’я здійснено </w:t>
            </w:r>
            <w:r>
              <w:rPr>
                <w:rFonts w:ascii="Times New Roman" w:hAnsi="Times New Roman"/>
                <w:color w:val="000000"/>
                <w:sz w:val="26"/>
                <w:szCs w:val="26"/>
                <w:lang w:val="uk-UA"/>
              </w:rPr>
              <w:t>заміну дерев’яних віконних блоків на енергозберігаючі металопластикові, заміну ламп розжарювання систем внутрішнього освітлення (в т. ч. місць загального користування) на сучасні енергоефективні (КП «Медичне об'єднання Луцької міської територіальної громади»).</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kern w:val="0"/>
                <w:sz w:val="26"/>
                <w:szCs w:val="26"/>
                <w:lang w:val="uk-UA" w:eastAsia="en-US" w:bidi="ar-SA"/>
              </w:rPr>
              <w:t xml:space="preserve">Департаментом культури </w:t>
            </w:r>
            <w:r>
              <w:rPr>
                <w:rFonts w:eastAsia="Times New Roman" w:cs="Times New Roman" w:ascii="Times New Roman" w:hAnsi="Times New Roman"/>
                <w:color w:val="000000"/>
                <w:kern w:val="0"/>
                <w:sz w:val="26"/>
                <w:szCs w:val="26"/>
                <w:lang w:val="uk-UA" w:eastAsia="en-US" w:bidi="ar-SA"/>
              </w:rPr>
              <w:t>здійснено к</w:t>
            </w:r>
            <w:r>
              <w:rPr>
                <w:rFonts w:cs="Times New Roman" w:ascii="Times New Roman" w:hAnsi="Times New Roman"/>
                <w:color w:val="000000"/>
                <w:kern w:val="0"/>
                <w:sz w:val="26"/>
                <w:szCs w:val="26"/>
                <w:lang w:val="uk-UA" w:eastAsia="en-US" w:bidi="ar-SA"/>
              </w:rPr>
              <w:t>апітальний ремонт приміщень будівлі у бібліотеці-філії № 10 (заміна зовнішніх огороджувальних конструкцій-вікон); заміна дерев’яних дверей на енергозберігаючі металопластикові (БК сел. Рокині, БК с. Жидичин, клуб с. Іванчиці); заміна люмінесцентних ламп на енергозберігаючі LED панелі в комунальному закладі «Луцька музична школа № 1 імені Фридерика Шопена».</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ru-RU"/>
              </w:rPr>
              <w:t>Департаментом молоді та спорту встановлено теплові насоси в КЗ «ДЮСШ № 3 ЛМР» за програмою ЕСКО.</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КП «Луцькводоканал» проведено </w:t>
            </w:r>
            <w:r>
              <w:rPr>
                <w:rFonts w:cs="Times New Roman" w:ascii="Times New Roman" w:hAnsi="Times New Roman"/>
                <w:color w:val="000000"/>
                <w:sz w:val="26"/>
                <w:szCs w:val="26"/>
                <w:lang w:val="uk-UA" w:eastAsia="ru-RU"/>
              </w:rPr>
              <w:t xml:space="preserve">реконструкцію мережі електропостачання з встановленням дизельної електростанції для забезпечення резервного живлення насосних станцій № 2 та № 3 Дубнівського водозабору; придбано мобільну фотоелектричну генеруючу установку модульного типу на </w:t>
            </w:r>
            <w:bookmarkStart w:id="19" w:name="__DdeLink__4646_717405322"/>
            <w:r>
              <w:rPr>
                <w:rFonts w:cs="Times New Roman" w:ascii="Times New Roman" w:hAnsi="Times New Roman"/>
                <w:color w:val="000000"/>
                <w:sz w:val="26"/>
                <w:szCs w:val="26"/>
                <w:lang w:val="uk-UA" w:eastAsia="ru-RU"/>
              </w:rPr>
              <w:t>баластній</w:t>
            </w:r>
            <w:bookmarkEnd w:id="19"/>
            <w:r>
              <w:rPr>
                <w:rFonts w:cs="Times New Roman" w:ascii="Times New Roman" w:hAnsi="Times New Roman"/>
                <w:color w:val="000000"/>
                <w:sz w:val="26"/>
                <w:szCs w:val="26"/>
                <w:lang w:val="uk-UA" w:eastAsia="ru-RU"/>
              </w:rPr>
              <w:t xml:space="preserve"> основі потужністю 460 кВт</w:t>
            </w:r>
            <w:r>
              <w:rPr>
                <w:rFonts w:ascii="Times New Roman" w:hAnsi="Times New Roman"/>
                <w:color w:val="000000"/>
                <w:sz w:val="26"/>
                <w:szCs w:val="26"/>
                <w:lang w:val="uk-UA"/>
              </w:rPr>
              <w:t>.</w:t>
            </w:r>
          </w:p>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ДКП «Луцьктепло»: проведення теплотехнічних випробувань котлоагрегатів з видачею режимних карт; заміна застарілих вентиляторів та застарілих димососів на квартальних котельнях та встановлення сучасних газових пальників на котлах у котельнях на просп. Відродження, 15б, на вул. Княгині Ольги, 15б, 8 Березня, 3, Банкова,10 г, Зоряна, 3а; капітальний ремонт мережі від ВТ біля ж/б на просп. Соборності, 13 до вводу в житловий будинок на просп. Соборності, 13а (перехід) а також від котельні по вул. Мялковського, 10 до житловогго будинку на вул. Лесі Українки, 67, тощо.</w:t>
            </w:r>
          </w:p>
        </w:tc>
      </w:tr>
      <w:tr>
        <w:trPr>
          <w:trHeight w:val="288"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Реалізація у співпраці з НЕФКО проєкту «Підвищення енергоефективності та надійності системи водопостачання та водовідведення м. Луцька».</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Фінансування проєкту Північної Екологічної Фінансової Корпорації (НЕФКО) «Підвищення енергоефективності та надійності системи водопостачання та водовідведення м. Луцька» передбачало 725 тис. євро грантових коштів, 207 тис. євро кредитних коштів та співфінансування з бюджету громади 421,7 тис. євро.</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Станом на 1 січня 2025 року Проєкт завершений, всі заходи виконані в повному об</w:t>
            </w:r>
            <w:bookmarkStart w:id="20" w:name="_GoBack8"/>
            <w:bookmarkEnd w:id="20"/>
            <w:r>
              <w:rPr>
                <w:rFonts w:cs="Times New Roman" w:ascii="Times New Roman" w:hAnsi="Times New Roman"/>
                <w:color w:val="000000"/>
                <w:sz w:val="26"/>
                <w:szCs w:val="26"/>
                <w:lang w:val="uk-UA"/>
              </w:rPr>
              <w:t xml:space="preserve">сязі, а саме: </w:t>
            </w:r>
            <w:r>
              <w:rPr>
                <w:rFonts w:ascii="Times New Roman" w:hAnsi="Times New Roman"/>
                <w:color w:val="000000"/>
                <w:sz w:val="26"/>
                <w:szCs w:val="26"/>
                <w:lang w:val="uk-UA"/>
              </w:rPr>
              <w:t xml:space="preserve">встановлено 300 вузлів комерційного обліку водопостачання у багатоквартирних будинках міста; замінено інженерні мережі, насосне та супутнє обладнання на 19 підвищувальних насосних станціях, розташованих у м. Луцьку; виготовлено проєктно-кошторисну документацію на реконструкцію 4 каналізаційно-насосних станцій, що буде використано в наступному проєкті за участю Північної Екологічної Фінансової Корпорації (НЕФКО); </w:t>
            </w:r>
            <w:r>
              <w:rPr>
                <w:rFonts w:cs="Times New Roman" w:ascii="Times New Roman" w:hAnsi="Times New Roman"/>
                <w:color w:val="000000"/>
                <w:sz w:val="26"/>
                <w:szCs w:val="26"/>
                <w:lang w:val="uk-UA"/>
              </w:rPr>
              <w:t>встановлено системи диспетчеризації та контролю доступу на 43 підвищувальних насосних станціях.</w:t>
            </w:r>
          </w:p>
        </w:tc>
      </w:tr>
      <w:tr>
        <w:trPr>
          <w:trHeight w:val="288"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співпраці з Державним агентством з енергоефективності та енергозбереження України виконання положень «Меморандуму про партнерство у сфері енергоефективності житлових будинків».</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Для поліпшення енергоефективності житлових будинків на території громади діє Програма відшкодування частини суми кредитів ОСББ Луцької міської територіальної громади, залучених на впровадження в будинках енергоефективних заходів на 2021-2024 роки.</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Разом з тим, житлово-комунальними підприємствами та ОСББ в багатоповерхових житлових будинках на постійній основі впроваджуються енергоефективні заходи щодо теплоізоляції приміщень, шляхом заміни вікон, дверей, </w:t>
            </w:r>
            <w:r>
              <w:rPr>
                <w:rFonts w:eastAsia="Calibri" w:cs="Times New Roman" w:ascii="Times New Roman" w:hAnsi="Times New Roman"/>
                <w:color w:val="000000"/>
                <w:kern w:val="0"/>
                <w:sz w:val="26"/>
                <w:szCs w:val="26"/>
                <w:lang w:val="uk-UA" w:eastAsia="en-US" w:bidi="ar-SA"/>
              </w:rPr>
              <w:t>встановлення дверних дотягувачів,</w:t>
            </w:r>
            <w:r>
              <w:rPr>
                <w:rFonts w:cs="Times New Roman" w:ascii="Times New Roman" w:hAnsi="Times New Roman"/>
                <w:color w:val="000000"/>
                <w:sz w:val="26"/>
                <w:szCs w:val="26"/>
                <w:lang w:val="uk-UA"/>
              </w:rPr>
              <w:t xml:space="preserve"> заміни люмінесцентних та ламп розжарення на світлодіодні, ремонту систем електропостачання та </w:t>
            </w:r>
            <w:r>
              <w:rPr>
                <w:rFonts w:eastAsia="Calibri" w:cs="Times New Roman" w:ascii="Times New Roman" w:hAnsi="Times New Roman"/>
                <w:color w:val="000000"/>
                <w:kern w:val="0"/>
                <w:sz w:val="26"/>
                <w:szCs w:val="26"/>
                <w:lang w:val="uk-UA" w:eastAsia="en-US" w:bidi="ar-SA"/>
              </w:rPr>
              <w:t xml:space="preserve">опалення; </w:t>
            </w:r>
            <w:r>
              <w:rPr>
                <w:rFonts w:cs="Times New Roman" w:ascii="Times New Roman" w:hAnsi="Times New Roman"/>
                <w:color w:val="000000"/>
                <w:sz w:val="26"/>
                <w:szCs w:val="26"/>
                <w:lang w:val="uk-UA"/>
              </w:rPr>
              <w:t>зменшення опалювальних площ; забезпечення безперебійної роботи приладів обліку, проведення їх своєчасної повірки.</w:t>
            </w:r>
          </w:p>
        </w:tc>
      </w:tr>
      <w:tr>
        <w:trPr>
          <w:trHeight w:val="288" w:hRule="atLeast"/>
        </w:trPr>
        <w:tc>
          <w:tcPr>
            <w:tcW w:w="546"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812" w:type="dxa"/>
            <w:tcBorders>
              <w:top w:val="single" w:sz="4" w:space="0" w:color="000000"/>
              <w:left w:val="single" w:sz="4" w:space="0" w:color="000000"/>
              <w:bottom w:val="single" w:sz="4" w:space="0" w:color="000000"/>
            </w:tcBorders>
            <w:shd w:fill="auto" w:val="clear"/>
          </w:tcPr>
          <w:p>
            <w:pPr>
              <w:pStyle w:val="Standard"/>
              <w:widowControl w:val="false"/>
              <w:tabs>
                <w:tab w:val="clear" w:pos="720"/>
                <w:tab w:val="left" w:pos="900" w:leader="none"/>
              </w:tabs>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Виконання положень «Меморандуму про співпрацю з </w:t>
            </w:r>
            <w:bookmarkStart w:id="21" w:name="__DdeLink__43_3410691620"/>
            <w:r>
              <w:rPr>
                <w:rFonts w:cs="Times New Roman" w:ascii="Times New Roman" w:hAnsi="Times New Roman"/>
                <w:color w:val="000000"/>
                <w:sz w:val="26"/>
                <w:szCs w:val="26"/>
                <w:lang w:val="uk-UA"/>
              </w:rPr>
              <w:t>державною установою “Фонд енергоефективності</w:t>
            </w:r>
            <w:bookmarkEnd w:id="21"/>
            <w:r>
              <w:rPr>
                <w:rFonts w:cs="Times New Roman" w:ascii="Times New Roman" w:hAnsi="Times New Roman"/>
                <w:color w:val="000000"/>
                <w:sz w:val="26"/>
                <w:szCs w:val="26"/>
                <w:lang w:val="uk-UA"/>
              </w:rPr>
              <w:t>” та Луцькою міською радою».</w:t>
            </w:r>
          </w:p>
        </w:tc>
        <w:tc>
          <w:tcPr>
            <w:tcW w:w="1077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 Луцькій міській територіальній громаді проводиться співфінансування в рамках державної програми «Енергодім» щодо впровадження заходів енергозбереження в житлових будинках ОСББ та ЖБК.</w:t>
            </w:r>
          </w:p>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Надання фінансової підтримки шляхом відшкодування</w:t>
            </w:r>
            <w:r>
              <w:rPr>
                <w:rFonts w:ascii="Times New Roman" w:hAnsi="Times New Roman"/>
                <w:color w:val="000000"/>
                <w:sz w:val="26"/>
                <w:szCs w:val="26"/>
                <w:lang w:val="uk-UA"/>
              </w:rPr>
              <w:t xml:space="preserve"> частини </w:t>
            </w:r>
            <w:r>
              <w:rPr>
                <w:rFonts w:cs="Times New Roman" w:ascii="Times New Roman" w:hAnsi="Times New Roman"/>
                <w:color w:val="000000"/>
                <w:sz w:val="26"/>
                <w:szCs w:val="26"/>
                <w:lang w:val="uk-UA"/>
              </w:rPr>
              <w:t>суми</w:t>
            </w:r>
            <w:r>
              <w:rPr>
                <w:rFonts w:ascii="Times New Roman" w:hAnsi="Times New Roman"/>
                <w:color w:val="000000"/>
                <w:sz w:val="26"/>
                <w:szCs w:val="26"/>
                <w:lang w:val="uk-UA"/>
              </w:rPr>
              <w:t xml:space="preserve"> кредитів та відсотків за залученими кредитами для ОСББ та ЖБК нашого міста відбувається в межах дії Програми відшкодування частини суми кредитів ОСББ Луцької міської територіальної громади, залучених на впровадження в будинках енергоефективних заходів на 2021-2024 роки.</w:t>
            </w:r>
          </w:p>
          <w:p>
            <w:pPr>
              <w:pStyle w:val="Normal"/>
              <w:widowControl w:val="false"/>
              <w:numPr>
                <w:ilvl w:val="0"/>
                <w:numId w:val="0"/>
              </w:numPr>
              <w:ind w:left="0" w:firstLine="567"/>
              <w:jc w:val="both"/>
              <w:outlineLvl w:val="0"/>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У 2024 році з</w:t>
            </w:r>
            <w:r>
              <w:rPr>
                <w:rFonts w:cs="Times New Roman" w:ascii="Times New Roman" w:hAnsi="Times New Roman"/>
                <w:color w:val="000000" w:themeColor="text1"/>
                <w:sz w:val="26"/>
                <w:szCs w:val="26"/>
                <w:lang w:val="uk-UA"/>
              </w:rPr>
              <w:t xml:space="preserve">авершено 3 проєкти (заходи) на суму 34 006,2 тис. грн із 8 (на загальну суму 108 484,6 тис. грн, з яких 100 729,9 тис. грн кошти ОСББ та 7 754,6 тис. грн </w:t>
            </w:r>
            <w:r>
              <w:rPr>
                <w:rFonts w:eastAsia="Times New Roman" w:cs="Times New Roman" w:ascii="Times New Roman" w:hAnsi="Times New Roman"/>
                <w:color w:val="000000" w:themeColor="text1"/>
                <w:sz w:val="26"/>
                <w:szCs w:val="26"/>
                <w:lang w:val="uk-UA"/>
              </w:rPr>
              <w:t>–</w:t>
            </w:r>
            <w:r>
              <w:rPr>
                <w:rFonts w:cs="Times New Roman" w:ascii="Times New Roman" w:hAnsi="Times New Roman"/>
                <w:color w:val="000000" w:themeColor="text1"/>
                <w:sz w:val="26"/>
                <w:szCs w:val="26"/>
                <w:lang w:val="uk-UA"/>
              </w:rPr>
              <w:t xml:space="preserve"> кошти бюджету громади).</w:t>
            </w:r>
          </w:p>
        </w:tc>
      </w:tr>
    </w:tbl>
    <w:p>
      <w:pPr>
        <w:pStyle w:val="Normal"/>
        <w:jc w:val="center"/>
        <w:rPr>
          <w:rFonts w:ascii="Times New Roman" w:hAnsi="Times New Roman"/>
          <w:color w:val="000000"/>
          <w:sz w:val="26"/>
          <w:szCs w:val="26"/>
          <w:lang w:val="uk-UA"/>
        </w:rPr>
      </w:pPr>
      <w:r>
        <w:rPr>
          <w:rFonts w:ascii="Times New Roman" w:hAnsi="Times New Roman"/>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3.4.3. Техногенна безпека</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13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61"/>
        <w:gridCol w:w="3791"/>
        <w:gridCol w:w="10781"/>
      </w:tblGrid>
      <w:tr>
        <w:trPr>
          <w:trHeight w:val="615" w:hRule="atLeast"/>
        </w:trPr>
        <w:tc>
          <w:tcPr>
            <w:tcW w:w="561"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 </w:t>
            </w:r>
            <w:r>
              <w:rPr>
                <w:rFonts w:cs="Times New Roman" w:ascii="Times New Roman" w:hAnsi="Times New Roman"/>
                <w:color w:val="000000"/>
                <w:sz w:val="26"/>
                <w:szCs w:val="26"/>
                <w:lang w:val="uk-UA"/>
              </w:rPr>
              <w:t>з/п</w:t>
            </w:r>
          </w:p>
        </w:tc>
        <w:tc>
          <w:tcPr>
            <w:tcW w:w="3791" w:type="dxa"/>
            <w:tcBorders>
              <w:top w:val="single" w:sz="4" w:space="0" w:color="000000"/>
              <w:left w:val="single" w:sz="4" w:space="0" w:color="000000"/>
              <w:bottom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Назва заходів</w:t>
            </w:r>
          </w:p>
        </w:tc>
        <w:tc>
          <w:tcPr>
            <w:tcW w:w="1078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ind w:firstLine="567"/>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Стан виконання заходів</w:t>
            </w:r>
          </w:p>
        </w:tc>
      </w:tr>
      <w:tr>
        <w:trPr>
          <w:trHeight w:val="615"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1.</w:t>
            </w:r>
          </w:p>
        </w:tc>
        <w:tc>
          <w:tcPr>
            <w:tcW w:w="3791" w:type="dxa"/>
            <w:tcBorders>
              <w:top w:val="single" w:sz="4" w:space="0" w:color="000000"/>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Підтримання у готовності до використання за призначенням захисних споруд міської комунальної власності та комплектація їх спеціальним обладнанням.</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64"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pacing w:val="-1"/>
                <w:sz w:val="26"/>
                <w:szCs w:val="26"/>
                <w:lang w:val="uk-UA"/>
              </w:rPr>
              <w:t>Відповідно до Програми розвитку цивільного захисту Луцької міської територіальної громади на 2021-2025 роки на у</w:t>
            </w:r>
            <w:r>
              <w:rPr>
                <w:rFonts w:cs="Times New Roman" w:ascii="Times New Roman" w:hAnsi="Times New Roman"/>
                <w:color w:val="000000"/>
                <w:sz w:val="26"/>
                <w:szCs w:val="26"/>
                <w:lang w:val="uk-UA"/>
              </w:rPr>
              <w:t>тримання захисних споруд цивільного захисту, найпростіших укриттів та споруд подвійного призначення комунальної форми власності</w:t>
            </w:r>
            <w:r>
              <w:rPr>
                <w:rFonts w:eastAsia="Times New Roman" w:cs="Times New Roman" w:ascii="Times New Roman" w:hAnsi="Times New Roman"/>
                <w:color w:val="000000"/>
                <w:spacing w:val="-1"/>
                <w:sz w:val="26"/>
                <w:szCs w:val="26"/>
                <w:lang w:val="uk-UA"/>
              </w:rPr>
              <w:t xml:space="preserve"> у 2024 році з бюджету громади профінансовано 22 899,2 тис. грн (проведення поточних та капітальних ремонтів в укриттях закладів освіти).</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2.</w:t>
            </w:r>
          </w:p>
        </w:tc>
        <w:tc>
          <w:tcPr>
            <w:tcW w:w="3791" w:type="dxa"/>
            <w:tcBorders>
              <w:top w:val="single" w:sz="4" w:space="0" w:color="000000"/>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w:t>
            </w:r>
            <w:r>
              <w:rPr>
                <w:rFonts w:cs="Times New Roman" w:ascii="Times New Roman" w:hAnsi="Times New Roman"/>
                <w:color w:val="000000"/>
                <w:sz w:val="26"/>
                <w:szCs w:val="26"/>
                <w:lang w:val="uk-UA"/>
              </w:rPr>
              <w:t>Підтримання у належному стані Пунктів незламності у випадку надзвичайних ситуацій.</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 xml:space="preserve">На виконання доручення міського голови від 27.03.2024 № 0-9/5 перевірено готовність пунктів незламності Луцької міської територіальної громади, розташованих у комунальних закладах освіти, щодо готовності до використання за призначенням, відповідно до вимог постанови Кабінету Міністрів України від 17.12.2022 № 1401, а саме: справність засобів автономної генерації електроенергії та запаси пально-мастильних матеріалів; технічні засоби доступу до Інтернету; справність засобів пожежогасіння відповідно до вимог пожежної безпеки; матеріально-ресурсну базу; запаси питної та технічної води; продукти харчування та комплекти одноразового посуду; засоби особистої гігієни; </w:t>
            </w:r>
            <w:r>
              <w:rPr>
                <w:rFonts w:cs="Times New Roman" w:ascii="Times New Roman" w:hAnsi="Times New Roman"/>
                <w:color w:val="000000"/>
                <w:sz w:val="26"/>
                <w:szCs w:val="26"/>
                <w:lang w:val="uk-UA"/>
              </w:rPr>
              <w:t>стаціонарні туалети (за наявності) або автономні біотуалети.</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3.</w:t>
            </w:r>
          </w:p>
        </w:tc>
        <w:tc>
          <w:tcPr>
            <w:tcW w:w="3791" w:type="dxa"/>
            <w:tcBorders>
              <w:top w:val="single" w:sz="4" w:space="0" w:color="000000"/>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комплексу заходів із запобігання виникненню пожеж у природних екосистемах та інших відкритих ділянках місцевості протягом пожежонебезпечного періоду.</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У 2024 році проведено засідання місцевої комісії з питань техногенно-екологічної безпеки та надзвичайних ситуацій, протокол від 17.04.2023 № 7 </w:t>
            </w:r>
            <w:r>
              <w:rPr>
                <w:rFonts w:eastAsia="Andale Sans UI" w:cs="Tahoma" w:ascii="Times New Roman" w:hAnsi="Times New Roman"/>
                <w:color w:val="000000"/>
                <w:sz w:val="26"/>
                <w:szCs w:val="26"/>
                <w:lang w:val="uk-UA"/>
              </w:rPr>
              <w:t>«Про заходи щодо запобігання та протидії масовим пожежам в екосистемах Луцької міської територіальної громади у літній період 2024 року».</w:t>
            </w:r>
          </w:p>
        </w:tc>
      </w:tr>
      <w:tr>
        <w:trPr>
          <w:trHeight w:val="1183"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4.</w:t>
            </w:r>
          </w:p>
        </w:tc>
        <w:tc>
          <w:tcPr>
            <w:tcW w:w="3791" w:type="dxa"/>
            <w:tcBorders>
              <w:top w:val="single" w:sz="4" w:space="0" w:color="000000"/>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Створення матеріального резерву для оперативного реагування під час виникнення надзвичайних ситуацій.</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118"/>
              <w:widowControl w:val="false"/>
              <w:ind w:firstLine="567"/>
              <w:rPr>
                <w:rFonts w:ascii="Times New Roman" w:hAnsi="Times New Roman"/>
                <w:bCs/>
                <w:color w:val="000000"/>
                <w:sz w:val="26"/>
                <w:szCs w:val="26"/>
                <w:lang w:val="uk-UA"/>
              </w:rPr>
            </w:pPr>
            <w:r>
              <w:rPr>
                <w:bCs/>
                <w:color w:val="000000"/>
                <w:sz w:val="26"/>
                <w:szCs w:val="26"/>
                <w:lang w:val="uk-UA"/>
              </w:rPr>
              <w:t>Розпорядженням міського голови від 27.11.2023 № 423 «Про місцевий матеріальний резерв Луцької міської територіальної громади» затверджено Перелік та обсяги матеріальних ресурсів для запобігання, ліквідації надзвичайних ситуацій техногенного та природного характеру та відповідальних за їх накопичення.</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5.</w:t>
            </w:r>
          </w:p>
        </w:tc>
        <w:tc>
          <w:tcPr>
            <w:tcW w:w="3791" w:type="dxa"/>
            <w:tcBorders>
              <w:top w:val="single" w:sz="4" w:space="0" w:color="000000"/>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Впровадження місцевої автоматизованої системи централізованого оповіщення Луцької міської територіальної громади.</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564" w:leader="none"/>
              </w:tabs>
              <w:ind w:firstLine="567"/>
              <w:jc w:val="both"/>
              <w:rPr>
                <w:rFonts w:ascii="Times New Roman" w:hAnsi="Times New Roman"/>
                <w:color w:val="000000"/>
                <w:sz w:val="26"/>
                <w:szCs w:val="26"/>
                <w:lang w:val="uk-UA"/>
              </w:rPr>
            </w:pPr>
            <w:r>
              <w:rPr>
                <w:rFonts w:cs="Times New Roman" w:ascii="Times New Roman" w:hAnsi="Times New Roman"/>
                <w:color w:val="000000"/>
                <w:spacing w:val="-1"/>
                <w:sz w:val="26"/>
                <w:szCs w:val="26"/>
                <w:lang w:val="uk-UA"/>
              </w:rPr>
              <w:t xml:space="preserve">На виконання пункту 9 розпорядження Кабінету Міністрів України від </w:t>
            </w:r>
            <w:bookmarkStart w:id="22" w:name="__DdeLink__158_977193452"/>
            <w:r>
              <w:rPr>
                <w:rFonts w:cs="Times New Roman" w:ascii="Times New Roman" w:hAnsi="Times New Roman"/>
                <w:color w:val="000000"/>
                <w:spacing w:val="-1"/>
                <w:sz w:val="26"/>
                <w:szCs w:val="26"/>
                <w:lang w:val="uk-UA"/>
              </w:rPr>
              <w:t>11.07.2018 № 488-р</w:t>
            </w:r>
            <w:bookmarkEnd w:id="22"/>
            <w:r>
              <w:rPr>
                <w:rFonts w:cs="Times New Roman" w:ascii="Times New Roman" w:hAnsi="Times New Roman"/>
                <w:color w:val="000000"/>
                <w:spacing w:val="-1"/>
                <w:sz w:val="26"/>
                <w:szCs w:val="26"/>
                <w:lang w:val="uk-UA"/>
              </w:rPr>
              <w:t xml:space="preserve"> </w:t>
            </w:r>
            <w:r>
              <w:rPr>
                <w:rFonts w:eastAsia="Times New Roman" w:cs="Times New Roman" w:ascii="Times New Roman" w:hAnsi="Times New Roman"/>
                <w:color w:val="000000"/>
                <w:spacing w:val="-1"/>
                <w:sz w:val="26"/>
                <w:szCs w:val="26"/>
                <w:lang w:val="uk-UA"/>
              </w:rPr>
              <w:t>«Про затвердження плану заходів щодо реалізації Концепції розвитку та технічної модернізації системи централізованого оповіщення про загрозу виникнення або виникнення надзвичайних ситуацій», розпорядження начальника Волинської обласної військової адміністрації від 21.02.2024 № 80 «Про місцеві автоматизовані системи централізованого оповіщення» розроблено проєктно-кошторисну документацію об’єкта «Нове будівництво місцевої автоматизованої системи централізованого оповіщення (МАСЦО) Луцької міської територіальної громади», яка погоджена з управлінням з питань цивільного захисту Волинської ОДА та з Головним управлінням ДСНС України у Волинській області.</w:t>
            </w:r>
          </w:p>
          <w:p>
            <w:pPr>
              <w:pStyle w:val="Normal"/>
              <w:widowControl w:val="false"/>
              <w:tabs>
                <w:tab w:val="clear" w:pos="720"/>
                <w:tab w:val="left" w:pos="564" w:leader="none"/>
              </w:tabs>
              <w:ind w:firstLine="567"/>
              <w:jc w:val="both"/>
              <w:rPr>
                <w:rFonts w:ascii="Times New Roman" w:hAnsi="Times New Roman"/>
                <w:color w:val="000000"/>
                <w:sz w:val="26"/>
                <w:szCs w:val="26"/>
                <w:lang w:val="uk-UA"/>
              </w:rPr>
            </w:pPr>
            <w:r>
              <w:rPr>
                <w:rFonts w:eastAsia="Times New Roman" w:cs="Times New Roman" w:ascii="Times New Roman" w:hAnsi="Times New Roman"/>
                <w:color w:val="000000"/>
                <w:spacing w:val="-1"/>
                <w:sz w:val="26"/>
                <w:szCs w:val="26"/>
                <w:lang w:val="uk-UA"/>
              </w:rPr>
              <w:t xml:space="preserve">Відповідно до Програми розвитку цивільного захисту Луцької міської територіальної громади на 2021-2025 роки на організацію оповіщення населення міста про загрозу та виникнення надзвичайних ситуацій (впровадження МАСЦО) у 2024 році </w:t>
            </w:r>
            <w:r>
              <w:rPr>
                <w:rFonts w:ascii="Times New Roman" w:hAnsi="Times New Roman"/>
                <w:color w:val="000000"/>
                <w:sz w:val="26"/>
                <w:szCs w:val="26"/>
                <w:lang w:val="uk-UA"/>
              </w:rPr>
              <w:t>впроваджено першочергових заходів на суму 13 841,0 тис. грн.</w:t>
            </w:r>
          </w:p>
        </w:tc>
      </w:tr>
      <w:tr>
        <w:trPr>
          <w:trHeight w:val="288" w:hRule="atLeast"/>
        </w:trPr>
        <w:tc>
          <w:tcPr>
            <w:tcW w:w="561" w:type="dxa"/>
            <w:tcBorders>
              <w:top w:val="single" w:sz="4" w:space="0" w:color="000000"/>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6.</w:t>
            </w:r>
          </w:p>
        </w:tc>
        <w:tc>
          <w:tcPr>
            <w:tcW w:w="3791" w:type="dxa"/>
            <w:tcBorders>
              <w:top w:val="single" w:sz="4" w:space="0" w:color="000000"/>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Здійснення профілактичних та практичних заходів у сфері цивільного захисту, техногенної та пожежної безпеки, навчання населення щодо поведінки та дій у разі виникнення надзвичайних ситуацій, формування культури безпеки життєдіяльності населення громади.</w:t>
            </w:r>
          </w:p>
        </w:tc>
        <w:tc>
          <w:tcPr>
            <w:tcW w:w="10781"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У 2024 році в Навчально-методичному центрі цивільного захисту та безпеки життєдіяльності Волинської області проведено навчання у сфері цивільного захисту з керівниками структурних підрозділів Луцької міської ради та з керівниками спеціалізованих служб цивільного захисту Луцької міської територіальної громади.</w:t>
            </w:r>
          </w:p>
        </w:tc>
      </w:tr>
      <w:tr>
        <w:trPr>
          <w:trHeight w:val="288" w:hRule="atLeast"/>
        </w:trPr>
        <w:tc>
          <w:tcPr>
            <w:tcW w:w="561"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7.</w:t>
            </w:r>
          </w:p>
        </w:tc>
        <w:tc>
          <w:tcPr>
            <w:tcW w:w="3791" w:type="dxa"/>
            <w:tcBorders>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Організація роботи добровільної пожежної команди Жидичинського старостинського округу, проведення заходів щодо утворення місцевої пожежної команди у Луцькій міській територіальній громаді.</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564" w:leader="none"/>
              </w:tabs>
              <w:ind w:firstLine="567"/>
              <w:jc w:val="both"/>
              <w:rPr>
                <w:rFonts w:ascii="Times New Roman" w:hAnsi="Times New Roman" w:eastAsia="Times New Roman" w:cs="Times New Roman"/>
                <w:color w:val="000000"/>
                <w:spacing w:val="-1"/>
                <w:sz w:val="26"/>
                <w:szCs w:val="26"/>
                <w:lang w:val="uk-UA"/>
              </w:rPr>
            </w:pPr>
            <w:r>
              <w:rPr>
                <w:rFonts w:eastAsia="Times New Roman" w:cs="Times New Roman" w:ascii="Times New Roman" w:hAnsi="Times New Roman"/>
                <w:color w:val="000000"/>
                <w:spacing w:val="-1"/>
                <w:sz w:val="26"/>
                <w:szCs w:val="26"/>
                <w:lang w:val="uk-UA"/>
              </w:rPr>
              <w:t>Луцькою міською радою надано згоду на прийняття з державної у комунальну власність громади на безоплатній основі спеціального пожежного автомобіля, що перебуває на балансі 1 ДПРЗ ГУ ДСНС України у Волинській області.</w:t>
            </w:r>
          </w:p>
        </w:tc>
      </w:tr>
      <w:tr>
        <w:trPr>
          <w:trHeight w:val="288" w:hRule="atLeast"/>
        </w:trPr>
        <w:tc>
          <w:tcPr>
            <w:tcW w:w="561"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8.</w:t>
            </w:r>
          </w:p>
        </w:tc>
        <w:tc>
          <w:tcPr>
            <w:tcW w:w="3791" w:type="dxa"/>
            <w:tcBorders>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Організація заходів із запобігання нещасних випадків з людьми на водних об’єктах Луцької міської територіальної громади в літній період у визначених місцях масового відпочинку.</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bCs/>
                <w:color w:val="000000"/>
                <w:sz w:val="26"/>
                <w:szCs w:val="26"/>
                <w:lang w:val="uk-UA"/>
              </w:rPr>
              <w:t>Для забезпечення безпеки населення міської територіальної громади під час літнього відпочинку продовжує діяти “Програма організації рятування людей на водних об'єктах Луцької міської територіальної громади в літній період 2022-2026 років”.</w:t>
            </w:r>
          </w:p>
          <w:p>
            <w:pPr>
              <w:pStyle w:val="Normal"/>
              <w:widowControl w:val="false"/>
              <w:ind w:firstLine="567"/>
              <w:jc w:val="both"/>
              <w:rPr>
                <w:rFonts w:ascii="Times New Roman" w:hAnsi="Times New Roman"/>
                <w:color w:val="000000"/>
                <w:sz w:val="26"/>
                <w:szCs w:val="26"/>
                <w:lang w:val="uk-UA"/>
              </w:rPr>
            </w:pPr>
            <w:r>
              <w:rPr>
                <w:rFonts w:ascii="Times New Roman" w:hAnsi="Times New Roman"/>
                <w:bCs/>
                <w:color w:val="000000"/>
                <w:sz w:val="26"/>
                <w:szCs w:val="26"/>
                <w:lang w:val="uk-UA"/>
              </w:rPr>
              <w:t xml:space="preserve">Відповідно до розпорядження міського голови від 08.05.2023 № 134 </w:t>
            </w:r>
            <w:r>
              <w:rPr>
                <w:rFonts w:eastAsia="Andale Sans UI" w:cs="Tahoma" w:ascii="Times New Roman" w:hAnsi="Times New Roman"/>
                <w:bCs/>
                <w:color w:val="000000"/>
                <w:sz w:val="26"/>
                <w:szCs w:val="26"/>
                <w:lang w:val="uk-UA"/>
              </w:rPr>
              <w:t>«Про забезпечення охорони життя людей на воді під час літнього відпочинку»</w:t>
            </w:r>
            <w:r>
              <w:rPr>
                <w:rFonts w:ascii="Times New Roman" w:hAnsi="Times New Roman"/>
                <w:bCs/>
                <w:color w:val="000000"/>
                <w:sz w:val="26"/>
                <w:szCs w:val="26"/>
                <w:lang w:val="uk-UA"/>
              </w:rPr>
              <w:t xml:space="preserve"> в період купального сезону (з 01.06.2024 по 31.08.2024) організовано роботу двох рятувальних постів в місцях масового відпочинку громадян: на р. Стир (Центральний парк культури і відпочинку ім. Лесі Українки) та на Теремнівській водоймі.</w:t>
            </w:r>
          </w:p>
          <w:p>
            <w:pPr>
              <w:pStyle w:val="Normal"/>
              <w:widowControl w:val="false"/>
              <w:ind w:firstLine="567"/>
              <w:jc w:val="both"/>
              <w:rPr>
                <w:rFonts w:ascii="Times New Roman" w:hAnsi="Times New Roman"/>
                <w:color w:val="000000"/>
                <w:sz w:val="26"/>
                <w:szCs w:val="26"/>
                <w:lang w:val="uk-UA"/>
              </w:rPr>
            </w:pPr>
            <w:r>
              <w:rPr>
                <w:rFonts w:ascii="Times New Roman" w:hAnsi="Times New Roman"/>
                <w:bCs/>
                <w:color w:val="000000"/>
                <w:sz w:val="26"/>
                <w:szCs w:val="26"/>
                <w:lang w:val="uk-UA"/>
              </w:rPr>
              <w:t>Відповідно до розпорядження міського голови від 08.04.2024 № 208 «Про забезпечення охорони життя людей на воді під час літнього відпочинку» обладнано території пляжів відповідно до діючих правил і санітарних норм.</w:t>
            </w:r>
          </w:p>
          <w:p>
            <w:pPr>
              <w:pStyle w:val="Normal"/>
              <w:widowControl w:val="false"/>
              <w:ind w:firstLine="567"/>
              <w:jc w:val="both"/>
              <w:rPr>
                <w:rFonts w:ascii="Times New Roman" w:hAnsi="Times New Roman"/>
                <w:bCs/>
                <w:color w:val="000000"/>
                <w:sz w:val="26"/>
                <w:szCs w:val="26"/>
                <w:lang w:val="uk-UA"/>
              </w:rPr>
            </w:pPr>
            <w:r>
              <w:rPr>
                <w:rFonts w:ascii="Times New Roman" w:hAnsi="Times New Roman"/>
                <w:bCs/>
                <w:color w:val="000000"/>
                <w:sz w:val="26"/>
                <w:szCs w:val="26"/>
                <w:lang w:val="uk-UA"/>
              </w:rPr>
              <w:t>Проведено навчання 10 плавців-рятувальників у навчальному центрі аварійно-рятувального загону Головного управління Державної служби України з надзвичайних ситуацій у Волинській області з видачею відповідних посвідчень.</w:t>
            </w:r>
          </w:p>
          <w:p>
            <w:pPr>
              <w:pStyle w:val="Normal"/>
              <w:widowControl w:val="false"/>
              <w:ind w:firstLine="567"/>
              <w:jc w:val="both"/>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У місцях відпочинку громадян на водних об’єктах громади визначено межі пляжів та встановлено знаки «Купатись заборонено».</w:t>
            </w:r>
          </w:p>
          <w:p>
            <w:pPr>
              <w:pStyle w:val="Normal"/>
              <w:widowControl w:val="false"/>
              <w:tabs>
                <w:tab w:val="clear" w:pos="720"/>
                <w:tab w:val="left" w:pos="564" w:leader="none"/>
              </w:tabs>
              <w:ind w:firstLine="567"/>
              <w:jc w:val="both"/>
              <w:rPr>
                <w:rFonts w:ascii="Times New Roman" w:hAnsi="Times New Roman" w:cs="Times New Roman"/>
                <w:color w:val="000000"/>
                <w:sz w:val="26"/>
                <w:szCs w:val="26"/>
                <w:lang w:val="uk-UA"/>
              </w:rPr>
            </w:pPr>
            <w:r>
              <w:rPr>
                <w:rFonts w:eastAsia="Times New Roman" w:cs="Times New Roman" w:ascii="Times New Roman" w:hAnsi="Times New Roman"/>
                <w:color w:val="000000"/>
                <w:spacing w:val="-1"/>
                <w:sz w:val="26"/>
                <w:szCs w:val="26"/>
                <w:lang w:val="uk-UA"/>
              </w:rPr>
              <w:t>Завдяки спеціальним знанням та практичним навичкам плавців-рятувальників забезпечено охорону життя людей на водних об’єктах громади: врятовано 27 осіб, з них 7 дітей, надано домедичну первинну допомогу 29 особам. Летальних випадків у 2024 році не було.</w:t>
            </w:r>
          </w:p>
        </w:tc>
      </w:tr>
      <w:tr>
        <w:trPr>
          <w:trHeight w:val="288" w:hRule="atLeast"/>
        </w:trPr>
        <w:tc>
          <w:tcPr>
            <w:tcW w:w="561" w:type="dxa"/>
            <w:tcBorders>
              <w:left w:val="single" w:sz="4" w:space="0" w:color="000000"/>
              <w:bottom w:val="single" w:sz="4" w:space="0" w:color="000000"/>
            </w:tcBorders>
            <w:shd w:fill="auto" w:val="clear"/>
          </w:tcPr>
          <w:p>
            <w:pPr>
              <w:pStyle w:val="Normal"/>
              <w:widowControl w:val="false"/>
              <w:jc w:val="center"/>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9.</w:t>
            </w:r>
          </w:p>
        </w:tc>
        <w:tc>
          <w:tcPr>
            <w:tcW w:w="3791" w:type="dxa"/>
            <w:tcBorders>
              <w:left w:val="single" w:sz="4" w:space="0" w:color="000000"/>
              <w:bottom w:val="single" w:sz="4" w:space="0" w:color="000000"/>
            </w:tcBorders>
            <w:shd w:fill="auto" w:val="clear"/>
          </w:tcPr>
          <w:p>
            <w:pPr>
              <w:pStyle w:val="211"/>
              <w:widowControl w:val="false"/>
              <w:tabs>
                <w:tab w:val="clear" w:pos="720"/>
                <w:tab w:val="left" w:pos="900" w:leader="none"/>
              </w:tabs>
              <w:spacing w:lineRule="auto" w:line="240" w:before="0" w:after="0"/>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Здійснення комплексу заходів із запобігання виникненню надзвичайних ситуацій на підприємствах житлово-комунального господарства, критичної інфраструктури та об’єктах соціальної сфери</w:t>
            </w:r>
          </w:p>
        </w:tc>
        <w:tc>
          <w:tcPr>
            <w:tcW w:w="10781"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Протоколом місцевої комісії з питань техногенно-екологічної безпеки та надзвичайних ситуацій від 08.10.2024 № 14 затверджено План заходів щодо попередження надзвичайних ситуацій техногенного та природного характеру, подій і пожеж, недопущення загибелі та травмування на них людей в осінньо-зимовий період 2024/2025 років у Луцькій міській територіальній громаді</w:t>
            </w:r>
          </w:p>
        </w:tc>
      </w:tr>
    </w:tbl>
    <w:p>
      <w:pPr>
        <w:pStyle w:val="Normal"/>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4. Розвиток старостинських округів</w:t>
      </w:r>
    </w:p>
    <w:p>
      <w:pPr>
        <w:pStyle w:val="Normal"/>
        <w:jc w:val="center"/>
        <w:rPr>
          <w:rFonts w:ascii="Times New Roman" w:hAnsi="Times New Roman"/>
          <w:color w:val="000000"/>
          <w:sz w:val="26"/>
          <w:szCs w:val="26"/>
          <w:lang w:val="uk-UA"/>
        </w:rPr>
      </w:pPr>
      <w:r>
        <w:rPr>
          <w:rFonts w:cs="Times New Roman" w:ascii="Times New Roman" w:hAnsi="Times New Roman"/>
          <w:b/>
          <w:color w:val="000000"/>
          <w:sz w:val="26"/>
          <w:szCs w:val="26"/>
          <w:lang w:val="uk-UA"/>
        </w:rPr>
        <w:t>Луцької міської територіальної громади</w:t>
      </w:r>
    </w:p>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tbl>
      <w:tblPr>
        <w:tblW w:w="1508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945"/>
        <w:gridCol w:w="12137"/>
      </w:tblGrid>
      <w:tr>
        <w:trPr>
          <w:trHeight w:val="735" w:hRule="atLeast"/>
        </w:trPr>
        <w:tc>
          <w:tcPr>
            <w:tcW w:w="2945" w:type="dxa"/>
            <w:tcBorders>
              <w:top w:val="single" w:sz="4" w:space="0" w:color="000000"/>
              <w:left w:val="single" w:sz="4" w:space="0" w:color="000000"/>
              <w:bottom w:val="single" w:sz="4" w:space="0" w:color="000000"/>
            </w:tcBorders>
            <w:shd w:fill="auto" w:val="clear"/>
            <w:vAlign w:val="center"/>
          </w:tcPr>
          <w:p>
            <w:pPr>
              <w:pStyle w:val="Normal"/>
              <w:widowControl w:val="false"/>
              <w:jc w:val="center"/>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Назва старостинського округу</w:t>
            </w:r>
          </w:p>
        </w:tc>
        <w:tc>
          <w:tcPr>
            <w:tcW w:w="121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center"/>
              <w:rPr>
                <w:rFonts w:ascii="Times New Roman" w:hAnsi="Times New Roman" w:cs="Times New Roman"/>
                <w:bCs/>
                <w:color w:val="000000"/>
                <w:sz w:val="26"/>
                <w:szCs w:val="26"/>
                <w:lang w:val="uk-UA"/>
              </w:rPr>
            </w:pPr>
            <w:r>
              <w:rPr>
                <w:rFonts w:cs="Times New Roman" w:ascii="Times New Roman" w:hAnsi="Times New Roman"/>
                <w:bCs/>
                <w:color w:val="000000"/>
                <w:sz w:val="26"/>
                <w:szCs w:val="26"/>
                <w:lang w:val="uk-UA"/>
              </w:rPr>
              <w:t>Стан виконання заходів</w:t>
            </w:r>
          </w:p>
        </w:tc>
      </w:tr>
      <w:tr>
        <w:trPr>
          <w:trHeight w:val="615" w:hRule="atLeast"/>
        </w:trPr>
        <w:tc>
          <w:tcPr>
            <w:tcW w:w="2945" w:type="dxa"/>
            <w:tcBorders>
              <w:top w:val="single" w:sz="4" w:space="0" w:color="000000"/>
              <w:left w:val="single" w:sz="4" w:space="0" w:color="000000"/>
              <w:bottom w:val="single" w:sz="4" w:space="0" w:color="000000"/>
            </w:tcBorders>
            <w:shd w:fill="auto" w:val="clear"/>
          </w:tcPr>
          <w:p>
            <w:pPr>
              <w:pStyle w:val="Normal"/>
              <w:widowControl w:val="false"/>
              <w:shd w:val="clear" w:color="auto" w:fill="FFFFFF"/>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Боголюбський старостинський округ</w:t>
            </w:r>
          </w:p>
        </w:tc>
        <w:tc>
          <w:tcPr>
            <w:tcW w:w="1213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В сфері адміністративних послуг обладнано робоче місце щодо надання допомоги жителям старостату для проведення реєстрації в ДАРі та отримання дотацій на сільськогосподарську продукцію. Боголюбський старостинський округ залучався до прийняття заявок та видачі насіння овочів як благодійної допомоги від міжнародних насіннєвих компаній для пільгових категорій громадян. У старостинському окрузі постійно проводиться робота із організації збору допомоги ЗСУ.</w:t>
            </w:r>
          </w:p>
          <w:p>
            <w:pPr>
              <w:pStyle w:val="Normal"/>
              <w:widowControl w:val="false"/>
              <w:tabs>
                <w:tab w:val="clear" w:pos="720"/>
                <w:tab w:val="left" w:pos="6954"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Крім цього, у звітному періоді було проведено поточний ремонт вул. Лісова в с. Тарасове на загальну суму 667 тис. грн, вул. Ставкової (проїзд з с. Тарасове до с. Боголюби) на загальну суму 198 тис. грн та ямковий ремонт вул. Центральна в с. Тарасове (СМАД у Волинській області). Здійснено поточний ремонт адміністративної будівлі Боголюбського старостату. Проведено реконструкцію електричних мереж вуличного освітлення вул. Лесі Українки с. Боголюби (з’їзду з вул. Центральна до вул. Лесі Українки) та поточний ремонт пам’ятника загиблим воїнам-односельчанам в с. Боголюби та благоустрій його території. Встановлено знаки зупинок громадського транспорту в с. Боголюби.</w:t>
            </w:r>
          </w:p>
          <w:p>
            <w:pPr>
              <w:pStyle w:val="Normal"/>
              <w:widowControl w:val="false"/>
              <w:tabs>
                <w:tab w:val="clear" w:pos="720"/>
                <w:tab w:val="left" w:pos="6954"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ремонт дитячих майданчиків в селах старостату та встановлено ігровий комплекс Вежа Атлет у с. Боголюби. Проведено ремонт даху пожежного виходу в будинку культури с. Боголюби та встановлено камери відеонагляду.</w:t>
            </w:r>
          </w:p>
          <w:p>
            <w:pPr>
              <w:pStyle w:val="Normal"/>
              <w:widowControl w:val="false"/>
              <w:tabs>
                <w:tab w:val="clear" w:pos="720"/>
                <w:tab w:val="left" w:pos="6954" w:leader="none"/>
              </w:tabs>
              <w:ind w:firstLine="567"/>
              <w:jc w:val="both"/>
              <w:rPr>
                <w:rFonts w:ascii="Times New Roman" w:hAnsi="Times New Roman"/>
                <w:color w:val="000000"/>
                <w:sz w:val="26"/>
                <w:szCs w:val="26"/>
                <w:lang w:val="uk-UA"/>
              </w:rPr>
            </w:pPr>
            <w:r>
              <w:rPr>
                <w:rFonts w:ascii="Times New Roman" w:hAnsi="Times New Roman"/>
                <w:color w:val="000000"/>
                <w:sz w:val="26"/>
                <w:szCs w:val="26"/>
                <w:lang w:val="uk-UA"/>
              </w:rPr>
              <w:t>Проведено поточні ремонти вулиць в с. Боголюби: Центральна, Озерна та Незалежності, в с. Тарасове: Лісова, Івана Тарасюка та Набережна. Встановлено майданчик для збору сміття на новому кладовищі в с. Боголюби.</w:t>
            </w:r>
          </w:p>
          <w:p>
            <w:pPr>
              <w:pStyle w:val="Normal"/>
              <w:widowControl w:val="false"/>
              <w:tabs>
                <w:tab w:val="clear" w:pos="720"/>
                <w:tab w:val="left" w:pos="6954" w:leader="none"/>
              </w:tabs>
              <w:ind w:firstLine="567"/>
              <w:jc w:val="both"/>
              <w:rPr/>
            </w:pPr>
            <w:r>
              <w:rPr>
                <w:rFonts w:ascii="Times New Roman" w:hAnsi="Times New Roman"/>
                <w:color w:val="000000"/>
                <w:sz w:val="26"/>
                <w:szCs w:val="26"/>
                <w:lang w:val="uk-UA"/>
              </w:rPr>
              <w:t>Встановлено огорожу території КЗЗСО “Боголюбський ліцей № 30 Луцької міської ради” та проведено капітальний ремонт санвузлів.</w:t>
            </w:r>
          </w:p>
        </w:tc>
      </w:tr>
      <w:tr>
        <w:trPr>
          <w:trHeight w:val="276" w:hRule="atLeast"/>
        </w:trPr>
        <w:tc>
          <w:tcPr>
            <w:tcW w:w="2945" w:type="dxa"/>
            <w:tcBorders>
              <w:left w:val="single" w:sz="4" w:space="0" w:color="000000"/>
              <w:bottom w:val="single" w:sz="4" w:space="0" w:color="000000"/>
            </w:tcBorders>
            <w:shd w:fill="auto" w:val="clear"/>
          </w:tcPr>
          <w:p>
            <w:pPr>
              <w:pStyle w:val="Normal"/>
              <w:widowControl w:val="false"/>
              <w:shd w:val="clear" w:color="auto" w:fill="FFFFFF"/>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Жидичинський старостинський округ</w:t>
            </w:r>
          </w:p>
        </w:tc>
        <w:tc>
          <w:tcPr>
            <w:tcW w:w="12137"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У звітному періоді були проведені такі ремонтні роботи: </w:t>
            </w:r>
            <w:r>
              <w:rPr>
                <w:rFonts w:cs="Times New Roman" w:ascii="Times New Roman" w:hAnsi="Times New Roman"/>
                <w:color w:val="000000"/>
                <w:kern w:val="0"/>
                <w:sz w:val="26"/>
                <w:szCs w:val="26"/>
                <w:lang w:val="uk-UA" w:eastAsia="ru-RU" w:bidi="ar-SA"/>
              </w:rPr>
              <w:t>поточний ремонт вул. Тракторної (влаштування щебеневого покриття) в с. Озерце; поточний ремонт вул. Монастирська (виправлення профілю щебеневого покриття з додаванням нового матеріалу) в с. Жидичин; поточний ремонт вул. Володимира Зарадюка (виправлення профілю щебеневого покриття з додаванням нового матеріалу) в с. Кульчин; поточний ремонт (повітряно-струменевим методом) вул. Лесі Українки та вул. Ковельська в с. Жидичин та вул. Заводська в с. Кульчин. Частково проведено поточний ремонт дорожнього покриття дороги обласного значення О-030534 «Луцьк – Жидичин – Кульчин – Клепачів» в селах Жидичин, Кульчин, Клепачів з впорядкуванням та зняттям узбіч, встановленням дорожніх знаків на окремих ділянках дороги. У звітному періоді було встановлено новий дитячий ігровий майданчик у с. Кульчин. Облаштовано два посадкові майданчики зупинок громадського транспорту в с. Небіжка. Встановлено майданчик для сміття на кладовищі у с. Липляни.</w:t>
            </w:r>
          </w:p>
        </w:tc>
      </w:tr>
      <w:tr>
        <w:trPr>
          <w:trHeight w:val="615" w:hRule="atLeast"/>
        </w:trPr>
        <w:tc>
          <w:tcPr>
            <w:tcW w:w="2945" w:type="dxa"/>
            <w:tcBorders>
              <w:left w:val="single" w:sz="4" w:space="0" w:color="000000"/>
              <w:bottom w:val="single" w:sz="4" w:space="0" w:color="000000"/>
            </w:tcBorders>
            <w:shd w:fill="auto" w:val="clear"/>
          </w:tcPr>
          <w:p>
            <w:pPr>
              <w:pStyle w:val="Normal"/>
              <w:widowControl w:val="false"/>
              <w:shd w:val="clear" w:color="auto" w:fill="FFFFFF"/>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Заборольський старостинський округ</w:t>
            </w:r>
          </w:p>
          <w:p>
            <w:pPr>
              <w:pStyle w:val="Normal"/>
              <w:widowControl w:val="false"/>
              <w:shd w:val="clear" w:color="auto" w:fill="FFFFFF"/>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tc>
        <w:tc>
          <w:tcPr>
            <w:tcW w:w="12137" w:type="dxa"/>
            <w:tcBorders>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eastAsia="ru-RU"/>
              </w:rPr>
              <w:t xml:space="preserve">У 2024 році були проведені такі ремонтні роботи: поточний ремонт проїзду з вул. Богдана Хмельницького на вул. Світла в с. Забороль; </w:t>
            </w:r>
            <w:r>
              <w:rPr>
                <w:rFonts w:ascii="Times New Roman" w:hAnsi="Times New Roman"/>
                <w:color w:val="000000"/>
                <w:sz w:val="26"/>
                <w:szCs w:val="26"/>
                <w:lang w:val="uk-UA"/>
              </w:rPr>
              <w:t xml:space="preserve">поточний ремонт проїзду з вул. Шевченка на вул. Богдана Хмельницького в с. Забороль; поточний ремонт вул. Володимирська (на ділянці від будинку № 43 до будинку № 55а) в с. Забороль; поточний ремонт вул. Лисенка на ділянці від вул. Гончарівка в м. Луцьку до будинку № 126 (виправлення профілю щебеневого покриття з додаванням нового матеріалу) в с. Великий Омеляник; поточний ремонт вул. Проєктна на ділянці від вул. Педагогічна до вул. Львівська в с. Великий Омеляник; поточний ремонт вул. Ювілейна (виправлення щебеневого покриття з додаванням нового матеріалу) в с. Великий Омеляник; поточний ремонт вул. Вереснева (виправлення щебеневого покриття з додаванням нового матеріалу) в с. Великий Омеляник; поточний ремонт заїзду до будинку № 27 з вул. Нагірна в с. Великий Омеляник; ямковий ремонт дороги струменевим методом в с. Великий Омеляник по вул. Проєктна, Набережна та Ранкова; в с. Шепель по вул. Миру; </w:t>
            </w:r>
            <w:r>
              <w:rPr>
                <w:rFonts w:cs="Times New Roman" w:ascii="Times New Roman" w:hAnsi="Times New Roman"/>
                <w:color w:val="000000"/>
                <w:sz w:val="26"/>
                <w:szCs w:val="26"/>
                <w:lang w:val="uk-UA" w:eastAsia="ru-RU"/>
              </w:rPr>
              <w:t>поточний ремонт пам’ятника загиблим воїнам-односельчанам в с. Шепель.</w:t>
            </w:r>
          </w:p>
        </w:tc>
      </w:tr>
      <w:tr>
        <w:trPr>
          <w:trHeight w:val="288" w:hRule="atLeast"/>
        </w:trPr>
        <w:tc>
          <w:tcPr>
            <w:tcW w:w="2945" w:type="dxa"/>
            <w:tcBorders>
              <w:top w:val="single" w:sz="4" w:space="0" w:color="000000"/>
              <w:left w:val="single" w:sz="4" w:space="0" w:color="000000"/>
              <w:bottom w:val="single" w:sz="4" w:space="0" w:color="000000"/>
            </w:tcBorders>
            <w:shd w:fill="auto" w:val="clear"/>
          </w:tcPr>
          <w:p>
            <w:pPr>
              <w:pStyle w:val="Normal"/>
              <w:widowControl w:val="false"/>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Княгининівський</w:t>
            </w:r>
          </w:p>
          <w:p>
            <w:pPr>
              <w:pStyle w:val="Normal"/>
              <w:widowControl w:val="false"/>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старостинський округ</w:t>
            </w:r>
          </w:p>
          <w:p>
            <w:pPr>
              <w:pStyle w:val="Normal"/>
              <w:widowControl w:val="false"/>
              <w:jc w:val="both"/>
              <w:rPr>
                <w:rFonts w:ascii="Times New Roman" w:hAnsi="Times New Roman"/>
                <w:color w:val="000000"/>
                <w:sz w:val="26"/>
                <w:szCs w:val="26"/>
                <w:lang w:val="uk-UA"/>
              </w:rPr>
            </w:pPr>
            <w:r>
              <w:rPr>
                <w:rFonts w:ascii="Times New Roman" w:hAnsi="Times New Roman"/>
                <w:color w:val="000000"/>
                <w:sz w:val="26"/>
                <w:szCs w:val="26"/>
                <w:lang w:val="uk-UA"/>
              </w:rPr>
            </w:r>
          </w:p>
        </w:tc>
        <w:tc>
          <w:tcPr>
            <w:tcW w:w="1213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 xml:space="preserve">У звітному періоді було </w:t>
            </w:r>
            <w:r>
              <w:rPr>
                <w:rFonts w:cs="Times New Roman" w:ascii="Times New Roman" w:hAnsi="Times New Roman"/>
                <w:bCs/>
                <w:color w:val="000000"/>
                <w:sz w:val="26"/>
                <w:szCs w:val="26"/>
                <w:lang w:val="uk-UA" w:eastAsia="ru-RU"/>
              </w:rPr>
              <w:t>проведено поточний ремонт доріг вулиць:</w:t>
            </w:r>
            <w:r>
              <w:rPr>
                <w:rFonts w:ascii="Times New Roman" w:hAnsi="Times New Roman"/>
                <w:bCs/>
                <w:color w:val="000000"/>
                <w:sz w:val="26"/>
                <w:szCs w:val="26"/>
                <w:lang w:val="uk-UA" w:eastAsia="ru-RU"/>
              </w:rPr>
              <w:t xml:space="preserve"> Сонячна, Ставкова, Калинова, Поліська, Нижній проїзд, Тиха, Шкільна, Поштова, Топографічна у с. Зміїнець; Хмельова, проїзд між вул. Тихою та вул. Перемоги в с. Милуші; Садова, Промислова, пров. Черешневий у с. Княгининок; Героїв України в сел. Рокині; </w:t>
            </w:r>
            <w:r>
              <w:rPr>
                <w:rFonts w:ascii="Times New Roman" w:hAnsi="Times New Roman"/>
                <w:color w:val="000000"/>
                <w:sz w:val="26"/>
                <w:szCs w:val="26"/>
                <w:lang w:val="uk-UA"/>
              </w:rPr>
              <w:t xml:space="preserve">Конякіна (завершення ремонту розпочатого у 2023 році) у с. Сирники. </w:t>
            </w:r>
            <w:r>
              <w:rPr>
                <w:rFonts w:ascii="Times New Roman" w:hAnsi="Times New Roman"/>
                <w:color w:val="000000"/>
                <w:sz w:val="26"/>
                <w:szCs w:val="26"/>
                <w:lang w:val="uk-UA" w:eastAsia="ru-RU"/>
              </w:rPr>
              <w:t xml:space="preserve">Встановлено зупинку громадського транспорту </w:t>
            </w:r>
            <w:r>
              <w:rPr>
                <w:rFonts w:ascii="Times New Roman" w:hAnsi="Times New Roman"/>
                <w:color w:val="000000"/>
                <w:sz w:val="26"/>
                <w:szCs w:val="26"/>
                <w:lang w:val="uk-UA"/>
              </w:rPr>
              <w:t>в центрі с. Княгининок (вул. Соборна, 66). На численні звернення жител</w:t>
            </w:r>
            <w:r>
              <w:rPr>
                <w:rFonts w:ascii="Times New Roman" w:hAnsi="Times New Roman"/>
                <w:color w:val="000000"/>
                <w:sz w:val="26"/>
                <w:szCs w:val="26"/>
                <w:shd w:fill="auto" w:val="clear"/>
                <w:lang w:val="uk-UA"/>
              </w:rPr>
              <w:t xml:space="preserve">ів </w:t>
            </w:r>
            <w:r>
              <w:rPr>
                <w:rFonts w:ascii="Times New Roman" w:hAnsi="Times New Roman"/>
                <w:color w:val="000000"/>
                <w:sz w:val="26"/>
                <w:szCs w:val="26"/>
                <w:shd w:fill="auto" w:val="clear"/>
                <w:lang w:val="uk-UA" w:eastAsia="ru-RU"/>
              </w:rPr>
              <w:t>відновлено роботу аптеки в сел. Рокині. Завершено облаштування громадських вбиралень на кладовищах населених пунктів округу. Обладнано робоче місце спеціаліста д</w:t>
            </w:r>
            <w:r>
              <w:rPr>
                <w:rFonts w:ascii="Times New Roman" w:hAnsi="Times New Roman"/>
                <w:color w:val="000000"/>
                <w:sz w:val="26"/>
                <w:szCs w:val="26"/>
                <w:shd w:fill="auto" w:val="clear"/>
                <w:lang w:val="uk-UA"/>
              </w:rPr>
              <w:t>ля надання допомоги жителям старостату щодо проведення реєстрації в ДАРі та отримання дотацій на сільськогосподарську продукцію.</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shd w:fill="auto" w:val="clear"/>
                <w:lang w:val="uk-UA"/>
              </w:rPr>
              <w:t>Крім того, у старостинському окрузі постійно проводиться робота з гуманітарною допомогою, яка надаєтьс</w:t>
            </w:r>
            <w:r>
              <w:rPr>
                <w:rFonts w:cs="Times New Roman" w:ascii="Times New Roman" w:hAnsi="Times New Roman"/>
                <w:color w:val="000000"/>
                <w:sz w:val="26"/>
                <w:szCs w:val="26"/>
                <w:lang w:val="uk-UA"/>
              </w:rPr>
              <w:t>я для внутрішньо переміщених осіб, малозабезпечених та потребуючих громадян громади; за ініціативою місцевих жителів постійно проводиться збір коштів на придбання автомобілів, запчастин, ліків для потреб ЗСУ. Проведено благодійний збір овочів для потреб КП «Волинський обласний госпіталь ветеранів війни» Волинської обласної ради. Зібрано 1,5 т картоплі та 800 кг капусти і червоного буряка.</w:t>
            </w:r>
          </w:p>
        </w:tc>
      </w:tr>
      <w:tr>
        <w:trPr>
          <w:trHeight w:val="274" w:hRule="atLeast"/>
        </w:trPr>
        <w:tc>
          <w:tcPr>
            <w:tcW w:w="2945" w:type="dxa"/>
            <w:tcBorders>
              <w:top w:val="single" w:sz="4" w:space="0" w:color="000000"/>
              <w:left w:val="single" w:sz="4" w:space="0" w:color="000000"/>
              <w:bottom w:val="single" w:sz="4" w:space="0" w:color="000000"/>
            </w:tcBorders>
            <w:shd w:fill="auto" w:val="clear"/>
          </w:tcPr>
          <w:p>
            <w:pPr>
              <w:pStyle w:val="Normal"/>
              <w:widowControl w:val="false"/>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Прилуцький</w:t>
            </w:r>
          </w:p>
          <w:p>
            <w:pPr>
              <w:pStyle w:val="Normal"/>
              <w:widowControl w:val="false"/>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старостинський округ</w:t>
            </w:r>
          </w:p>
        </w:tc>
        <w:tc>
          <w:tcPr>
            <w:tcW w:w="1213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 xml:space="preserve">Протягом звітного періоду було частково </w:t>
            </w:r>
            <w:r>
              <w:rPr>
                <w:rFonts w:eastAsia="Calibri" w:cs="Times New Roman" w:ascii="Times New Roman" w:hAnsi="Times New Roman"/>
                <w:color w:val="000000"/>
                <w:kern w:val="0"/>
                <w:sz w:val="26"/>
                <w:szCs w:val="26"/>
                <w:lang w:val="uk-UA" w:eastAsia="ru-RU" w:bidi="ar-SA"/>
              </w:rPr>
              <w:t>п</w:t>
            </w:r>
            <w:r>
              <w:rPr>
                <w:rFonts w:eastAsia="Calibri" w:cs="Times New Roman" w:ascii="Times New Roman" w:hAnsi="Times New Roman"/>
                <w:color w:val="000000"/>
                <w:kern w:val="0"/>
                <w:sz w:val="26"/>
                <w:szCs w:val="26"/>
                <w:lang w:val="uk-UA" w:eastAsia="en-US" w:bidi="ar-SA"/>
              </w:rPr>
              <w:t>роведено поточний ремонт мереж вуличного освітлення. На стадії виконання перебуває облаштування нового кладовища с. Прилуцьке – оформлено документи на земельну ділянку площею 0,5 га, заасфальтовано та зроблено доїзд до неї. Проведено ґрейдерування дороги С030502/Р-14/ Прилуцьке-Сапогове-Діброва (1,3 км) з підсипанням щебеню та облаштовано кювети. Проведено поточний ремонт (ґрейдерування з підсипанням щебеню) доріг на вулицях: Козацька, Вишнева та Санаторній в с. Жабка; Дружби в с. Дачне; Лісна в с. Прилуцьке. Заасфальтовано частину дороги від траси Р-14 до перетину з вул. І. Богуна та від перетину з вул. І. Богуна до перетину з вул. Жовтневою в с. Прилуцьке.</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Окрім заходів, визначених у програмі, в Прилуцькому старостинському окрузі було відкрито аптечний пункт; встановлено засоби примусового обмеження швидкості дорожньо-транспортної техніки у с. Дачне.</w:t>
            </w:r>
          </w:p>
          <w:p>
            <w:pPr>
              <w:pStyle w:val="Normal"/>
              <w:widowControl w:val="false"/>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Крім того, проводились різні з</w:t>
            </w:r>
            <w:r>
              <w:rPr>
                <w:rFonts w:eastAsia="Calibri" w:cs="Times New Roman" w:ascii="Times New Roman" w:hAnsi="Times New Roman"/>
                <w:color w:val="000000"/>
                <w:kern w:val="0"/>
                <w:sz w:val="26"/>
                <w:szCs w:val="26"/>
                <w:lang w:val="uk-UA" w:eastAsia="en-US" w:bidi="ar-SA"/>
              </w:rPr>
              <w:t>аходи, виконання яких пов’язане із запровадженням воєнного стану на території нашої держави. На базі КЗЗСО «Прилуцький ліцей № 29 Луцької міської ради» організовано плетіння маскувальних сіток, формування харчових наборів (сухофрукти, горіхи), виготовлення окопних свічок тощо. КЗЗСО «Прилуцький ліцей № 29 Луцької міської ради» проведено благодійний захід по збору коштів для потреб земляків, які служать у ЗСУ (зібрано 82 тис. грн, за які придбано та передано індивідуальні засоби захисту, ліки, взуття, павербанки). Організовано роботу «Пункту незламності» на базі приміщення Прилуцького старостинського округу у разі порушення нормальних умов життєдіяльності. Проведено благодійний збір овочів для потреб КП «Волинський обласний госпіталь ветеранів війни» Волинської обласної ради (картопля та інші овочі, придбано 100 кг круп).</w:t>
            </w:r>
          </w:p>
          <w:p>
            <w:pPr>
              <w:pStyle w:val="Normal"/>
              <w:widowControl w:val="false"/>
              <w:ind w:firstLine="567"/>
              <w:jc w:val="both"/>
              <w:rPr>
                <w:rFonts w:ascii="Times New Roman" w:hAnsi="Times New Roman" w:eastAsia="Calibri" w:cs="Times New Roman"/>
                <w:color w:val="000000"/>
                <w:kern w:val="0"/>
                <w:sz w:val="26"/>
                <w:szCs w:val="26"/>
                <w:lang w:val="uk-UA" w:eastAsia="en-US" w:bidi="ar-SA"/>
              </w:rPr>
            </w:pPr>
            <w:r>
              <w:rPr>
                <w:rFonts w:eastAsia="Calibri" w:cs="Times New Roman" w:ascii="Times New Roman" w:hAnsi="Times New Roman"/>
                <w:color w:val="000000"/>
                <w:kern w:val="0"/>
                <w:sz w:val="26"/>
                <w:szCs w:val="26"/>
                <w:lang w:val="uk-UA" w:eastAsia="en-US" w:bidi="ar-SA"/>
              </w:rPr>
              <w:t>Видавалася також і гуманітарна допомога (одяг, продукти харчування на ЗСУ, тощо). Було проведено обстеження житла мешканців</w:t>
            </w:r>
            <w:bookmarkStart w:id="23" w:name="_GoBack"/>
            <w:bookmarkEnd w:id="23"/>
            <w:r>
              <w:rPr>
                <w:rFonts w:eastAsia="Calibri" w:cs="Times New Roman" w:ascii="Times New Roman" w:hAnsi="Times New Roman"/>
                <w:color w:val="000000"/>
                <w:kern w:val="0"/>
                <w:sz w:val="26"/>
                <w:szCs w:val="26"/>
                <w:lang w:val="uk-UA" w:eastAsia="en-US" w:bidi="ar-SA"/>
              </w:rPr>
              <w:t xml:space="preserve"> с. Прилуцьке, які постраждали під час ракетної атаки 22.06.2024.</w:t>
            </w:r>
          </w:p>
        </w:tc>
      </w:tr>
      <w:tr>
        <w:trPr>
          <w:trHeight w:val="274" w:hRule="atLeast"/>
        </w:trPr>
        <w:tc>
          <w:tcPr>
            <w:tcW w:w="2945" w:type="dxa"/>
            <w:tcBorders>
              <w:left w:val="single" w:sz="4" w:space="0" w:color="000000"/>
              <w:bottom w:val="single" w:sz="4" w:space="0" w:color="000000"/>
            </w:tcBorders>
            <w:shd w:fill="auto" w:val="clear"/>
          </w:tcPr>
          <w:p>
            <w:pPr>
              <w:pStyle w:val="Normal"/>
              <w:widowControl w:val="false"/>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t>Додатково</w:t>
            </w:r>
          </w:p>
        </w:tc>
        <w:tc>
          <w:tcPr>
            <w:tcW w:w="12137" w:type="dxa"/>
            <w:tcBorders>
              <w:left w:val="single" w:sz="4" w:space="0" w:color="000000"/>
              <w:bottom w:val="single" w:sz="4" w:space="0" w:color="000000"/>
              <w:right w:val="single" w:sz="4" w:space="0" w:color="000000"/>
            </w:tcBorders>
            <w:shd w:fill="auto" w:val="clear"/>
          </w:tcPr>
          <w:p>
            <w:pPr>
              <w:pStyle w:val="Normal"/>
              <w:widowControl w:val="false"/>
              <w:tabs>
                <w:tab w:val="clear" w:pos="720"/>
                <w:tab w:val="left" w:pos="6954"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shd w:fill="auto" w:val="clear"/>
                <w:lang w:val="uk-UA"/>
              </w:rPr>
              <w:t>Протягом 2024 року постійно проводилось інформування сільськогосподарських виробників щодо фінансової підтримки агровиробників старостату шляхом реалізації заходів Програми розвитку агропромислового комплексу Луцької міської територіальної громади та Комплексної програми розвитку агропромислового комплексу Волинської області</w:t>
            </w:r>
            <w:r>
              <w:rPr>
                <w:rFonts w:cs="Times New Roman" w:ascii="Times New Roman" w:hAnsi="Times New Roman"/>
                <w:color w:val="000000"/>
                <w:sz w:val="26"/>
                <w:szCs w:val="26"/>
                <w:shd w:fill="auto" w:val="clear"/>
                <w:lang w:val="uk-UA" w:eastAsia="ru-RU"/>
              </w:rPr>
              <w:t>, а також проводився збір документів щодо одержання відповідних дотацій агровиробникам.</w:t>
            </w:r>
          </w:p>
          <w:p>
            <w:pPr>
              <w:pStyle w:val="Normal"/>
              <w:widowControl w:val="false"/>
              <w:tabs>
                <w:tab w:val="clear" w:pos="720"/>
                <w:tab w:val="left" w:pos="6954"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shd w:fill="auto" w:val="clear"/>
                <w:lang w:val="uk-UA" w:eastAsia="ru-RU"/>
              </w:rPr>
              <w:t xml:space="preserve">Також в старостинських округах приймалися заявки від пільгових категорій </w:t>
            </w:r>
            <w:r>
              <w:rPr>
                <w:rFonts w:eastAsia="Calibri" w:cs="Times New Roman" w:ascii="Times New Roman" w:hAnsi="Times New Roman"/>
                <w:color w:val="000000"/>
                <w:kern w:val="0"/>
                <w:sz w:val="26"/>
                <w:szCs w:val="26"/>
                <w:shd w:fill="auto" w:val="clear"/>
                <w:lang w:val="uk-UA" w:eastAsia="en-US" w:bidi="ar-SA"/>
              </w:rPr>
              <w:t>громадян (внутрішньо переміщених осіб, учасників бойових дій та членів їх сімей, осіб з інвалідністю внаслідок війни, членів сімей загиблих (померлих) ветеранів війни та членів сімей загиблих (померлих) захисників і захисниць України, багатодітних, малозабезпечених сімей)</w:t>
            </w:r>
            <w:r>
              <w:rPr>
                <w:rFonts w:cs="Times New Roman" w:ascii="Times New Roman" w:hAnsi="Times New Roman"/>
                <w:color w:val="000000"/>
                <w:sz w:val="26"/>
                <w:szCs w:val="26"/>
                <w:shd w:fill="auto" w:val="clear"/>
                <w:lang w:val="uk-UA" w:eastAsia="ru-RU"/>
              </w:rPr>
              <w:t xml:space="preserve"> на видачу насіння овочів як благодійної допомоги від міжнародних насіннєвих компаній: Enza Zaden, Osborne Quality Seeds, Syngenta в рамках ініціативи “НАСІННЯ ПЕРЕМОГИ” проєкту “Згуртовані громади”.</w:t>
            </w:r>
          </w:p>
          <w:p>
            <w:pPr>
              <w:pStyle w:val="Normal"/>
              <w:widowControl w:val="false"/>
              <w:tabs>
                <w:tab w:val="clear" w:pos="720"/>
                <w:tab w:val="left" w:pos="6954" w:leader="none"/>
              </w:tabs>
              <w:ind w:firstLine="567"/>
              <w:jc w:val="both"/>
              <w:rPr>
                <w:rFonts w:ascii="Times New Roman" w:hAnsi="Times New Roman" w:cs="Times New Roman"/>
                <w:color w:val="000000"/>
                <w:sz w:val="26"/>
                <w:szCs w:val="26"/>
                <w:lang w:val="uk-UA"/>
              </w:rPr>
            </w:pPr>
            <w:r>
              <w:rPr>
                <w:rFonts w:cs="Times New Roman" w:ascii="Times New Roman" w:hAnsi="Times New Roman"/>
                <w:color w:val="000000"/>
                <w:sz w:val="26"/>
                <w:szCs w:val="26"/>
                <w:shd w:fill="auto" w:val="clear"/>
                <w:lang w:val="uk-UA" w:eastAsia="ru-RU"/>
              </w:rPr>
              <w:t xml:space="preserve">Крім того, у старостинських округах постійно проводиться робота з гуманітарною допомогою, яка надається для внутрішньо переміщених осіб, малозабезпечених та потребуючих громадян; за ініціативою місцевих жителів постійно проводиться збір коштів на забезпечення потреб ЗСУ (придбання автомобілів, запчастин, ліків </w:t>
            </w:r>
            <w:r>
              <w:rPr>
                <w:rFonts w:eastAsia="NSimSun" w:cs="Times New Roman" w:ascii="Times New Roman" w:hAnsi="Times New Roman"/>
                <w:color w:val="000000"/>
                <w:kern w:val="2"/>
                <w:sz w:val="26"/>
                <w:szCs w:val="26"/>
                <w:shd w:fill="auto" w:val="clear"/>
                <w:lang w:val="uk-UA" w:eastAsia="ru-RU" w:bidi="hi-IN"/>
              </w:rPr>
              <w:t>тощо)</w:t>
            </w:r>
            <w:r>
              <w:rPr>
                <w:rFonts w:cs="Times New Roman" w:ascii="Times New Roman" w:hAnsi="Times New Roman"/>
                <w:color w:val="000000"/>
                <w:sz w:val="26"/>
                <w:szCs w:val="26"/>
                <w:shd w:fill="auto" w:val="clear"/>
                <w:lang w:val="uk-UA" w:eastAsia="ru-RU"/>
              </w:rPr>
              <w:t>.</w:t>
            </w:r>
          </w:p>
        </w:tc>
      </w:tr>
    </w:tbl>
    <w:p>
      <w:pPr>
        <w:pStyle w:val="Normal"/>
        <w:jc w:val="center"/>
        <w:rPr>
          <w:rFonts w:ascii="Times New Roman" w:hAnsi="Times New Roman" w:cs="Times New Roman"/>
          <w:b/>
          <w:b/>
          <w:color w:val="000000"/>
          <w:sz w:val="26"/>
          <w:szCs w:val="26"/>
          <w:lang w:val="uk-UA"/>
        </w:rPr>
      </w:pPr>
      <w:r>
        <w:rPr>
          <w:rFonts w:cs="Times New Roman" w:ascii="Times New Roman" w:hAnsi="Times New Roman"/>
          <w:b/>
          <w:color w:val="000000"/>
          <w:sz w:val="26"/>
          <w:szCs w:val="26"/>
          <w:lang w:val="uk-UA"/>
        </w:rPr>
      </w:r>
    </w:p>
    <w:p>
      <w:pPr>
        <w:pStyle w:val="Normal"/>
        <w:widowControl w:val="false"/>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jc w:val="both"/>
        <w:rPr>
          <w:rFonts w:ascii="Times New Roman" w:hAnsi="Times New Roman" w:cs="Times New Roman"/>
          <w:color w:val="000000"/>
          <w:sz w:val="26"/>
          <w:szCs w:val="26"/>
          <w:lang w:val="uk-UA"/>
        </w:rPr>
      </w:pPr>
      <w:r>
        <w:rPr>
          <w:rFonts w:cs="Times New Roman" w:ascii="Times New Roman" w:hAnsi="Times New Roman"/>
          <w:color w:val="000000"/>
          <w:sz w:val="26"/>
          <w:szCs w:val="26"/>
          <w:lang w:val="uk-UA"/>
        </w:rPr>
      </w:r>
    </w:p>
    <w:p>
      <w:pPr>
        <w:pStyle w:val="Normal"/>
        <w:widowControl w:val="false"/>
        <w:jc w:val="both"/>
        <w:rPr>
          <w:rFonts w:ascii="Times New Roman" w:hAnsi="Times New Roman"/>
          <w:color w:val="000000"/>
          <w:sz w:val="26"/>
          <w:szCs w:val="26"/>
          <w:lang w:val="uk-UA"/>
        </w:rPr>
      </w:pPr>
      <w:r>
        <w:rPr>
          <w:rFonts w:cs="Times New Roman" w:ascii="Times New Roman" w:hAnsi="Times New Roman"/>
          <w:color w:val="000000"/>
          <w:sz w:val="26"/>
          <w:szCs w:val="26"/>
          <w:lang w:val="uk-UA"/>
        </w:rPr>
        <w:t>Директор департаменту економічної політики</w:t>
        <w:tab/>
        <w:tab/>
        <w:tab/>
        <w:tab/>
        <w:tab/>
        <w:tab/>
        <w:tab/>
        <w:tab/>
        <w:tab/>
        <w:tab/>
        <w:tab/>
        <w:t xml:space="preserve">       Борис СМАЛЬ</w:t>
      </w:r>
    </w:p>
    <w:sectPr>
      <w:type w:val="nextPage"/>
      <w:pgSz w:orient="landscape" w:w="16838" w:h="11906"/>
      <w:pgMar w:left="850" w:right="850" w:header="0" w:top="851" w:footer="0" w:bottom="85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mbria">
    <w:charset w:val="cc"/>
    <w:family w:val="roman"/>
    <w:pitch w:val="variable"/>
  </w:font>
  <w:font w:name="Times New Roman">
    <w:charset w:val="cc"/>
    <w:family w:val="roman"/>
    <w:pitch w:val="variable"/>
  </w:font>
  <w:font w:name="Calibri">
    <w:charset w:val="cc"/>
    <w:family w:val="roman"/>
    <w:pitch w:val="variable"/>
  </w:font>
  <w:font w:name="Calibri Light">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TimesNewRomanPSMT">
    <w:charset w:val="cc"/>
    <w:family w:val="roman"/>
    <w:pitch w:val="variable"/>
  </w:font>
  <w:font w:name="Segoe UI">
    <w:charset w:val="cc"/>
    <w:family w:val="roman"/>
    <w:pitch w:val="variable"/>
  </w:font>
  <w:font w:name="Tahoma">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Liberation Mono">
    <w:altName w:val="Courier New"/>
    <w:charset w:val="cc"/>
    <w:family w:val="roman"/>
    <w:pitch w:val="variable"/>
  </w:font>
  <w:font w:name="Georgia">
    <w:charset w:val="cc"/>
    <w:family w:val="roman"/>
    <w:pitch w:val="variable"/>
  </w:font>
  <w:font w:name="Consola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textAlignment w:val="baseline"/>
    </w:pPr>
    <w:rPr>
      <w:rFonts w:ascii="Liberation Serif" w:hAnsi="Liberation Serif" w:eastAsia="NSimSun" w:cs="Arial"/>
      <w:color w:val="auto"/>
      <w:kern w:val="2"/>
      <w:sz w:val="24"/>
      <w:szCs w:val="24"/>
      <w:lang w:val="uk-UA" w:eastAsia="zh-CN" w:bidi="hi-IN"/>
    </w:rPr>
  </w:style>
  <w:style w:type="paragraph" w:styleId="1">
    <w:name w:val="Heading 1"/>
    <w:basedOn w:val="Normal"/>
    <w:next w:val="Normal"/>
    <w:qFormat/>
    <w:pPr>
      <w:keepNext w:val="true"/>
      <w:spacing w:before="240" w:after="60"/>
      <w:outlineLvl w:val="0"/>
    </w:pPr>
    <w:rPr>
      <w:rFonts w:ascii="Cambria" w:hAnsi="Cambria" w:eastAsia="Liberation Serif" w:cs="Times New Roman"/>
      <w:b/>
      <w:sz w:val="29"/>
      <w:szCs w:val="20"/>
      <w:lang w:bidi="ar-SA"/>
    </w:rPr>
  </w:style>
  <w:style w:type="paragraph" w:styleId="2">
    <w:name w:val="Heading 2"/>
    <w:next w:val="Style27"/>
    <w:qFormat/>
    <w:pPr>
      <w:widowControl/>
      <w:suppressAutoHyphens w:val="true"/>
      <w:bidi w:val="0"/>
      <w:spacing w:before="200" w:after="120"/>
      <w:jc w:val="left"/>
      <w:outlineLvl w:val="1"/>
    </w:pPr>
    <w:rPr>
      <w:rFonts w:ascii="Liberation Serif" w:hAnsi="Liberation Serif" w:eastAsia="Liberation Serif" w:cs="Tahoma"/>
      <w:b/>
      <w:bCs/>
      <w:color w:val="auto"/>
      <w:kern w:val="0"/>
      <w:sz w:val="36"/>
      <w:szCs w:val="36"/>
      <w:lang w:val="uk-UA" w:eastAsia="uk-UA" w:bidi="ar-SA"/>
    </w:rPr>
  </w:style>
  <w:style w:type="paragraph" w:styleId="3">
    <w:name w:val="Heading 3"/>
    <w:basedOn w:val="Normal"/>
    <w:next w:val="Normal"/>
    <w:qFormat/>
    <w:pPr>
      <w:keepNext w:val="true"/>
      <w:keepLines/>
      <w:spacing w:before="40" w:after="0"/>
      <w:outlineLvl w:val="2"/>
    </w:pPr>
    <w:rPr>
      <w:rFonts w:ascii="Cambria" w:hAnsi="Cambria" w:eastAsia="Liberation Serif" w:cs="Mangal"/>
      <w:b/>
      <w:bCs/>
      <w:sz w:val="23"/>
      <w:szCs w:val="23"/>
    </w:rPr>
  </w:style>
  <w:style w:type="paragraph" w:styleId="4">
    <w:name w:val="Heading 4"/>
    <w:basedOn w:val="Normal"/>
    <w:next w:val="Normal"/>
    <w:qFormat/>
    <w:pPr>
      <w:keepNext w:val="true"/>
      <w:keepLines/>
      <w:spacing w:before="240" w:after="40"/>
      <w:outlineLvl w:val="3"/>
    </w:pPr>
    <w:rPr>
      <w:b/>
    </w:rPr>
  </w:style>
  <w:style w:type="paragraph" w:styleId="5">
    <w:name w:val="Heading 5"/>
    <w:basedOn w:val="Normal"/>
    <w:next w:val="Normal"/>
    <w:qFormat/>
    <w:pPr>
      <w:keepNext w:val="true"/>
      <w:keepLines/>
      <w:spacing w:before="220" w:after="40"/>
      <w:outlineLvl w:val="4"/>
    </w:pPr>
    <w:rPr>
      <w:b/>
      <w:sz w:val="22"/>
      <w:szCs w:val="22"/>
    </w:rPr>
  </w:style>
  <w:style w:type="paragraph" w:styleId="6">
    <w:name w:val="Heading 6"/>
    <w:basedOn w:val="Normal"/>
    <w:qFormat/>
    <w:pPr>
      <w:suppressAutoHyphens w:val="false"/>
      <w:spacing w:before="280" w:after="280"/>
      <w:textAlignment w:val="auto"/>
      <w:outlineLvl w:val="5"/>
    </w:pPr>
    <w:rPr>
      <w:rFonts w:ascii="Times New Roman" w:hAnsi="Times New Roman" w:eastAsia="Liberation Serif" w:cs="Times New Roman"/>
      <w:b/>
      <w:kern w:val="0"/>
      <w:sz w:val="15"/>
      <w:szCs w:val="20"/>
      <w:lang w:eastAsia="uk-UA" w:bidi="ar-SA"/>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qFormat/>
    <w:rPr>
      <w:rFonts w:ascii="Cambria" w:hAnsi="Cambria" w:eastAsia="Liberation Serif" w:cs="Mangal"/>
      <w:b/>
      <w:bCs/>
      <w:kern w:val="2"/>
      <w:sz w:val="32"/>
      <w:szCs w:val="29"/>
      <w:lang w:eastAsia="zh-CN" w:bidi="hi-IN"/>
    </w:rPr>
  </w:style>
  <w:style w:type="character" w:styleId="21" w:customStyle="1">
    <w:name w:val="Заголовок 2 Знак"/>
    <w:basedOn w:val="DefaultParagraphFont"/>
    <w:qFormat/>
    <w:rPr>
      <w:rFonts w:ascii="Cambria" w:hAnsi="Cambria" w:eastAsia="Times New Roman" w:cs="Mangal"/>
      <w:b/>
      <w:bCs/>
      <w:i/>
      <w:iCs/>
      <w:kern w:val="2"/>
      <w:sz w:val="25"/>
      <w:szCs w:val="25"/>
      <w:lang w:eastAsia="zh-CN" w:bidi="hi-IN"/>
    </w:rPr>
  </w:style>
  <w:style w:type="character" w:styleId="31" w:customStyle="1">
    <w:name w:val="Заголовок 3 Знак"/>
    <w:basedOn w:val="DefaultParagraphFont"/>
    <w:qFormat/>
    <w:rPr>
      <w:rFonts w:ascii="Cambria" w:hAnsi="Cambria" w:cs="Times New Roman"/>
      <w:b/>
      <w:kern w:val="2"/>
      <w:sz w:val="23"/>
      <w:lang w:eastAsia="zh-CN"/>
    </w:rPr>
  </w:style>
  <w:style w:type="character" w:styleId="41" w:customStyle="1">
    <w:name w:val="Заголовок 4 Знак"/>
    <w:basedOn w:val="DefaultParagraphFont"/>
    <w:qFormat/>
    <w:rPr>
      <w:rFonts w:ascii="Calibri" w:hAnsi="Calibri" w:eastAsia="Times New Roman" w:cs="Mangal"/>
      <w:b/>
      <w:bCs/>
      <w:kern w:val="2"/>
      <w:sz w:val="25"/>
      <w:szCs w:val="25"/>
      <w:lang w:eastAsia="zh-CN" w:bidi="hi-IN"/>
    </w:rPr>
  </w:style>
  <w:style w:type="character" w:styleId="51" w:customStyle="1">
    <w:name w:val="Заголовок 5 Знак"/>
    <w:basedOn w:val="DefaultParagraphFont"/>
    <w:qFormat/>
    <w:rPr>
      <w:rFonts w:ascii="Calibri" w:hAnsi="Calibri" w:eastAsia="Times New Roman" w:cs="Mangal"/>
      <w:b/>
      <w:bCs/>
      <w:i/>
      <w:iCs/>
      <w:kern w:val="2"/>
      <w:sz w:val="23"/>
      <w:szCs w:val="23"/>
      <w:lang w:eastAsia="zh-CN" w:bidi="hi-IN"/>
    </w:rPr>
  </w:style>
  <w:style w:type="character" w:styleId="61" w:customStyle="1">
    <w:name w:val="Заголовок 6 Знак"/>
    <w:basedOn w:val="DefaultParagraphFont"/>
    <w:qFormat/>
    <w:rPr>
      <w:rFonts w:ascii="Times New Roman" w:hAnsi="Times New Roman" w:cs="Times New Roman"/>
      <w:b/>
      <w:sz w:val="15"/>
      <w:lang w:eastAsia="uk-UA"/>
    </w:rPr>
  </w:style>
  <w:style w:type="character" w:styleId="12" w:customStyle="1">
    <w:name w:val="Назва Знак1"/>
    <w:basedOn w:val="DefaultParagraphFont"/>
    <w:qFormat/>
    <w:rPr>
      <w:rFonts w:ascii="Cambria" w:hAnsi="Cambria" w:cs="Times New Roman"/>
      <w:b/>
      <w:kern w:val="2"/>
      <w:sz w:val="29"/>
      <w:lang w:eastAsia="zh-CN"/>
    </w:rPr>
  </w:style>
  <w:style w:type="character" w:styleId="13" w:customStyle="1">
    <w:name w:val="Название Знак1"/>
    <w:basedOn w:val="DefaultParagraphFont"/>
    <w:qFormat/>
    <w:rPr>
      <w:rFonts w:ascii="Cambria" w:hAnsi="Cambria" w:cs="Mangal"/>
      <w:b/>
      <w:bCs/>
      <w:i/>
      <w:iCs/>
      <w:kern w:val="2"/>
      <w:sz w:val="25"/>
      <w:szCs w:val="25"/>
      <w:lang w:eastAsia="zh-CN" w:bidi="hi-IN"/>
    </w:rPr>
  </w:style>
  <w:style w:type="character" w:styleId="BodyTextIndent3Char1" w:customStyle="1">
    <w:name w:val="Body Text Indent 3 Char1"/>
    <w:qFormat/>
    <w:rPr>
      <w:rFonts w:ascii="Calibri Light" w:hAnsi="Calibri Light"/>
      <w:color w:val="1F3763"/>
      <w:kern w:val="2"/>
      <w:sz w:val="21"/>
      <w:lang w:eastAsia="zh-CN"/>
    </w:rPr>
  </w:style>
  <w:style w:type="character" w:styleId="14" w:customStyle="1">
    <w:name w:val="Гіперпосилання1"/>
    <w:qFormat/>
    <w:rPr>
      <w:color w:val="000080"/>
      <w:u w:val="single"/>
    </w:rPr>
  </w:style>
  <w:style w:type="character" w:styleId="Style8" w:customStyle="1">
    <w:name w:val="Основний текст Знак"/>
    <w:qFormat/>
    <w:rPr>
      <w:rFonts w:ascii="Liberation Serif" w:hAnsi="Liberation Serif" w:eastAsia="NSimSun"/>
      <w:kern w:val="2"/>
      <w:sz w:val="24"/>
      <w:lang w:eastAsia="zh-CN"/>
    </w:rPr>
  </w:style>
  <w:style w:type="character" w:styleId="BodyTextChar" w:customStyle="1">
    <w:name w:val="Body Text Char"/>
    <w:qFormat/>
    <w:rPr/>
  </w:style>
  <w:style w:type="character" w:styleId="FooterChar" w:customStyle="1">
    <w:name w:val="Footer Char"/>
    <w:qFormat/>
    <w:rPr>
      <w:color w:val="0000FF"/>
      <w:u w:val="single"/>
    </w:rPr>
  </w:style>
  <w:style w:type="character" w:styleId="Strong">
    <w:name w:val="Strong"/>
    <w:basedOn w:val="DefaultParagraphFont"/>
    <w:qFormat/>
    <w:rPr>
      <w:rFonts w:cs="Times New Roman"/>
      <w:b/>
    </w:rPr>
  </w:style>
  <w:style w:type="character" w:styleId="Style9" w:customStyle="1">
    <w:name w:val="Відвідане гіперпосилання"/>
    <w:rPr>
      <w:color w:val="800080"/>
      <w:u w:val="single"/>
    </w:rPr>
  </w:style>
  <w:style w:type="character" w:styleId="15" w:customStyle="1">
    <w:name w:val="Основний текст Знак1"/>
    <w:qFormat/>
    <w:rPr>
      <w:rFonts w:ascii="Liberation Serif" w:hAnsi="Liberation Serif" w:eastAsia="NSimSun"/>
      <w:kern w:val="2"/>
      <w:sz w:val="21"/>
      <w:lang w:eastAsia="zh-CN"/>
    </w:rPr>
  </w:style>
  <w:style w:type="character" w:styleId="311" w:customStyle="1">
    <w:name w:val="Основний текст з відступом 3 Знак1"/>
    <w:qFormat/>
    <w:rPr>
      <w:color w:val="000080"/>
      <w:u w:val="single"/>
    </w:rPr>
  </w:style>
  <w:style w:type="character" w:styleId="22" w:customStyle="1">
    <w:name w:val="Нижній колонтитул Знак2"/>
    <w:qFormat/>
    <w:rPr>
      <w:i/>
    </w:rPr>
  </w:style>
  <w:style w:type="character" w:styleId="Style10" w:customStyle="1">
    <w:name w:val="Символ нумерації"/>
    <w:qFormat/>
    <w:rPr/>
  </w:style>
  <w:style w:type="character" w:styleId="WW8Num1z0" w:customStyle="1">
    <w:name w:val="WW8Num1z0"/>
    <w:qFormat/>
    <w:rPr>
      <w:rFonts w:ascii="Times New Roman" w:hAnsi="Times New Roman"/>
      <w:sz w:val="28"/>
      <w:lang w:val="uk-UA"/>
    </w:rPr>
  </w:style>
  <w:style w:type="character" w:styleId="WW8Num1z1" w:customStyle="1">
    <w:name w:val="WW8Num1z1"/>
    <w:qFormat/>
    <w:rPr>
      <w:rFonts w:ascii="Courier New" w:hAnsi="Courier New"/>
    </w:rPr>
  </w:style>
  <w:style w:type="character" w:styleId="WW8Num1z2" w:customStyle="1">
    <w:name w:val="WW8Num1z2"/>
    <w:qFormat/>
    <w:rPr>
      <w:rFonts w:ascii="Wingdings" w:hAnsi="Wingdings"/>
    </w:rPr>
  </w:style>
  <w:style w:type="character" w:styleId="WW8Num1z3" w:customStyle="1">
    <w:name w:val="WW8Num1z3"/>
    <w:qFormat/>
    <w:rPr>
      <w:rFonts w:ascii="Symbol" w:hAnsi="Symbol"/>
    </w:rPr>
  </w:style>
  <w:style w:type="character" w:styleId="BodyTextChar1" w:customStyle="1">
    <w:name w:val="Body Text Char1"/>
    <w:qFormat/>
    <w:rPr>
      <w:rFonts w:ascii="Liberation Serif" w:hAnsi="Liberation Serif" w:eastAsia="NSimSun"/>
      <w:kern w:val="2"/>
      <w:sz w:val="21"/>
      <w:lang w:eastAsia="zh-CN"/>
    </w:rPr>
  </w:style>
  <w:style w:type="character" w:styleId="Style11" w:customStyle="1">
    <w:name w:val="Нижній колонтитул Знак"/>
    <w:qFormat/>
    <w:rPr>
      <w:rFonts w:ascii="Liberation Serif" w:hAnsi="Liberation Serif" w:eastAsia="NSimSun"/>
      <w:kern w:val="2"/>
      <w:sz w:val="21"/>
      <w:lang w:eastAsia="zh-CN"/>
    </w:rPr>
  </w:style>
  <w:style w:type="character" w:styleId="BodyTextIndent3Char" w:customStyle="1">
    <w:name w:val="Body Text Indent 3 Char"/>
    <w:qFormat/>
    <w:rPr>
      <w:rFonts w:ascii="Liberation Serif" w:hAnsi="Liberation Serif" w:eastAsia="NSimSun"/>
      <w:kern w:val="2"/>
      <w:sz w:val="14"/>
      <w:lang w:eastAsia="zh-CN"/>
    </w:rPr>
  </w:style>
  <w:style w:type="character" w:styleId="BodyTextChar2" w:customStyle="1">
    <w:name w:val="Body Text Char2"/>
    <w:qFormat/>
    <w:rPr>
      <w:rFonts w:ascii="Liberation Serif" w:hAnsi="Liberation Serif" w:eastAsia="NSimSun"/>
      <w:kern w:val="2"/>
      <w:sz w:val="21"/>
      <w:lang w:eastAsia="zh-CN"/>
    </w:rPr>
  </w:style>
  <w:style w:type="character" w:styleId="Style12" w:customStyle="1">
    <w:name w:val="Название Знак"/>
    <w:qFormat/>
    <w:rPr>
      <w:rFonts w:ascii="Liberation Serif" w:hAnsi="Liberation Serif" w:eastAsia="NSimSun"/>
      <w:kern w:val="2"/>
      <w:sz w:val="21"/>
      <w:lang w:eastAsia="zh-CN"/>
    </w:rPr>
  </w:style>
  <w:style w:type="character" w:styleId="32" w:customStyle="1">
    <w:name w:val="Основний текст з відступом 3 Знак"/>
    <w:qFormat/>
    <w:rPr>
      <w:rFonts w:ascii="Liberation Serif" w:hAnsi="Liberation Serif" w:eastAsia="NSimSun"/>
      <w:kern w:val="2"/>
      <w:sz w:val="14"/>
      <w:lang w:eastAsia="zh-CN"/>
    </w:rPr>
  </w:style>
  <w:style w:type="character" w:styleId="Style13" w:customStyle="1">
    <w:name w:val="Виділення жирним"/>
    <w:qFormat/>
    <w:rPr>
      <w:b/>
    </w:rPr>
  </w:style>
  <w:style w:type="character" w:styleId="Fontstyle01" w:customStyle="1">
    <w:name w:val="fontstyle01"/>
    <w:qFormat/>
    <w:rPr>
      <w:rFonts w:ascii="TimesNewRomanPSMT" w:hAnsi="TimesNewRomanPSMT"/>
      <w:color w:val="000000"/>
      <w:sz w:val="28"/>
    </w:rPr>
  </w:style>
  <w:style w:type="character" w:styleId="FontStyle22" w:customStyle="1">
    <w:name w:val="Font Style22"/>
    <w:qFormat/>
    <w:rPr>
      <w:rFonts w:ascii="Times New Roman" w:hAnsi="Times New Roman"/>
      <w:sz w:val="26"/>
    </w:rPr>
  </w:style>
  <w:style w:type="character" w:styleId="23" w:customStyle="1">
    <w:name w:val="Гіперпосилання2"/>
    <w:qFormat/>
    <w:rPr>
      <w:color w:val="0000FF"/>
      <w:u w:val="single"/>
    </w:rPr>
  </w:style>
  <w:style w:type="character" w:styleId="Nc684nl6" w:customStyle="1">
    <w:name w:val="nc684nl6"/>
    <w:qFormat/>
    <w:rPr/>
  </w:style>
  <w:style w:type="character" w:styleId="16" w:customStyle="1">
    <w:name w:val="Нижній колонтитул Знак1"/>
    <w:qFormat/>
    <w:rPr>
      <w:i/>
    </w:rPr>
  </w:style>
  <w:style w:type="character" w:styleId="1934" w:customStyle="1">
    <w:name w:val="1934"/>
    <w:qFormat/>
    <w:rPr/>
  </w:style>
  <w:style w:type="character" w:styleId="Docdata" w:customStyle="1">
    <w:name w:val="docdata"/>
    <w:qFormat/>
    <w:rPr/>
  </w:style>
  <w:style w:type="character" w:styleId="5yl5" w:customStyle="1">
    <w:name w:val="_5yl5"/>
    <w:qFormat/>
    <w:rPr>
      <w:rFonts w:ascii="Times New Roman" w:hAnsi="Times New Roman"/>
    </w:rPr>
  </w:style>
  <w:style w:type="character" w:styleId="Style14" w:customStyle="1">
    <w:name w:val="Назва Знак"/>
    <w:qFormat/>
    <w:rPr>
      <w:rFonts w:ascii="Times New Roman" w:hAnsi="Times New Roman"/>
      <w:b/>
      <w:sz w:val="20"/>
      <w:lang w:val="en-US" w:eastAsia="en-US"/>
    </w:rPr>
  </w:style>
  <w:style w:type="character" w:styleId="X193iq5w" w:customStyle="1">
    <w:name w:val="x193iq5w"/>
    <w:qFormat/>
    <w:rPr/>
  </w:style>
  <w:style w:type="character" w:styleId="Copyfilefield" w:customStyle="1">
    <w:name w:val="copy-file-field"/>
    <w:qFormat/>
    <w:rPr/>
  </w:style>
  <w:style w:type="character" w:styleId="Style15" w:customStyle="1">
    <w:name w:val="Текст у виносці Знак"/>
    <w:qFormat/>
    <w:rPr>
      <w:rFonts w:ascii="Segoe UI" w:hAnsi="Segoe UI" w:eastAsia="NSimSun"/>
      <w:kern w:val="2"/>
      <w:sz w:val="16"/>
      <w:lang w:eastAsia="zh-CN"/>
    </w:rPr>
  </w:style>
  <w:style w:type="character" w:styleId="24" w:customStyle="1">
    <w:name w:val="Основний текст Знак2"/>
    <w:qFormat/>
    <w:rPr>
      <w:rFonts w:ascii="Liberation Serif" w:hAnsi="Liberation Serif" w:eastAsia="NSimSun"/>
      <w:kern w:val="2"/>
      <w:sz w:val="21"/>
      <w:lang w:eastAsia="zh-CN"/>
    </w:rPr>
  </w:style>
  <w:style w:type="character" w:styleId="Style16" w:customStyle="1">
    <w:name w:val="Нижний колонтитул Знак"/>
    <w:qFormat/>
    <w:rPr>
      <w:rFonts w:ascii="Liberation Serif" w:hAnsi="Liberation Serif" w:eastAsia="NSimSun"/>
      <w:kern w:val="2"/>
      <w:sz w:val="21"/>
      <w:lang w:eastAsia="zh-CN"/>
    </w:rPr>
  </w:style>
  <w:style w:type="character" w:styleId="321" w:customStyle="1">
    <w:name w:val="Основний текст з відступом 3 Знак2"/>
    <w:qFormat/>
    <w:rPr>
      <w:rFonts w:ascii="Liberation Serif" w:hAnsi="Liberation Serif" w:eastAsia="NSimSun"/>
      <w:kern w:val="2"/>
      <w:sz w:val="14"/>
      <w:lang w:eastAsia="zh-CN"/>
    </w:rPr>
  </w:style>
  <w:style w:type="character" w:styleId="17" w:customStyle="1">
    <w:name w:val="Нижний колонтитул Знак1"/>
    <w:qFormat/>
    <w:rPr>
      <w:rFonts w:ascii="Cambria" w:hAnsi="Cambria"/>
      <w:b/>
      <w:kern w:val="2"/>
      <w:sz w:val="29"/>
      <w:lang w:eastAsia="zh-CN"/>
    </w:rPr>
  </w:style>
  <w:style w:type="character" w:styleId="Style17" w:customStyle="1">
    <w:name w:val="Текст выноски Знак"/>
    <w:qFormat/>
    <w:rPr>
      <w:rFonts w:ascii="Times New Roman" w:hAnsi="Times New Roman" w:eastAsia="NSimSun"/>
      <w:kern w:val="2"/>
      <w:sz w:val="2"/>
      <w:lang w:eastAsia="zh-CN"/>
    </w:rPr>
  </w:style>
  <w:style w:type="character" w:styleId="Style18" w:customStyle="1">
    <w:name w:val="Основной текст Знак"/>
    <w:qFormat/>
    <w:rPr>
      <w:color w:val="000080"/>
      <w:u w:val="single"/>
    </w:rPr>
  </w:style>
  <w:style w:type="character" w:styleId="Fontstyle11" w:customStyle="1">
    <w:name w:val="fontstyle11"/>
    <w:qFormat/>
    <w:rPr>
      <w:rFonts w:ascii="TimesNewRomanPSMT" w:hAnsi="TimesNewRomanPSMT"/>
      <w:color w:val="000000"/>
      <w:sz w:val="28"/>
    </w:rPr>
  </w:style>
  <w:style w:type="character" w:styleId="25" w:customStyle="1">
    <w:name w:val="Виділення2"/>
    <w:basedOn w:val="DefaultParagraphFont"/>
    <w:qFormat/>
    <w:rPr>
      <w:rFonts w:cs="Times New Roman"/>
      <w:i/>
      <w:iCs/>
    </w:rPr>
  </w:style>
  <w:style w:type="character" w:styleId="42" w:customStyle="1">
    <w:name w:val="Основной шрифт абзаца4"/>
    <w:qFormat/>
    <w:rPr/>
  </w:style>
  <w:style w:type="character" w:styleId="Style19" w:customStyle="1">
    <w:name w:val="Выделение жирным"/>
    <w:qFormat/>
    <w:rPr>
      <w:b/>
    </w:rPr>
  </w:style>
  <w:style w:type="character" w:styleId="33" w:customStyle="1">
    <w:name w:val="Основний текст Знак3"/>
    <w:basedOn w:val="DefaultParagraphFont"/>
    <w:qFormat/>
    <w:rPr>
      <w:rFonts w:ascii="Liberation Serif" w:hAnsi="Liberation Serif" w:eastAsia="NSimSun" w:cs="Mangal"/>
      <w:kern w:val="2"/>
      <w:sz w:val="21"/>
      <w:szCs w:val="21"/>
      <w:lang w:eastAsia="zh-CN" w:bidi="hi-IN"/>
    </w:rPr>
  </w:style>
  <w:style w:type="character" w:styleId="34" w:customStyle="1">
    <w:name w:val="Текст у виносці Знак3"/>
    <w:basedOn w:val="DefaultParagraphFont"/>
    <w:qFormat/>
    <w:rPr>
      <w:rFonts w:ascii="Liberation Serif" w:hAnsi="Liberation Serif" w:eastAsia="NSimSun" w:cs="Mangal"/>
      <w:kern w:val="2"/>
      <w:sz w:val="21"/>
      <w:szCs w:val="21"/>
      <w:lang w:eastAsia="zh-CN" w:bidi="hi-IN"/>
    </w:rPr>
  </w:style>
  <w:style w:type="character" w:styleId="331" w:customStyle="1">
    <w:name w:val="Основний текст з відступом 3 Знак3"/>
    <w:basedOn w:val="DefaultParagraphFont"/>
    <w:qFormat/>
    <w:rPr>
      <w:rFonts w:ascii="Liberation Serif" w:hAnsi="Liberation Serif" w:eastAsia="NSimSun" w:cs="Mangal"/>
      <w:kern w:val="2"/>
      <w:sz w:val="14"/>
      <w:szCs w:val="14"/>
      <w:lang w:eastAsia="zh-CN" w:bidi="hi-IN"/>
    </w:rPr>
  </w:style>
  <w:style w:type="character" w:styleId="BalloonTextChar" w:customStyle="1">
    <w:name w:val="Balloon Text Char"/>
    <w:basedOn w:val="DefaultParagraphFont"/>
    <w:qFormat/>
    <w:rPr>
      <w:rFonts w:ascii="Cambria" w:hAnsi="Cambria" w:cs="Mangal"/>
      <w:b/>
      <w:bCs/>
      <w:kern w:val="2"/>
      <w:sz w:val="29"/>
      <w:szCs w:val="29"/>
      <w:lang w:eastAsia="zh-CN" w:bidi="hi-IN"/>
    </w:rPr>
  </w:style>
  <w:style w:type="character" w:styleId="18" w:customStyle="1">
    <w:name w:val="Текст у виносці Знак1"/>
    <w:basedOn w:val="DefaultParagraphFont"/>
    <w:qFormat/>
    <w:rPr>
      <w:rFonts w:ascii="Times New Roman" w:hAnsi="Times New Roman" w:eastAsia="NSimSun" w:cs="Mangal"/>
      <w:kern w:val="2"/>
      <w:sz w:val="2"/>
      <w:lang w:eastAsia="zh-CN" w:bidi="hi-IN"/>
    </w:rPr>
  </w:style>
  <w:style w:type="character" w:styleId="35" w:customStyle="1">
    <w:name w:val="Гіперпосилання3"/>
    <w:basedOn w:val="DefaultParagraphFont"/>
    <w:qFormat/>
    <w:rPr>
      <w:rFonts w:cs="Times New Roman"/>
      <w:color w:val="000080"/>
      <w:u w:val="single"/>
    </w:rPr>
  </w:style>
  <w:style w:type="character" w:styleId="BodyTextChar4" w:customStyle="1">
    <w:name w:val="Body Text Char4"/>
    <w:basedOn w:val="DefaultParagraphFont"/>
    <w:qFormat/>
    <w:rPr>
      <w:rFonts w:eastAsia="NSimSun" w:cs="Mangal"/>
      <w:kern w:val="2"/>
      <w:sz w:val="21"/>
      <w:szCs w:val="21"/>
      <w:lang w:eastAsia="zh-CN" w:bidi="hi-IN"/>
    </w:rPr>
  </w:style>
  <w:style w:type="character" w:styleId="TitleChar1" w:customStyle="1">
    <w:name w:val="Title Char1"/>
    <w:basedOn w:val="DefaultParagraphFont"/>
    <w:qFormat/>
    <w:rPr>
      <w:rFonts w:ascii="Cambria" w:hAnsi="Cambria" w:eastAsia="Times New Roman" w:cs="Mangal"/>
      <w:b/>
      <w:bCs/>
      <w:kern w:val="2"/>
      <w:sz w:val="29"/>
      <w:szCs w:val="29"/>
      <w:lang w:eastAsia="zh-CN" w:bidi="hi-IN"/>
    </w:rPr>
  </w:style>
  <w:style w:type="character" w:styleId="FooterChar2" w:customStyle="1">
    <w:name w:val="Footer Char2"/>
    <w:basedOn w:val="DefaultParagraphFont"/>
    <w:qFormat/>
    <w:rPr>
      <w:rFonts w:eastAsia="NSimSun" w:cs="Mangal"/>
      <w:kern w:val="2"/>
      <w:sz w:val="21"/>
      <w:szCs w:val="21"/>
      <w:lang w:eastAsia="zh-CN" w:bidi="hi-IN"/>
    </w:rPr>
  </w:style>
  <w:style w:type="character" w:styleId="341" w:customStyle="1">
    <w:name w:val="Основний текст з відступом 3 Знак4"/>
    <w:basedOn w:val="DefaultParagraphFont"/>
    <w:qFormat/>
    <w:rPr>
      <w:rFonts w:eastAsia="NSimSun" w:cs="Mangal"/>
      <w:kern w:val="2"/>
      <w:sz w:val="14"/>
      <w:szCs w:val="14"/>
      <w:lang w:eastAsia="zh-CN" w:bidi="hi-IN"/>
    </w:rPr>
  </w:style>
  <w:style w:type="character" w:styleId="19" w:customStyle="1">
    <w:name w:val="Текст выноски Знак1"/>
    <w:basedOn w:val="DefaultParagraphFont"/>
    <w:qFormat/>
    <w:rPr>
      <w:rFonts w:ascii="Times New Roman" w:hAnsi="Times New Roman" w:eastAsia="NSimSun" w:cs="Mangal"/>
      <w:kern w:val="2"/>
      <w:sz w:val="2"/>
      <w:lang w:eastAsia="zh-CN" w:bidi="hi-IN"/>
    </w:rPr>
  </w:style>
  <w:style w:type="character" w:styleId="Style20" w:customStyle="1">
    <w:name w:val="Подзаголовок Знак"/>
    <w:basedOn w:val="DefaultParagraphFont"/>
    <w:qFormat/>
    <w:rPr>
      <w:rFonts w:ascii="Cambria" w:hAnsi="Cambria" w:eastAsia="Times New Roman" w:cs="Mangal"/>
      <w:kern w:val="2"/>
      <w:sz w:val="21"/>
      <w:szCs w:val="21"/>
      <w:lang w:eastAsia="zh-CN" w:bidi="hi-IN"/>
    </w:rPr>
  </w:style>
  <w:style w:type="character" w:styleId="Style21">
    <w:name w:val="Гіперпосилання"/>
    <w:basedOn w:val="DefaultParagraphFont"/>
    <w:rPr>
      <w:rFonts w:cs="Times New Roman"/>
      <w:color w:val="000080"/>
      <w:u w:val="single"/>
    </w:rPr>
  </w:style>
  <w:style w:type="character" w:styleId="43" w:customStyle="1">
    <w:name w:val="Основний текст Знак4"/>
    <w:basedOn w:val="DefaultParagraphFont"/>
    <w:qFormat/>
    <w:rPr>
      <w:rFonts w:eastAsia="NSimSun" w:cs="Mangal"/>
      <w:kern w:val="2"/>
      <w:sz w:val="24"/>
      <w:szCs w:val="21"/>
      <w:lang w:eastAsia="zh-CN" w:bidi="hi-IN"/>
    </w:rPr>
  </w:style>
  <w:style w:type="character" w:styleId="26" w:customStyle="1">
    <w:name w:val="Назва Знак2"/>
    <w:basedOn w:val="DefaultParagraphFont"/>
    <w:qFormat/>
    <w:rPr>
      <w:rFonts w:ascii="Cambria" w:hAnsi="Cambria" w:eastAsia="Liberation Serif" w:cs="Mangal"/>
      <w:b/>
      <w:bCs/>
      <w:kern w:val="2"/>
      <w:sz w:val="32"/>
      <w:szCs w:val="29"/>
      <w:lang w:eastAsia="zh-CN" w:bidi="hi-IN"/>
    </w:rPr>
  </w:style>
  <w:style w:type="character" w:styleId="FooterChar3" w:customStyle="1">
    <w:name w:val="Footer Char3"/>
    <w:basedOn w:val="DefaultParagraphFont"/>
    <w:qFormat/>
    <w:rPr>
      <w:rFonts w:eastAsia="NSimSun" w:cs="Mangal"/>
      <w:kern w:val="2"/>
      <w:sz w:val="24"/>
      <w:szCs w:val="21"/>
      <w:lang w:eastAsia="zh-CN" w:bidi="hi-IN"/>
    </w:rPr>
  </w:style>
  <w:style w:type="character" w:styleId="351" w:customStyle="1">
    <w:name w:val="Основний текст з відступом 3 Знак5"/>
    <w:basedOn w:val="DefaultParagraphFont"/>
    <w:qFormat/>
    <w:rPr>
      <w:rFonts w:eastAsia="NSimSun" w:cs="Mangal"/>
      <w:kern w:val="2"/>
      <w:sz w:val="16"/>
      <w:szCs w:val="14"/>
      <w:lang w:eastAsia="zh-CN" w:bidi="hi-IN"/>
    </w:rPr>
  </w:style>
  <w:style w:type="character" w:styleId="BalloonTextChar2" w:customStyle="1">
    <w:name w:val="Balloon Text Char2"/>
    <w:basedOn w:val="DefaultParagraphFont"/>
    <w:qFormat/>
    <w:rPr>
      <w:rFonts w:ascii="Times New Roman" w:hAnsi="Times New Roman" w:eastAsia="NSimSun" w:cs="Mangal"/>
      <w:kern w:val="2"/>
      <w:sz w:val="2"/>
      <w:szCs w:val="2"/>
      <w:lang w:eastAsia="zh-CN" w:bidi="hi-IN"/>
    </w:rPr>
  </w:style>
  <w:style w:type="character" w:styleId="Style22" w:customStyle="1">
    <w:name w:val="Підзаголовок Знак"/>
    <w:basedOn w:val="DefaultParagraphFont"/>
    <w:qFormat/>
    <w:rPr>
      <w:rFonts w:ascii="Cambria" w:hAnsi="Cambria" w:eastAsia="Liberation Serif" w:cs="Mangal"/>
      <w:kern w:val="2"/>
      <w:sz w:val="24"/>
      <w:szCs w:val="21"/>
      <w:lang w:eastAsia="zh-CN" w:bidi="hi-IN"/>
    </w:rPr>
  </w:style>
  <w:style w:type="character" w:styleId="27" w:customStyle="1">
    <w:name w:val="Обычный (веб) Знак2 Знак"/>
    <w:qFormat/>
    <w:rPr>
      <w:rFonts w:ascii="Tahoma" w:hAnsi="Tahoma" w:cs="Tahoma"/>
      <w:color w:val="666666"/>
      <w:sz w:val="24"/>
      <w:szCs w:val="24"/>
      <w:lang w:val="ru-RU" w:bidi="ar-SA"/>
    </w:rPr>
  </w:style>
  <w:style w:type="character" w:styleId="110" w:customStyle="1">
    <w:name w:val="Основной шрифт абзаца1"/>
    <w:qFormat/>
    <w:rPr/>
  </w:style>
  <w:style w:type="character" w:styleId="28" w:customStyle="1">
    <w:name w:val="Основной шрифт абзаца2"/>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Style23">
    <w:name w:val="Виділення"/>
    <w:basedOn w:val="28"/>
    <w:qFormat/>
    <w:rPr>
      <w:i/>
      <w:iCs/>
    </w:rPr>
  </w:style>
  <w:style w:type="character" w:styleId="Xt0psk2" w:customStyle="1">
    <w:name w:val="xt0psk2"/>
    <w:basedOn w:val="DefaultParagraphFont"/>
    <w:qFormat/>
    <w:rPr/>
  </w:style>
  <w:style w:type="character" w:styleId="Style24" w:customStyle="1">
    <w:name w:val="Маркери"/>
    <w:qFormat/>
    <w:rPr>
      <w:rFonts w:ascii="OpenSymbol" w:hAnsi="OpenSymbol" w:eastAsia="OpenSymbol" w:cs="OpenSymbol"/>
    </w:rPr>
  </w:style>
  <w:style w:type="character" w:styleId="111" w:customStyle="1">
    <w:name w:val="Строгий1"/>
    <w:qFormat/>
    <w:rPr>
      <w:b/>
    </w:rPr>
  </w:style>
  <w:style w:type="character" w:styleId="Style25" w:customStyle="1">
    <w:name w:val="Интернет-ссылка"/>
    <w:qFormat/>
    <w:rPr>
      <w:color w:val="000080"/>
      <w:u w:val="single"/>
    </w:rPr>
  </w:style>
  <w:style w:type="character" w:styleId="Appleconvertedspace" w:customStyle="1">
    <w:name w:val="apple-converted-space"/>
    <w:qFormat/>
    <w:rPr/>
  </w:style>
  <w:style w:type="character" w:styleId="Markedcontent" w:customStyle="1">
    <w:name w:val="markedcontent"/>
    <w:basedOn w:val="DefaultParagraphFont"/>
    <w:qFormat/>
    <w:rPr/>
  </w:style>
  <w:style w:type="character" w:styleId="C23" w:customStyle="1">
    <w:name w:val="c23"/>
    <w:qFormat/>
    <w:rPr>
      <w:rFonts w:cs="Times New Roman"/>
    </w:rPr>
  </w:style>
  <w:style w:type="character" w:styleId="X193iq5wxeuuglix13faqbex1vvkbsx1xmvt09x6prxxfxvq8zenxo1l8bmxzsf02u" w:customStyle="1">
    <w:name w:val="x193iq5w xeuugli x13faqbe x1vvkbs x1xmvt09 x6prxxf xvq8zen xo1l8bm xzsf02u"/>
    <w:qFormat/>
    <w:rPr/>
  </w:style>
  <w:style w:type="paragraph" w:styleId="Style26" w:customStyle="1">
    <w:name w:val="Заголовок"/>
    <w:basedOn w:val="Normal"/>
    <w:next w:val="Style27"/>
    <w:qFormat/>
    <w:pPr>
      <w:keepNext w:val="true"/>
      <w:spacing w:before="240" w:after="120"/>
    </w:pPr>
    <w:rPr>
      <w:rFonts w:ascii="Liberation Sans" w:hAnsi="Liberation Sans" w:eastAsia="Microsoft YaHei"/>
      <w:sz w:val="28"/>
      <w:szCs w:val="28"/>
    </w:rPr>
  </w:style>
  <w:style w:type="paragraph" w:styleId="Style27">
    <w:name w:val="Body Text"/>
    <w:basedOn w:val="Normal"/>
    <w:pPr>
      <w:spacing w:lineRule="auto" w:line="276" w:before="0" w:after="140"/>
    </w:pPr>
    <w:rPr>
      <w:rFonts w:eastAsia="Liberation Serif" w:cs="Times New Roman"/>
      <w:color w:val="000080"/>
      <w:kern w:val="0"/>
      <w:sz w:val="20"/>
      <w:szCs w:val="20"/>
      <w:u w:val="single"/>
      <w:lang w:eastAsia="uk-UA" w:bidi="ar-SA"/>
    </w:rPr>
  </w:style>
  <w:style w:type="paragraph" w:styleId="Style28">
    <w:name w:val="List"/>
    <w:basedOn w:val="Style27"/>
    <w:pPr/>
    <w:rPr/>
  </w:style>
  <w:style w:type="paragraph" w:styleId="Style29">
    <w:name w:val="Caption"/>
    <w:basedOn w:val="Normal"/>
    <w:qFormat/>
    <w:pPr>
      <w:suppressLineNumbers/>
      <w:spacing w:before="120" w:after="120"/>
    </w:pPr>
    <w:rPr>
      <w:rFonts w:cs="Arial"/>
      <w:i/>
      <w:iCs/>
      <w:sz w:val="24"/>
      <w:szCs w:val="24"/>
    </w:rPr>
  </w:style>
  <w:style w:type="paragraph" w:styleId="Style30"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112" w:customStyle="1">
    <w:name w:val="Заголовок1"/>
    <w:basedOn w:val="Normal"/>
    <w:next w:val="Style27"/>
    <w:qFormat/>
    <w:pPr>
      <w:keepNext w:val="true"/>
      <w:spacing w:before="240" w:after="120"/>
    </w:pPr>
    <w:rPr>
      <w:rFonts w:ascii="Liberation Sans" w:hAnsi="Liberation Sans" w:eastAsia="Microsoft YaHei"/>
      <w:sz w:val="28"/>
      <w:szCs w:val="28"/>
    </w:rPr>
  </w:style>
  <w:style w:type="paragraph" w:styleId="Style31">
    <w:name w:val="Title"/>
    <w:basedOn w:val="Normal"/>
    <w:qFormat/>
    <w:pPr>
      <w:widowControl w:val="false"/>
      <w:tabs>
        <w:tab w:val="clear" w:pos="720"/>
        <w:tab w:val="left" w:pos="-720" w:leader="none"/>
      </w:tabs>
      <w:jc w:val="center"/>
      <w:textAlignment w:val="auto"/>
    </w:pPr>
    <w:rPr>
      <w:rFonts w:ascii="Times New Roman" w:hAnsi="Times New Roman" w:eastAsia="Times New Roman" w:cs="Times New Roman"/>
      <w:b/>
      <w:kern w:val="0"/>
      <w:sz w:val="48"/>
      <w:szCs w:val="20"/>
      <w:lang w:val="en-US" w:eastAsia="en-US" w:bidi="ar-SA"/>
    </w:rPr>
  </w:style>
  <w:style w:type="paragraph" w:styleId="NormalWeb">
    <w:name w:val="Normal (Web)"/>
    <w:basedOn w:val="Normal"/>
    <w:qFormat/>
    <w:pPr>
      <w:spacing w:before="280" w:after="280"/>
    </w:pPr>
    <w:rPr/>
  </w:style>
  <w:style w:type="paragraph" w:styleId="Western" w:customStyle="1">
    <w:name w:val="western"/>
    <w:basedOn w:val="Normal"/>
    <w:qFormat/>
    <w:pPr>
      <w:suppressAutoHyphens w:val="false"/>
      <w:spacing w:lineRule="auto" w:line="276" w:before="280" w:after="142"/>
      <w:textAlignment w:val="auto"/>
    </w:pPr>
    <w:rPr>
      <w:rFonts w:ascii="Times New Roman" w:hAnsi="Times New Roman" w:eastAsia="Times New Roman" w:cs="Times New Roman"/>
      <w:kern w:val="0"/>
      <w:lang w:eastAsia="uk-UA" w:bidi="ar-SA"/>
    </w:rPr>
  </w:style>
  <w:style w:type="paragraph" w:styleId="ListParagraph">
    <w:name w:val="List Paragraph"/>
    <w:basedOn w:val="Normal"/>
    <w:qFormat/>
    <w:pPr>
      <w:ind w:left="708" w:hanging="0"/>
    </w:pPr>
    <w:rPr>
      <w:rFonts w:cs="Mangal"/>
      <w:szCs w:val="21"/>
    </w:rPr>
  </w:style>
  <w:style w:type="paragraph" w:styleId="113" w:customStyle="1">
    <w:name w:val="Абзац списка1"/>
    <w:basedOn w:val="Normal"/>
    <w:qFormat/>
    <w:pPr>
      <w:suppressAutoHyphens w:val="false"/>
      <w:spacing w:lineRule="auto" w:line="252" w:before="0" w:after="160"/>
      <w:ind w:left="720" w:hanging="0"/>
      <w:contextualSpacing/>
    </w:pPr>
    <w:rPr>
      <w:rFonts w:ascii="Calibri" w:hAnsi="Calibri" w:eastAsia="Times New Roman" w:cs="Times New Roman"/>
      <w:kern w:val="0"/>
      <w:sz w:val="22"/>
      <w:szCs w:val="22"/>
      <w:lang w:val="ru-RU" w:eastAsia="ru-RU" w:bidi="ar-SA"/>
    </w:rPr>
  </w:style>
  <w:style w:type="paragraph" w:styleId="Style32" w:customStyle="1">
    <w:name w:val="Верхній і нижній колонтитули"/>
    <w:basedOn w:val="Normal"/>
    <w:qFormat/>
    <w:pPr>
      <w:suppressLineNumbers/>
      <w:tabs>
        <w:tab w:val="clear" w:pos="720"/>
        <w:tab w:val="center" w:pos="7726" w:leader="none"/>
        <w:tab w:val="right" w:pos="15452" w:leader="none"/>
      </w:tabs>
    </w:pPr>
    <w:rPr/>
  </w:style>
  <w:style w:type="paragraph" w:styleId="Style33">
    <w:name w:val="Footer"/>
    <w:basedOn w:val="Style32"/>
    <w:pPr/>
    <w:rPr>
      <w:rFonts w:eastAsia="Liberation Serif" w:cs="Times New Roman"/>
      <w:i/>
      <w:kern w:val="0"/>
      <w:sz w:val="20"/>
      <w:szCs w:val="20"/>
      <w:lang w:eastAsia="uk-UA" w:bidi="ar-SA"/>
    </w:rPr>
  </w:style>
  <w:style w:type="paragraph" w:styleId="Style61" w:customStyle="1">
    <w:name w:val="Style6"/>
    <w:basedOn w:val="Normal"/>
    <w:qFormat/>
    <w:pPr>
      <w:widowControl w:val="false"/>
      <w:spacing w:lineRule="exact" w:line="323"/>
      <w:ind w:firstLine="926"/>
      <w:jc w:val="both"/>
    </w:pPr>
    <w:rPr/>
  </w:style>
  <w:style w:type="paragraph" w:styleId="BodyTextIndent3">
    <w:name w:val="Body Text Indent 3"/>
    <w:basedOn w:val="Normal"/>
    <w:qFormat/>
    <w:pPr>
      <w:spacing w:before="0" w:after="120"/>
      <w:ind w:left="283" w:hanging="0"/>
    </w:pPr>
    <w:rPr>
      <w:sz w:val="16"/>
      <w:szCs w:val="16"/>
    </w:rPr>
  </w:style>
  <w:style w:type="paragraph" w:styleId="Standard" w:customStyle="1">
    <w:name w:val="Standard"/>
    <w:qFormat/>
    <w:pPr>
      <w:widowControl w:val="false"/>
      <w:suppressAutoHyphens w:val="true"/>
      <w:bidi w:val="0"/>
      <w:spacing w:before="0" w:after="0"/>
      <w:jc w:val="left"/>
      <w:textAlignment w:val="baseline"/>
    </w:pPr>
    <w:rPr>
      <w:rFonts w:ascii="Liberation Serif" w:hAnsi="Liberation Serif" w:eastAsia="Liberation Serif" w:cs="Tahoma"/>
      <w:color w:val="000000"/>
      <w:kern w:val="2"/>
      <w:sz w:val="24"/>
      <w:szCs w:val="24"/>
      <w:lang w:val="uk-UA" w:eastAsia="zh-CN" w:bidi="hi-IN"/>
    </w:rPr>
  </w:style>
  <w:style w:type="paragraph" w:styleId="211" w:customStyle="1">
    <w:name w:val="Основной текст 21"/>
    <w:basedOn w:val="Standard"/>
    <w:qFormat/>
    <w:pPr>
      <w:spacing w:lineRule="auto" w:line="480" w:before="0" w:after="120"/>
    </w:pPr>
    <w:rPr>
      <w:rFonts w:cs="Mangal, 'Liberation Mono'"/>
      <w:szCs w:val="21"/>
    </w:rPr>
  </w:style>
  <w:style w:type="paragraph" w:styleId="Style151" w:customStyle="1">
    <w:name w:val="Style15"/>
    <w:basedOn w:val="Normal"/>
    <w:qFormat/>
    <w:pPr>
      <w:suppressAutoHyphens w:val="false"/>
      <w:spacing w:lineRule="exact" w:line="322"/>
      <w:ind w:firstLine="710"/>
      <w:jc w:val="both"/>
      <w:textAlignment w:val="auto"/>
    </w:pPr>
    <w:rPr>
      <w:rFonts w:ascii="Times New Roman" w:hAnsi="Times New Roman" w:eastAsia="Times New Roman" w:cs="Times New Roman"/>
      <w:color w:val="000000"/>
      <w:kern w:val="0"/>
      <w:sz w:val="28"/>
      <w:lang w:val="ru-RU"/>
    </w:rPr>
  </w:style>
  <w:style w:type="paragraph" w:styleId="Rtejustify" w:customStyle="1">
    <w:name w:val="rtejustify"/>
    <w:basedOn w:val="Normal"/>
    <w:qFormat/>
    <w:pPr>
      <w:suppressAutoHyphens w:val="false"/>
      <w:spacing w:before="280" w:after="280"/>
      <w:textAlignment w:val="auto"/>
    </w:pPr>
    <w:rPr>
      <w:rFonts w:ascii="Times New Roman" w:hAnsi="Times New Roman" w:eastAsia="Times New Roman" w:cs="Times New Roman"/>
      <w:kern w:val="0"/>
      <w:lang w:eastAsia="uk-UA" w:bidi="ar-SA"/>
    </w:rPr>
  </w:style>
  <w:style w:type="paragraph" w:styleId="NoSpacing">
    <w:name w:val="No Spacing"/>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uk-UA" w:eastAsia="en-US" w:bidi="ar-SA"/>
    </w:rPr>
  </w:style>
  <w:style w:type="paragraph" w:styleId="29" w:customStyle="1">
    <w:name w:val="Текст у виносці Знак2"/>
    <w:basedOn w:val="Normal"/>
    <w:qFormat/>
    <w:pPr>
      <w:spacing w:lineRule="auto" w:line="276" w:before="0" w:after="200"/>
      <w:ind w:left="720" w:hanging="0"/>
      <w:textAlignment w:val="auto"/>
    </w:pPr>
    <w:rPr>
      <w:rFonts w:ascii="Calibri" w:hAnsi="Calibri" w:eastAsia="Times New Roman" w:cs="Times New Roman"/>
      <w:kern w:val="0"/>
      <w:sz w:val="22"/>
      <w:szCs w:val="22"/>
      <w:lang w:val="ru-RU" w:eastAsia="en-US" w:bidi="ar-SA"/>
    </w:rPr>
  </w:style>
  <w:style w:type="paragraph" w:styleId="Paragraph14" w:customStyle="1">
    <w:name w:val="paragraph-14"/>
    <w:basedOn w:val="Normal"/>
    <w:qFormat/>
    <w:pPr>
      <w:suppressAutoHyphens w:val="false"/>
      <w:spacing w:before="280" w:after="280"/>
      <w:textAlignment w:val="auto"/>
    </w:pPr>
    <w:rPr>
      <w:rFonts w:ascii="Times New Roman" w:hAnsi="Times New Roman" w:eastAsia="Times New Roman" w:cs="Times New Roman"/>
      <w:kern w:val="0"/>
      <w:lang w:eastAsia="uk-UA" w:bidi="ar-SA"/>
    </w:rPr>
  </w:style>
  <w:style w:type="paragraph" w:styleId="Style34" w:customStyle="1">
    <w:name w:val="Вміст таблиці"/>
    <w:basedOn w:val="Normal"/>
    <w:qFormat/>
    <w:pPr>
      <w:widowControl w:val="false"/>
      <w:suppressLineNumbers/>
      <w:textAlignment w:val="auto"/>
    </w:pPr>
    <w:rPr/>
  </w:style>
  <w:style w:type="paragraph" w:styleId="114" w:customStyle="1">
    <w:name w:val="Без интервала1"/>
    <w:qFormat/>
    <w:pPr>
      <w:widowControl/>
      <w:suppressAutoHyphens w:val="true"/>
      <w:bidi w:val="0"/>
      <w:spacing w:before="0" w:after="0"/>
      <w:jc w:val="left"/>
    </w:pPr>
    <w:rPr>
      <w:rFonts w:ascii="Liberation Serif" w:hAnsi="Liberation Serif" w:eastAsia="Liberation Serif" w:cs="Calibri"/>
      <w:color w:val="auto"/>
      <w:kern w:val="0"/>
      <w:sz w:val="24"/>
      <w:szCs w:val="24"/>
      <w:lang w:val="ru-RU" w:eastAsia="zh-CN" w:bidi="ar-SA"/>
    </w:rPr>
  </w:style>
  <w:style w:type="paragraph" w:styleId="HTML1" w:customStyle="1">
    <w:name w:val="Стандартний HTML1"/>
    <w:basedOn w:val="Normal"/>
    <w:qFormat/>
    <w:pPr>
      <w:widowControl w:val="false"/>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textAlignment w:val="auto"/>
    </w:pPr>
    <w:rPr>
      <w:rFonts w:ascii="Courier New" w:hAnsi="Courier New" w:eastAsia="Times New Roman" w:cs="Courier New"/>
      <w:kern w:val="0"/>
      <w:sz w:val="20"/>
      <w:szCs w:val="20"/>
      <w:lang w:val="ru-RU" w:eastAsia="ru-RU"/>
    </w:rPr>
  </w:style>
  <w:style w:type="paragraph" w:styleId="BalloonText">
    <w:name w:val="Balloon Text"/>
    <w:basedOn w:val="Normal"/>
    <w:qFormat/>
    <w:pPr/>
    <w:rPr>
      <w:rFonts w:ascii="Segoe UI" w:hAnsi="Segoe UI" w:cs="Mangal"/>
      <w:sz w:val="18"/>
      <w:szCs w:val="16"/>
    </w:rPr>
  </w:style>
  <w:style w:type="paragraph" w:styleId="210" w:customStyle="1">
    <w:name w:val="Без интервала2"/>
    <w:qFormat/>
    <w:pPr>
      <w:widowControl/>
      <w:suppressAutoHyphens w:val="true"/>
      <w:bidi w:val="0"/>
      <w:spacing w:before="0" w:after="0"/>
      <w:jc w:val="left"/>
    </w:pPr>
    <w:rPr>
      <w:rFonts w:ascii="Liberation Serif" w:hAnsi="Liberation Serif" w:eastAsia="Liberation Serif" w:cs="Calibri"/>
      <w:color w:val="auto"/>
      <w:kern w:val="0"/>
      <w:sz w:val="24"/>
      <w:szCs w:val="24"/>
      <w:lang w:val="ru-RU" w:eastAsia="zh-CN" w:bidi="ar-SA"/>
    </w:rPr>
  </w:style>
  <w:style w:type="paragraph" w:styleId="Style210" w:customStyle="1">
    <w:name w:val="Style2"/>
    <w:basedOn w:val="Normal"/>
    <w:qFormat/>
    <w:pPr>
      <w:suppressAutoHyphens w:val="false"/>
      <w:spacing w:lineRule="exact" w:line="324"/>
      <w:ind w:firstLine="682"/>
      <w:jc w:val="both"/>
      <w:textAlignment w:val="auto"/>
    </w:pPr>
    <w:rPr>
      <w:rFonts w:ascii="Times New Roman" w:hAnsi="Times New Roman" w:eastAsia="Times New Roman" w:cs="Times New Roman"/>
      <w:kern w:val="0"/>
      <w:lang w:val="ru-RU" w:eastAsia="ru-RU" w:bidi="ar-SA"/>
    </w:rPr>
  </w:style>
  <w:style w:type="paragraph" w:styleId="Style35" w:customStyle="1">
    <w:name w:val="Текст у вказаному форматі"/>
    <w:basedOn w:val="Normal"/>
    <w:qFormat/>
    <w:pPr/>
    <w:rPr>
      <w:rFonts w:ascii="Liberation Mono;Courier New" w:hAnsi="Liberation Mono;Courier New"/>
      <w:sz w:val="20"/>
      <w:szCs w:val="20"/>
    </w:rPr>
  </w:style>
  <w:style w:type="paragraph" w:styleId="Rvps2" w:customStyle="1">
    <w:name w:val="rvps2"/>
    <w:basedOn w:val="Normal"/>
    <w:qFormat/>
    <w:pPr>
      <w:spacing w:before="280" w:after="280"/>
    </w:pPr>
    <w:rPr/>
  </w:style>
  <w:style w:type="paragraph" w:styleId="Style36">
    <w:name w:val="Subtitle"/>
    <w:basedOn w:val="Normal"/>
    <w:next w:val="Normal"/>
    <w:qFormat/>
    <w:pPr>
      <w:keepNext w:val="true"/>
      <w:keepLines/>
      <w:spacing w:before="360" w:after="80"/>
    </w:pPr>
    <w:rPr>
      <w:rFonts w:ascii="Georgia" w:hAnsi="Georgia" w:eastAsia="Liberation Serif" w:cs="Georgia"/>
      <w:i/>
      <w:color w:val="666666"/>
      <w:sz w:val="48"/>
      <w:szCs w:val="48"/>
    </w:rPr>
  </w:style>
  <w:style w:type="paragraph" w:styleId="115" w:customStyle="1">
    <w:name w:val="Звичайний1"/>
    <w:qFormat/>
    <w:pPr>
      <w:widowControl/>
      <w:suppressAutoHyphens w:val="true"/>
      <w:bidi w:val="0"/>
      <w:spacing w:lineRule="auto" w:line="252" w:before="0" w:after="160"/>
      <w:jc w:val="left"/>
    </w:pPr>
    <w:rPr>
      <w:rFonts w:ascii="Calibri" w:hAnsi="Calibri" w:eastAsia="Liberation Serif" w:cs="Calibri"/>
      <w:color w:val="auto"/>
      <w:kern w:val="0"/>
      <w:sz w:val="24"/>
      <w:szCs w:val="22"/>
      <w:lang w:val="ru-RU" w:eastAsia="en-US" w:bidi="ar-SA"/>
    </w:rPr>
  </w:style>
  <w:style w:type="paragraph" w:styleId="116" w:customStyle="1">
    <w:name w:val="Обычный (веб)1"/>
    <w:basedOn w:val="Normal"/>
    <w:qFormat/>
    <w:pPr>
      <w:spacing w:before="280" w:after="280"/>
    </w:pPr>
    <w:rPr/>
  </w:style>
  <w:style w:type="paragraph" w:styleId="117" w:customStyle="1">
    <w:name w:val="Название объекта1"/>
    <w:basedOn w:val="Normal"/>
    <w:qFormat/>
    <w:pPr>
      <w:spacing w:before="120" w:after="120"/>
    </w:pPr>
    <w:rPr>
      <w:i/>
      <w:iCs/>
    </w:rPr>
  </w:style>
  <w:style w:type="paragraph" w:styleId="Style37" w:customStyle="1">
    <w:name w:val="Заголовок таблиці"/>
    <w:basedOn w:val="Style34"/>
    <w:qFormat/>
    <w:pPr>
      <w:jc w:val="center"/>
    </w:pPr>
    <w:rPr>
      <w:b/>
      <w:bCs/>
    </w:rPr>
  </w:style>
  <w:style w:type="paragraph" w:styleId="TableParagraph" w:customStyle="1">
    <w:name w:val="Table Paragraph"/>
    <w:basedOn w:val="Normal"/>
    <w:qFormat/>
    <w:pPr/>
    <w:rPr>
      <w:rFonts w:ascii="Times New Roman" w:hAnsi="Times New Roman" w:eastAsia="Times New Roman" w:cs="Times New Roman"/>
      <w:lang w:eastAsia="en-US" w:bidi="ar-SA"/>
    </w:rPr>
  </w:style>
  <w:style w:type="paragraph" w:styleId="36" w:customStyle="1">
    <w:name w:val="Без интервала3"/>
    <w:qFormat/>
    <w:pPr>
      <w:widowControl/>
      <w:suppressAutoHyphens w:val="true"/>
      <w:bidi w:val="0"/>
      <w:spacing w:before="0" w:after="0"/>
      <w:jc w:val="left"/>
    </w:pPr>
    <w:rPr>
      <w:rFonts w:ascii="Calibri" w:hAnsi="Calibri" w:eastAsia="Calibri" w:cs="Calibri"/>
      <w:color w:val="auto"/>
      <w:kern w:val="0"/>
      <w:sz w:val="22"/>
      <w:szCs w:val="22"/>
      <w:lang w:val="ru-RU" w:eastAsia="zh-CN" w:bidi="ar-SA"/>
    </w:rPr>
  </w:style>
  <w:style w:type="paragraph" w:styleId="HTMLPreformatted">
    <w:name w:val="HTML Preformatted"/>
    <w:basedOn w:val="Normal"/>
    <w:qFormat/>
    <w:pPr/>
    <w:rPr>
      <w:rFonts w:ascii="Consolas" w:hAnsi="Consolas"/>
      <w:sz w:val="20"/>
      <w:szCs w:val="20"/>
    </w:rPr>
  </w:style>
  <w:style w:type="paragraph" w:styleId="118" w:customStyle="1">
    <w:name w:val="Обычный1"/>
    <w:qFormat/>
    <w:pPr>
      <w:widowControl w:val="false"/>
      <w:suppressAutoHyphens w:val="true"/>
      <w:bidi w:val="0"/>
      <w:spacing w:before="0" w:after="0"/>
      <w:jc w:val="both"/>
    </w:pPr>
    <w:rPr>
      <w:rFonts w:ascii="Times New Roman" w:hAnsi="Times New Roman" w:eastAsia="Calibri" w:cs="Times New Roman"/>
      <w:color w:val="00000A"/>
      <w:kern w:val="2"/>
      <w:sz w:val="20"/>
      <w:szCs w:val="20"/>
      <w:lang w:val="ru-RU" w:eastAsia="zh-CN" w:bidi="ar-SA"/>
    </w:rPr>
  </w:style>
  <w:style w:type="paragraph" w:styleId="Style38" w:customStyle="1">
    <w:name w:val="Без интервала"/>
    <w:qFormat/>
    <w:pPr>
      <w:widowControl/>
      <w:suppressAutoHyphens w:val="true"/>
      <w:bidi w:val="0"/>
      <w:spacing w:before="0" w:after="0"/>
      <w:jc w:val="left"/>
    </w:pPr>
    <w:rPr>
      <w:rFonts w:ascii="Calibri" w:hAnsi="Calibri" w:eastAsia="Calibri" w:cs="Calibri"/>
      <w:color w:val="auto"/>
      <w:kern w:val="0"/>
      <w:sz w:val="22"/>
      <w:szCs w:val="22"/>
      <w:lang w:val="ru-RU" w:eastAsia="zh-CN" w:bidi="ar-SA"/>
    </w:rPr>
  </w:style>
  <w:style w:type="paragraph" w:styleId="119" w:customStyle="1">
    <w:name w:val="Абзац списку1"/>
    <w:basedOn w:val="Normal"/>
    <w:qFormat/>
    <w:pPr>
      <w:spacing w:before="0" w:after="280"/>
      <w:ind w:left="720" w:hanging="0"/>
      <w:contextualSpacing/>
    </w:pPr>
    <w:rPr/>
  </w:style>
  <w:style w:type="numbering" w:styleId="NoList" w:default="1">
    <w:name w:val="No List"/>
    <w:uiPriority w:val="99"/>
    <w:semiHidden/>
    <w:unhideWhenUsed/>
    <w:qFormat/>
  </w:style>
  <w:style w:type="numbering" w:styleId="120">
    <w:name w:val="Список 1"/>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hart" Target="charts/chart1.xml"/><Relationship Id="rId3" Type="http://schemas.openxmlformats.org/officeDocument/2006/relationships/chart" Target="charts/chart2.xml"/><Relationship Id="rId4" Type="http://schemas.openxmlformats.org/officeDocument/2006/relationships/chart" Target="charts/chart3.xml"/><Relationship Id="rId5" Type="http://schemas.openxmlformats.org/officeDocument/2006/relationships/chart" Target="charts/chart4.xml"/><Relationship Id="rId6" Type="http://schemas.openxmlformats.org/officeDocument/2006/relationships/hyperlink" Target="http://www.smarttender.biz/" TargetMode="External"/><Relationship Id="rId7" Type="http://schemas.openxmlformats.org/officeDocument/2006/relationships/hyperlink" Target="https://techreg.in.ua/" TargetMode="External"/><Relationship Id="rId8" Type="http://schemas.openxmlformats.org/officeDocument/2006/relationships/hyperlink" Target="https://www.export.gov.ua/" TargetMode="External"/><Relationship Id="rId9" Type="http://schemas.openxmlformats.org/officeDocument/2006/relationships/hyperlink" Target="https://platforma-msb.org/" TargetMode="External"/><Relationship Id="rId10" Type="http://schemas.openxmlformats.org/officeDocument/2006/relationships/hyperlink" Target="https://www.merezha.ua/" TargetMode="External"/><Relationship Id="rId11" Type="http://schemas.openxmlformats.org/officeDocument/2006/relationships/hyperlink" Target="https://boi.org.ua/" TargetMode="External"/><Relationship Id="rId12" Type="http://schemas.openxmlformats.org/officeDocument/2006/relationships/hyperlink" Target="https://rynok.in.ua/" TargetMode="External"/><Relationship Id="rId13" Type="http://schemas.openxmlformats.org/officeDocument/2006/relationships/hyperlink" Target="https://cnap.lutskrada.gov.ua/" TargetMode="External"/><Relationship Id="rId14" Type="http://schemas.openxmlformats.org/officeDocument/2006/relationships/hyperlink" Target="https://www.facebook.com/instraini?__cft__%5B0%5D=AZWjJ2iHNyxPrMjKfbpmkPSx6km0fpmiOkdzDEznGshjcpxsYQBqJzZ7i6FiG0RFFSSeG8-39_z-OhJ93muIttWBV4bOT35wtcQepTLKuxkb3VexQ_OZMHqNmiZ9y0-Y_LsDQxvSxtKD98XXA21UjMaWzUrVq8T4U4DfSAOXDiFjGTrTAtXtlqpyvn7OlyIF6XtC5wkrtuRbxlm5LtbKG6vT&amp;__tn__=-%5DK-R" TargetMode="External"/><Relationship Id="rId15" Type="http://schemas.openxmlformats.org/officeDocument/2006/relationships/hyperlink" Target="https://www.facebook.com/UNICEFUkraine?__cft__%5B0%5D=AZX-hqf6bz-vSgL-v6wBbCwHYEItqg-4GdkoOHC9OwtdjR_F2GSVBXyJtV4Wba1sgQo-J3xJRNgtV3RmSzAtriblUlxnSVQJvrEN2RPLBSMAlQLKWvsJO9pdB1pYJupw7YS8rdoUWjSIsjQzYc9vPqZRm8y5gjEEha5MRJ1WBAK91ErVsXOvz-moCgY4F812YJgIwiTDzWckq_ufh5B7hira&amp;__tn__=-%5DK-R" TargetMode="External"/><Relationship Id="rId16" Type="http://schemas.openxmlformats.org/officeDocument/2006/relationships/hyperlink" Target="https://com-east.eu/" TargetMode="External"/><Relationship Id="rId17" Type="http://schemas.openxmlformats.org/officeDocument/2006/relationships/hyperlink" Target="https://www.lutskrada.gov.ua/pages/2024" TargetMode="External"/><Relationship Id="rId18" Type="http://schemas.openxmlformats.org/officeDocument/2006/relationships/hyperlink" Target="https://data.lutskrada.gov.ua/dataset/64f40db6-4286-49a3-a5e2-164f2cf2730e" TargetMode="Externa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lang="uk-UA" sz="1600" spc="-1" strike="noStrike">
                <a:solidFill>
                  <a:srgbClr val="595959"/>
                </a:solidFill>
                <a:latin typeface="Calibri"/>
              </a:defRPr>
            </a:pPr>
            <a:r>
              <a:rPr b="1" lang="uk-UA" sz="1600" spc="-1" strike="noStrike">
                <a:solidFill>
                  <a:srgbClr val="595959"/>
                </a:solidFill>
                <a:latin typeface="Calibri"/>
              </a:rPr>
              <a:t>Фізичні-особи підприємці</a:t>
            </a:r>
          </a:p>
        </c:rich>
      </c:tx>
      <c:overlay val="0"/>
      <c:spPr>
        <a:noFill/>
        <a:ln w="0">
          <a:noFill/>
        </a:ln>
      </c:spPr>
    </c:title>
    <c:autoTitleDeleted val="0"/>
    <c:view3D>
      <c:rotX val="15"/>
      <c:rotY val="20"/>
      <c:rAngAx val="1"/>
      <c:perspective val="30"/>
    </c:view3D>
    <c:floor>
      <c:spPr>
        <a:noFill/>
        <a:ln w="6480">
          <a:noFill/>
        </a:ln>
      </c:spPr>
    </c:floor>
    <c:sideWall>
      <c:spPr>
        <a:noFill/>
        <a:ln w="6480">
          <a:noFill/>
        </a:ln>
      </c:spPr>
    </c:sideWall>
    <c:backWall>
      <c:spPr>
        <a:noFill/>
        <a:ln w="6480">
          <a:noFill/>
        </a:ln>
      </c:spPr>
    </c:backWall>
    <c:plotArea>
      <c:bar3DChart>
        <c:barDir val="col"/>
        <c:grouping val="clustered"/>
        <c:varyColors val="0"/>
        <c:ser>
          <c:idx val="0"/>
          <c:order val="0"/>
          <c:tx>
            <c:strRef>
              <c:f>label 0</c:f>
              <c:strCache>
                <c:ptCount val="1"/>
                <c:pt idx="0">
                  <c:v>ФОП</c:v>
                </c:pt>
              </c:strCache>
            </c:strRef>
          </c:tx>
          <c:spPr>
            <a:solidFill>
              <a:srgbClr val="5b9bd5"/>
            </a:solidFill>
            <a:ln w="0">
              <a:noFill/>
            </a:ln>
          </c:spPr>
          <c:invertIfNegative val="0"/>
          <c:dPt>
            <c:idx val="0"/>
            <c:invertIfNegative val="0"/>
            <c:spPr>
              <a:solidFill>
                <a:srgbClr val="5b9bd5"/>
              </a:solidFill>
              <a:ln w="0">
                <a:noFill/>
              </a:ln>
            </c:spPr>
          </c:dPt>
          <c:dPt>
            <c:idx val="1"/>
            <c:invertIfNegative val="0"/>
            <c:spPr>
              <a:solidFill>
                <a:srgbClr val="5b9bd5"/>
              </a:solidFill>
              <a:ln w="0">
                <a:noFill/>
              </a:ln>
            </c:spPr>
          </c:dPt>
          <c:dPt>
            <c:idx val="2"/>
            <c:invertIfNegative val="0"/>
            <c:spPr>
              <a:solidFill>
                <a:srgbClr val="ed7d31"/>
              </a:solidFill>
              <a:ln w="0">
                <a:noFill/>
              </a:ln>
            </c:spPr>
          </c:dPt>
          <c:dPt>
            <c:idx val="3"/>
            <c:invertIfNegative val="0"/>
            <c:spPr>
              <a:solidFill>
                <a:srgbClr val="ed7d31"/>
              </a:solidFill>
              <a:ln w="0">
                <a:noFill/>
              </a:ln>
            </c:spPr>
          </c:dPt>
          <c:dLbls>
            <c:numFmt formatCode="#,##0" sourceLinked="0"/>
            <c:dLbl>
              <c:idx val="0"/>
              <c:layout>
                <c:manualLayout>
                  <c:x val="0.0221886031265759"/>
                  <c:y val="-0.02859475279684"/>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1"/>
              <c:layout>
                <c:manualLayout>
                  <c:x val="0.0201714573877963"/>
                  <c:y val="-0.0261804543030331"/>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2"/>
              <c:layout>
                <c:manualLayout>
                  <c:x val="0.0181543910642032"/>
                  <c:y val="-0.0338161399959872"/>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3"/>
              <c:layout>
                <c:manualLayout>
                  <c:x val="0.0342467310445962"/>
                  <c:y val="-0.0320258548467733"/>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14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multiLvlStrRef>
              <c:f>categories</c:f>
              <c:multiLvlStrCache>
                <c:ptCount val="4"/>
                <c:lvl>
                  <c:pt idx="0">
                    <c:v>2023</c:v>
                  </c:pt>
                  <c:pt idx="1">
                    <c:v>2024</c:v>
                  </c:pt>
                  <c:pt idx="2">
                    <c:v>2023</c:v>
                  </c:pt>
                  <c:pt idx="3">
                    <c:v>2024</c:v>
                  </c:pt>
                </c:lvl>
                <c:lvl>
                  <c:pt idx="0">
                    <c:v>Зареєстровано</c:v>
                  </c:pt>
                  <c:pt idx="2">
                    <c:v>Припинено діяльність</c:v>
                  </c:pt>
                </c:lvl>
              </c:multiLvlStrCache>
            </c:multiLvlStrRef>
          </c:cat>
          <c:val>
            <c:numRef>
              <c:f>0</c:f>
              <c:numCache>
                <c:formatCode>General</c:formatCode>
                <c:ptCount val="4"/>
                <c:pt idx="0">
                  <c:v>2692</c:v>
                </c:pt>
                <c:pt idx="1">
                  <c:v>2408</c:v>
                </c:pt>
                <c:pt idx="2">
                  <c:v>979</c:v>
                </c:pt>
                <c:pt idx="3">
                  <c:v>1415</c:v>
                </c:pt>
              </c:numCache>
            </c:numRef>
          </c:val>
        </c:ser>
        <c:gapWidth val="150"/>
        <c:shape val="box"/>
        <c:axId val="16512144"/>
        <c:axId val="83584123"/>
        <c:axId val="0"/>
      </c:bar3DChart>
      <c:catAx>
        <c:axId val="16512144"/>
        <c:scaling>
          <c:orientation val="minMax"/>
        </c:scaling>
        <c:delete val="0"/>
        <c:axPos val="b"/>
        <c:numFmt formatCode="General" sourceLinked="0"/>
        <c:majorTickMark val="none"/>
        <c:minorTickMark val="none"/>
        <c:tickLblPos val="nextTo"/>
        <c:spPr>
          <a:ln w="6480">
            <a:noFill/>
          </a:ln>
        </c:spPr>
        <c:txPr>
          <a:bodyPr/>
          <a:lstStyle/>
          <a:p>
            <a:pPr>
              <a:defRPr b="1" sz="1200" spc="-1" strike="noStrike">
                <a:solidFill>
                  <a:srgbClr val="595959"/>
                </a:solidFill>
                <a:latin typeface="Calibri"/>
              </a:defRPr>
            </a:pPr>
          </a:p>
        </c:txPr>
        <c:crossAx val="83584123"/>
        <c:crosses val="autoZero"/>
        <c:auto val="1"/>
        <c:lblAlgn val="ctr"/>
        <c:lblOffset val="100"/>
        <c:noMultiLvlLbl val="0"/>
      </c:catAx>
      <c:valAx>
        <c:axId val="83584123"/>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16512144"/>
        <c:crosses val="autoZero"/>
        <c:crossBetween val="between"/>
      </c:valAx>
    </c:plotArea>
    <c:plotVisOnly val="1"/>
    <c:dispBlanksAs val="gap"/>
  </c:chart>
  <c:spPr>
    <a:noFill/>
    <a:ln w="9360">
      <a:solidFill>
        <a:srgbClr val="d9d9d9"/>
      </a:solidFill>
      <a:round/>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 strike="noStrike">
                <a:solidFill>
                  <a:srgbClr val="595959"/>
                </a:solidFill>
                <a:latin typeface="Calibri"/>
              </a:defRPr>
            </a:pPr>
            <a:r>
              <a:rPr b="1" sz="1400" spc="-1" strike="noStrike">
                <a:solidFill>
                  <a:srgbClr val="595959"/>
                </a:solidFill>
                <a:latin typeface="Calibri"/>
              </a:rPr>
              <a:t>Юридичні особи</a:t>
            </a:r>
          </a:p>
        </c:rich>
      </c:tx>
      <c:overlay val="0"/>
      <c:spPr>
        <a:noFill/>
        <a:ln w="0">
          <a:noFill/>
        </a:ln>
      </c:spPr>
    </c:title>
    <c:autoTitleDeleted val="0"/>
    <c:view3D>
      <c:rotX val="15"/>
      <c:rotY val="20"/>
      <c:rAngAx val="1"/>
      <c:perspective val="30"/>
    </c:view3D>
    <c:floor>
      <c:spPr>
        <a:noFill/>
        <a:ln w="6480">
          <a:noFill/>
        </a:ln>
      </c:spPr>
    </c:floor>
    <c:sideWall>
      <c:spPr>
        <a:noFill/>
        <a:ln w="6480">
          <a:noFill/>
        </a:ln>
      </c:spPr>
    </c:sideWall>
    <c:backWall>
      <c:spPr>
        <a:noFill/>
        <a:ln w="6480">
          <a:noFill/>
        </a:ln>
      </c:spPr>
    </c:backWall>
    <c:plotArea>
      <c:layout>
        <c:manualLayout>
          <c:layoutTarget val="inner"/>
          <c:xMode val="edge"/>
          <c:yMode val="edge"/>
          <c:x val="0.1144375"/>
          <c:y val="0.112555555555556"/>
          <c:w val="0.840375"/>
          <c:h val="0.608777777777778"/>
        </c:manualLayout>
      </c:layout>
      <c:bar3DChart>
        <c:barDir val="col"/>
        <c:grouping val="clustered"/>
        <c:varyColors val="0"/>
        <c:ser>
          <c:idx val="0"/>
          <c:order val="0"/>
          <c:tx>
            <c:strRef>
              <c:f>label 0</c:f>
              <c:strCache>
                <c:ptCount val="1"/>
                <c:pt idx="0">
                  <c:v>Юридичні особи</c:v>
                </c:pt>
              </c:strCache>
            </c:strRef>
          </c:tx>
          <c:spPr>
            <a:solidFill>
              <a:srgbClr val="ed7d31"/>
            </a:solidFill>
            <a:ln w="0">
              <a:noFill/>
            </a:ln>
          </c:spPr>
          <c:invertIfNegative val="0"/>
          <c:dPt>
            <c:idx val="0"/>
            <c:invertIfNegative val="0"/>
            <c:spPr>
              <a:solidFill>
                <a:srgbClr val="548235"/>
              </a:solidFill>
              <a:ln w="0">
                <a:noFill/>
              </a:ln>
            </c:spPr>
          </c:dPt>
          <c:dPt>
            <c:idx val="1"/>
            <c:invertIfNegative val="0"/>
            <c:spPr>
              <a:solidFill>
                <a:srgbClr val="548235"/>
              </a:solidFill>
              <a:ln w="0">
                <a:noFill/>
              </a:ln>
            </c:spPr>
          </c:dPt>
          <c:dPt>
            <c:idx val="2"/>
            <c:invertIfNegative val="0"/>
            <c:spPr>
              <a:solidFill>
                <a:srgbClr val="7030a0"/>
              </a:solidFill>
              <a:ln w="0">
                <a:noFill/>
              </a:ln>
            </c:spPr>
          </c:dPt>
          <c:dPt>
            <c:idx val="3"/>
            <c:invertIfNegative val="0"/>
            <c:spPr>
              <a:solidFill>
                <a:srgbClr val="7030a0"/>
              </a:solidFill>
              <a:ln w="0">
                <a:noFill/>
              </a:ln>
            </c:spPr>
          </c:dPt>
          <c:dLbls>
            <c:numFmt formatCode="#,##0" sourceLinked="0"/>
            <c:dLbl>
              <c:idx val="0"/>
              <c:layout>
                <c:manualLayout>
                  <c:x val="0.0186219739292365"/>
                  <c:y val="-0.0229555202151673"/>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1"/>
              <c:layout>
                <c:manualLayout>
                  <c:x val="0.0223463687150838"/>
                  <c:y val="-0.0267814402510286"/>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2"/>
              <c:layout>
                <c:manualLayout>
                  <c:x val="0.0223463687150837"/>
                  <c:y val="-0.0229555202151673"/>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3"/>
              <c:layout>
                <c:manualLayout>
                  <c:x val="0.02048417132216"/>
                  <c:y val="-0.0267814402510286"/>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14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multiLvlStrRef>
              <c:f>categories</c:f>
              <c:multiLvlStrCache>
                <c:ptCount val="4"/>
                <c:lvl>
                  <c:pt idx="0">
                    <c:v>2023</c:v>
                  </c:pt>
                  <c:pt idx="1">
                    <c:v>2024</c:v>
                  </c:pt>
                  <c:pt idx="2">
                    <c:v>2023</c:v>
                  </c:pt>
                  <c:pt idx="3">
                    <c:v>2024</c:v>
                  </c:pt>
                </c:lvl>
                <c:lvl>
                  <c:pt idx="0">
                    <c:v>Зареєстровано</c:v>
                  </c:pt>
                  <c:pt idx="2">
                    <c:v>Припинено діяльність</c:v>
                  </c:pt>
                </c:lvl>
              </c:multiLvlStrCache>
            </c:multiLvlStrRef>
          </c:cat>
          <c:val>
            <c:numRef>
              <c:f>0</c:f>
              <c:numCache>
                <c:formatCode>General</c:formatCode>
                <c:ptCount val="4"/>
                <c:pt idx="0">
                  <c:v>496</c:v>
                </c:pt>
                <c:pt idx="1">
                  <c:v>445</c:v>
                </c:pt>
                <c:pt idx="2">
                  <c:v>88</c:v>
                </c:pt>
                <c:pt idx="3">
                  <c:v>170</c:v>
                </c:pt>
              </c:numCache>
            </c:numRef>
          </c:val>
        </c:ser>
        <c:gapWidth val="150"/>
        <c:shape val="box"/>
        <c:axId val="68055484"/>
        <c:axId val="83669928"/>
        <c:axId val="0"/>
      </c:bar3DChart>
      <c:catAx>
        <c:axId val="68055484"/>
        <c:scaling>
          <c:orientation val="minMax"/>
        </c:scaling>
        <c:delete val="0"/>
        <c:axPos val="b"/>
        <c:numFmt formatCode="General" sourceLinked="0"/>
        <c:majorTickMark val="none"/>
        <c:minorTickMark val="none"/>
        <c:tickLblPos val="nextTo"/>
        <c:spPr>
          <a:ln w="6480">
            <a:noFill/>
          </a:ln>
        </c:spPr>
        <c:txPr>
          <a:bodyPr/>
          <a:lstStyle/>
          <a:p>
            <a:pPr>
              <a:defRPr b="1" sz="1200" spc="-1" strike="noStrike">
                <a:solidFill>
                  <a:srgbClr val="595959"/>
                </a:solidFill>
                <a:latin typeface="Calibri"/>
              </a:defRPr>
            </a:pPr>
          </a:p>
        </c:txPr>
        <c:crossAx val="83669928"/>
        <c:crosses val="autoZero"/>
        <c:auto val="1"/>
        <c:lblAlgn val="ctr"/>
        <c:lblOffset val="100"/>
        <c:noMultiLvlLbl val="0"/>
      </c:catAx>
      <c:valAx>
        <c:axId val="83669928"/>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68055484"/>
        <c:crosses val="autoZero"/>
        <c:crossBetween val="between"/>
      </c:valAx>
    </c:plotArea>
    <c:plotVisOnly val="1"/>
    <c:dispBlanksAs val="gap"/>
  </c:chart>
  <c:spPr>
    <a:noFill/>
    <a:ln w="9360">
      <a:solidFill>
        <a:srgbClr val="d9d9d9"/>
      </a:solidFill>
      <a:round/>
    </a:ln>
  </c:spPr>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lang="uk-UA" sz="1400" spc="-1" strike="noStrike">
                <a:solidFill>
                  <a:srgbClr val="595959"/>
                </a:solidFill>
                <a:latin typeface="Calibri"/>
              </a:defRPr>
            </a:pPr>
            <a:r>
              <a:rPr b="1" lang="uk-UA" sz="1400" spc="-1" strike="noStrike">
                <a:solidFill>
                  <a:srgbClr val="595959"/>
                </a:solidFill>
                <a:latin typeface="Calibri"/>
              </a:rPr>
              <a:t>Фізіичні-особи підприємці </a:t>
            </a:r>
          </a:p>
        </c:rich>
      </c:tx>
      <c:overlay val="0"/>
      <c:spPr>
        <a:noFill/>
        <a:ln w="0">
          <a:noFill/>
        </a:ln>
      </c:spPr>
    </c:title>
    <c:autoTitleDeleted val="0"/>
    <c:view3D>
      <c:rotX val="15"/>
      <c:rotY val="20"/>
      <c:rAngAx val="1"/>
      <c:perspective val="30"/>
    </c:view3D>
    <c:floor>
      <c:spPr>
        <a:noFill/>
        <a:ln w="6480">
          <a:noFill/>
        </a:ln>
      </c:spPr>
    </c:floor>
    <c:sideWall>
      <c:spPr>
        <a:noFill/>
        <a:ln w="6480">
          <a:noFill/>
        </a:ln>
      </c:spPr>
    </c:sideWall>
    <c:backWall>
      <c:spPr>
        <a:noFill/>
        <a:ln w="6480">
          <a:noFill/>
        </a:ln>
      </c:spPr>
    </c:backWall>
    <c:plotArea>
      <c:bar3DChart>
        <c:barDir val="col"/>
        <c:grouping val="clustered"/>
        <c:varyColors val="0"/>
        <c:ser>
          <c:idx val="0"/>
          <c:order val="0"/>
          <c:tx>
            <c:strRef>
              <c:f>label 0</c:f>
              <c:strCache>
                <c:ptCount val="1"/>
                <c:pt idx="0">
                  <c:v>ФОП</c:v>
                </c:pt>
              </c:strCache>
            </c:strRef>
          </c:tx>
          <c:spPr>
            <a:solidFill>
              <a:srgbClr val="5b9bd5"/>
            </a:solidFill>
            <a:ln w="0">
              <a:noFill/>
            </a:ln>
          </c:spPr>
          <c:invertIfNegative val="0"/>
          <c:dPt>
            <c:idx val="0"/>
            <c:invertIfNegative val="0"/>
            <c:spPr>
              <a:solidFill>
                <a:srgbClr val="5b9bd5"/>
              </a:solidFill>
              <a:ln w="0">
                <a:noFill/>
              </a:ln>
            </c:spPr>
          </c:dPt>
          <c:dPt>
            <c:idx val="1"/>
            <c:invertIfNegative val="0"/>
            <c:spPr>
              <a:solidFill>
                <a:srgbClr val="5b9bd5"/>
              </a:solidFill>
              <a:ln w="0">
                <a:noFill/>
              </a:ln>
            </c:spPr>
          </c:dPt>
          <c:dPt>
            <c:idx val="2"/>
            <c:invertIfNegative val="0"/>
            <c:spPr>
              <a:solidFill>
                <a:srgbClr val="ed7d31"/>
              </a:solidFill>
              <a:ln w="0">
                <a:noFill/>
              </a:ln>
            </c:spPr>
          </c:dPt>
          <c:dPt>
            <c:idx val="3"/>
            <c:invertIfNegative val="0"/>
            <c:spPr>
              <a:solidFill>
                <a:srgbClr val="ed7d31"/>
              </a:solidFill>
              <a:ln w="0">
                <a:noFill/>
              </a:ln>
            </c:spPr>
          </c:dPt>
          <c:dLbls>
            <c:numFmt formatCode="#,##0" sourceLinked="0"/>
            <c:dLbl>
              <c:idx val="0"/>
              <c:layout>
                <c:manualLayout>
                  <c:x val="0.0224719101123595"/>
                  <c:y val="-0.0304955486637454"/>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1"/>
              <c:layout>
                <c:manualLayout>
                  <c:x val="0.0205992509363296"/>
                  <c:y val="-0.0271071543677737"/>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2"/>
              <c:layout>
                <c:manualLayout>
                  <c:x val="0.0224719101123596"/>
                  <c:y val="-0.0304955486637454"/>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3"/>
              <c:layout>
                <c:manualLayout>
                  <c:x val="0.0243445692883895"/>
                  <c:y val="-0.0271071543677737"/>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14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multiLvlStrRef>
              <c:f>categories</c:f>
              <c:multiLvlStrCache>
                <c:ptCount val="4"/>
                <c:lvl>
                  <c:pt idx="0">
                    <c:v>2023</c:v>
                  </c:pt>
                  <c:pt idx="1">
                    <c:v>2024</c:v>
                  </c:pt>
                  <c:pt idx="2">
                    <c:v>2023</c:v>
                  </c:pt>
                  <c:pt idx="3">
                    <c:v>2024</c:v>
                  </c:pt>
                </c:lvl>
                <c:lvl>
                  <c:pt idx="0">
                    <c:v>Вибули із громади</c:v>
                  </c:pt>
                  <c:pt idx="2">
                    <c:v>Прибули у громаду</c:v>
                  </c:pt>
                </c:lvl>
              </c:multiLvlStrCache>
            </c:multiLvlStrRef>
          </c:cat>
          <c:val>
            <c:numRef>
              <c:f>0</c:f>
              <c:numCache>
                <c:formatCode>General</c:formatCode>
                <c:ptCount val="4"/>
                <c:pt idx="0">
                  <c:v>373</c:v>
                </c:pt>
                <c:pt idx="1">
                  <c:v>333</c:v>
                </c:pt>
                <c:pt idx="2">
                  <c:v>451</c:v>
                </c:pt>
                <c:pt idx="3">
                  <c:v>373</c:v>
                </c:pt>
              </c:numCache>
            </c:numRef>
          </c:val>
        </c:ser>
        <c:gapWidth val="150"/>
        <c:shape val="box"/>
        <c:axId val="9381752"/>
        <c:axId val="78675541"/>
        <c:axId val="0"/>
      </c:bar3DChart>
      <c:catAx>
        <c:axId val="9381752"/>
        <c:scaling>
          <c:orientation val="minMax"/>
        </c:scaling>
        <c:delete val="0"/>
        <c:axPos val="b"/>
        <c:numFmt formatCode="General" sourceLinked="0"/>
        <c:majorTickMark val="none"/>
        <c:minorTickMark val="none"/>
        <c:tickLblPos val="nextTo"/>
        <c:spPr>
          <a:ln w="6480">
            <a:noFill/>
          </a:ln>
        </c:spPr>
        <c:txPr>
          <a:bodyPr/>
          <a:lstStyle/>
          <a:p>
            <a:pPr>
              <a:defRPr b="1" sz="1200" spc="-1" strike="noStrike">
                <a:solidFill>
                  <a:srgbClr val="595959"/>
                </a:solidFill>
                <a:latin typeface="Calibri"/>
              </a:defRPr>
            </a:pPr>
          </a:p>
        </c:txPr>
        <c:crossAx val="78675541"/>
        <c:crosses val="autoZero"/>
        <c:auto val="1"/>
        <c:lblAlgn val="ctr"/>
        <c:lblOffset val="100"/>
        <c:noMultiLvlLbl val="0"/>
      </c:catAx>
      <c:valAx>
        <c:axId val="78675541"/>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9381752"/>
        <c:crosses val="autoZero"/>
        <c:crossBetween val="between"/>
      </c:valAx>
    </c:plotArea>
    <c:plotVisOnly val="1"/>
    <c:dispBlanksAs val="gap"/>
  </c:chart>
  <c:spPr>
    <a:noFill/>
    <a:ln w="9360">
      <a:solidFill>
        <a:srgbClr val="d9d9d9"/>
      </a:solidFill>
      <a:round/>
    </a:ln>
  </c:spPr>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lang="uk-UA" sz="1400" spc="-1" strike="noStrike">
                <a:solidFill>
                  <a:srgbClr val="595959"/>
                </a:solidFill>
                <a:latin typeface="Calibri"/>
              </a:defRPr>
            </a:pPr>
            <a:r>
              <a:rPr b="1" lang="uk-UA" sz="1400" spc="-1" strike="noStrike">
                <a:solidFill>
                  <a:srgbClr val="595959"/>
                </a:solidFill>
                <a:latin typeface="Calibri"/>
              </a:rPr>
              <a:t>Юридичні особи</a:t>
            </a:r>
          </a:p>
        </c:rich>
      </c:tx>
      <c:overlay val="0"/>
      <c:spPr>
        <a:noFill/>
        <a:ln w="0">
          <a:noFill/>
        </a:ln>
      </c:spPr>
    </c:title>
    <c:autoTitleDeleted val="0"/>
    <c:view3D>
      <c:rotX val="15"/>
      <c:rotY val="20"/>
      <c:rAngAx val="1"/>
      <c:perspective val="30"/>
    </c:view3D>
    <c:floor>
      <c:spPr>
        <a:noFill/>
        <a:ln w="6480">
          <a:noFill/>
        </a:ln>
      </c:spPr>
    </c:floor>
    <c:sideWall>
      <c:spPr>
        <a:noFill/>
        <a:ln w="6480">
          <a:noFill/>
        </a:ln>
      </c:spPr>
    </c:sideWall>
    <c:backWall>
      <c:spPr>
        <a:noFill/>
        <a:ln w="6480">
          <a:noFill/>
        </a:ln>
      </c:spPr>
    </c:backWall>
    <c:plotArea>
      <c:bar3DChart>
        <c:barDir val="col"/>
        <c:grouping val="clustered"/>
        <c:varyColors val="0"/>
        <c:ser>
          <c:idx val="0"/>
          <c:order val="0"/>
          <c:tx>
            <c:strRef>
              <c:f>label 0</c:f>
              <c:strCache>
                <c:ptCount val="1"/>
                <c:pt idx="0">
                  <c:v>Юридичні особи</c:v>
                </c:pt>
              </c:strCache>
            </c:strRef>
          </c:tx>
          <c:spPr>
            <a:solidFill>
              <a:srgbClr val="ed7d31"/>
            </a:solidFill>
            <a:ln w="0">
              <a:noFill/>
            </a:ln>
          </c:spPr>
          <c:invertIfNegative val="0"/>
          <c:dPt>
            <c:idx val="0"/>
            <c:invertIfNegative val="0"/>
            <c:spPr>
              <a:solidFill>
                <a:srgbClr val="548235"/>
              </a:solidFill>
              <a:ln w="0">
                <a:noFill/>
              </a:ln>
            </c:spPr>
          </c:dPt>
          <c:dPt>
            <c:idx val="1"/>
            <c:invertIfNegative val="0"/>
            <c:spPr>
              <a:solidFill>
                <a:srgbClr val="548235"/>
              </a:solidFill>
              <a:ln w="0">
                <a:noFill/>
              </a:ln>
            </c:spPr>
          </c:dPt>
          <c:dPt>
            <c:idx val="2"/>
            <c:invertIfNegative val="0"/>
            <c:spPr>
              <a:solidFill>
                <a:srgbClr val="7030a0"/>
              </a:solidFill>
              <a:ln w="0">
                <a:noFill/>
              </a:ln>
            </c:spPr>
          </c:dPt>
          <c:dPt>
            <c:idx val="3"/>
            <c:invertIfNegative val="0"/>
            <c:spPr>
              <a:solidFill>
                <a:srgbClr val="7030a0"/>
              </a:solidFill>
              <a:ln w="0">
                <a:noFill/>
              </a:ln>
            </c:spPr>
          </c:dPt>
          <c:dLbls>
            <c:numFmt formatCode="#,##0" sourceLinked="0"/>
            <c:dLbl>
              <c:idx val="0"/>
              <c:layout>
                <c:manualLayout>
                  <c:x val="0.0220525869380831"/>
                  <c:y val="-0.0346320293854134"/>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1"/>
              <c:layout>
                <c:manualLayout>
                  <c:x val="0.0169635284139101"/>
                  <c:y val="-0.0307840122571126"/>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2"/>
              <c:layout>
                <c:manualLayout>
                  <c:x val="0.0152671755725191"/>
                  <c:y val="-0.0346320137892517"/>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dLbl>
              <c:idx val="3"/>
              <c:layout>
                <c:manualLayout>
                  <c:x val="0.0203562340966921"/>
                  <c:y val="-0.0307840261203674"/>
                </c:manualLayout>
              </c:layout>
              <c:numFmt formatCode="#,##0" sourceLinked="0"/>
              <c:txPr>
                <a:bodyPr wrap="square"/>
                <a:lstStyle/>
                <a:p>
                  <a:pPr>
                    <a:defRPr b="1" sz="14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14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multiLvlStrRef>
              <c:f>categories</c:f>
              <c:multiLvlStrCache>
                <c:ptCount val="4"/>
                <c:lvl>
                  <c:pt idx="0">
                    <c:v>2023</c:v>
                  </c:pt>
                  <c:pt idx="1">
                    <c:v>2024</c:v>
                  </c:pt>
                  <c:pt idx="2">
                    <c:v>2023</c:v>
                  </c:pt>
                  <c:pt idx="3">
                    <c:v>2024</c:v>
                  </c:pt>
                </c:lvl>
                <c:lvl>
                  <c:pt idx="0">
                    <c:v>Вибули із громади</c:v>
                  </c:pt>
                  <c:pt idx="2">
                    <c:v>Прибули у громаду</c:v>
                  </c:pt>
                </c:lvl>
              </c:multiLvlStrCache>
            </c:multiLvlStrRef>
          </c:cat>
          <c:val>
            <c:numRef>
              <c:f>0</c:f>
              <c:numCache>
                <c:formatCode>General</c:formatCode>
                <c:ptCount val="4"/>
                <c:pt idx="0">
                  <c:v>442</c:v>
                </c:pt>
                <c:pt idx="1">
                  <c:v>259</c:v>
                </c:pt>
                <c:pt idx="2">
                  <c:v>665</c:v>
                </c:pt>
                <c:pt idx="3">
                  <c:v>304</c:v>
                </c:pt>
              </c:numCache>
            </c:numRef>
          </c:val>
        </c:ser>
        <c:gapWidth val="150"/>
        <c:shape val="box"/>
        <c:axId val="23651963"/>
        <c:axId val="80827319"/>
        <c:axId val="0"/>
      </c:bar3DChart>
      <c:catAx>
        <c:axId val="23651963"/>
        <c:scaling>
          <c:orientation val="minMax"/>
        </c:scaling>
        <c:delete val="0"/>
        <c:axPos val="b"/>
        <c:numFmt formatCode="General" sourceLinked="0"/>
        <c:majorTickMark val="none"/>
        <c:minorTickMark val="none"/>
        <c:tickLblPos val="nextTo"/>
        <c:spPr>
          <a:ln w="6480">
            <a:noFill/>
          </a:ln>
        </c:spPr>
        <c:txPr>
          <a:bodyPr/>
          <a:lstStyle/>
          <a:p>
            <a:pPr>
              <a:defRPr b="1" sz="1200" spc="-1" strike="noStrike">
                <a:solidFill>
                  <a:srgbClr val="595959"/>
                </a:solidFill>
                <a:latin typeface="Calibri"/>
              </a:defRPr>
            </a:pPr>
          </a:p>
        </c:txPr>
        <c:crossAx val="80827319"/>
        <c:crosses val="autoZero"/>
        <c:auto val="1"/>
        <c:lblAlgn val="ctr"/>
        <c:lblOffset val="100"/>
        <c:noMultiLvlLbl val="0"/>
      </c:catAx>
      <c:valAx>
        <c:axId val="80827319"/>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23651963"/>
        <c:crosses val="autoZero"/>
        <c:crossBetween val="between"/>
      </c:valAx>
    </c:plotArea>
    <c:plotVisOnly val="1"/>
    <c:dispBlanksAs val="gap"/>
  </c:chart>
  <c:spPr>
    <a:noFill/>
    <a:ln w="9360">
      <a:solidFill>
        <a:srgbClr val="d9d9d9"/>
      </a:solidFill>
      <a:round/>
    </a:ln>
  </c:spPr>
</c:chartSpace>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58E59-741F-458E-9E11-CF7A59C1E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5482</TotalTime>
  <Application>LibreOffice/7.1.3.2$Windows_X86_64 LibreOffice_project/47f78053abe362b9384784d31a6e56f8511eb1c1</Application>
  <AppVersion>15.0000</AppVersion>
  <Pages>114</Pages>
  <Words>37246</Words>
  <Characters>259001</Characters>
  <CharactersWithSpaces>295177</CharactersWithSpaces>
  <Paragraphs>1341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2024-08-05T11:03:00Z</dcterms:created>
  <dc:creator>Гребенюк Оксана Костянтинівна</dc:creator>
  <dc:description/>
  <dc:language>uk-UA</dc:language>
  <cp:lastModifiedBy/>
  <dcterms:modified xsi:type="dcterms:W3CDTF">2025-02-10T12:56:13Z</dcterms:modified>
  <cp:revision>476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