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widowControl/>
        <w:suppressAutoHyphens w:val="true"/>
        <w:bidi w:val="0"/>
        <w:spacing w:lineRule="auto" w:line="276" w:before="0" w:after="0"/>
        <w:ind w:firstLine="567" w:left="0" w:right="0"/>
        <w:jc w:val="center"/>
        <w:rPr>
          <w:rFonts w:ascii="Times New Roman" w:hAnsi="Times New Roman"/>
        </w:rPr>
      </w:pPr>
      <w:r>
        <w:rPr>
          <w:rFonts w:ascii="Times New Roman" w:hAnsi="Times New Roman"/>
          <w:sz w:val="28"/>
          <w:szCs w:val="28"/>
        </w:rPr>
        <w:t xml:space="preserve">Звіт </w:t>
      </w:r>
    </w:p>
    <w:p>
      <w:pPr>
        <w:pStyle w:val="BodyText"/>
        <w:widowControl/>
        <w:suppressAutoHyphens w:val="true"/>
        <w:bidi w:val="0"/>
        <w:spacing w:lineRule="auto" w:line="276" w:before="0" w:after="0"/>
        <w:ind w:firstLine="567" w:left="0" w:right="0"/>
        <w:jc w:val="center"/>
        <w:rPr>
          <w:rFonts w:ascii="Times New Roman" w:hAnsi="Times New Roman"/>
        </w:rPr>
      </w:pPr>
      <w:r>
        <w:rPr>
          <w:rFonts w:ascii="Times New Roman" w:hAnsi="Times New Roman"/>
          <w:sz w:val="28"/>
          <w:szCs w:val="28"/>
        </w:rPr>
        <w:t xml:space="preserve">про роботу старости Заборольського  старостинського округу </w:t>
      </w:r>
    </w:p>
    <w:p>
      <w:pPr>
        <w:pStyle w:val="BodyText"/>
        <w:widowControl/>
        <w:suppressAutoHyphens w:val="true"/>
        <w:bidi w:val="0"/>
        <w:spacing w:lineRule="auto" w:line="276" w:before="0" w:after="0"/>
        <w:ind w:firstLine="567" w:left="0" w:right="0"/>
        <w:jc w:val="center"/>
        <w:rPr>
          <w:rFonts w:ascii="Times New Roman" w:hAnsi="Times New Roman"/>
        </w:rPr>
      </w:pPr>
      <w:r>
        <w:rPr>
          <w:rFonts w:ascii="Times New Roman" w:hAnsi="Times New Roman"/>
          <w:sz w:val="28"/>
          <w:szCs w:val="28"/>
        </w:rPr>
        <w:t>Боярського Валерія за 202</w:t>
      </w:r>
      <w:r>
        <w:rPr>
          <w:rFonts w:ascii="Times New Roman" w:hAnsi="Times New Roman"/>
          <w:sz w:val="28"/>
          <w:szCs w:val="28"/>
        </w:rPr>
        <w:t>4</w:t>
      </w:r>
      <w:r>
        <w:rPr>
          <w:rFonts w:ascii="Times New Roman" w:hAnsi="Times New Roman"/>
          <w:sz w:val="28"/>
          <w:szCs w:val="28"/>
        </w:rPr>
        <w:t xml:space="preserve"> рік</w:t>
      </w:r>
    </w:p>
    <w:p>
      <w:pPr>
        <w:pStyle w:val="BodyText"/>
        <w:widowControl/>
        <w:suppressAutoHyphens w:val="true"/>
        <w:bidi w:val="0"/>
        <w:spacing w:lineRule="auto" w:line="276" w:before="0" w:after="0"/>
        <w:ind w:firstLine="567" w:left="0" w:right="0"/>
        <w:jc w:val="both"/>
        <w:rPr>
          <w:rFonts w:ascii="Times New Roman" w:hAnsi="Times New Roman"/>
          <w:sz w:val="28"/>
          <w:szCs w:val="28"/>
        </w:rPr>
      </w:pPr>
      <w:r>
        <w:rPr>
          <w:rFonts w:ascii="Times New Roman" w:hAnsi="Times New Roman"/>
          <w:sz w:val="28"/>
          <w:szCs w:val="28"/>
        </w:rPr>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У відповідності до Конституції України та статті 54-1 Закону України “Про місцеве самоврядування в Україні”, Положення про старосту та іншим нормативно-правовими актам, що визначають порядок його діяльності, звітую про роботу старости за 202</w:t>
      </w:r>
      <w:r>
        <w:rPr>
          <w:rFonts w:ascii="Times New Roman" w:hAnsi="Times New Roman"/>
          <w:sz w:val="28"/>
          <w:szCs w:val="28"/>
        </w:rPr>
        <w:t>4</w:t>
      </w:r>
      <w:r>
        <w:rPr>
          <w:rFonts w:ascii="Times New Roman" w:hAnsi="Times New Roman"/>
          <w:sz w:val="28"/>
          <w:szCs w:val="28"/>
        </w:rPr>
        <w:t xml:space="preserve"> рік. </w:t>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При виконанні обов’язків, визначених посадовою інструкцією та повноважень, наданих Положенням про старосту, дотримуюсь вимог чинного законодавства України, рішень міської ради, виконавчого комітету міської ради та розпоряджень міського голови.</w:t>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Основними напрямками діяльності у звітному періоді були: добудова Заборольської школи, розвиток та експлуатаційне утримання об'єктів інфраструктури на території старостинського округу; забезпечення благоустрою населених пунктів; вирішення соціальних питань жителів громади.</w:t>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 xml:space="preserve">Протягом </w:t>
      </w:r>
      <w:r>
        <w:rPr>
          <w:rFonts w:ascii="Times New Roman" w:hAnsi="Times New Roman"/>
          <w:sz w:val="28"/>
          <w:szCs w:val="28"/>
        </w:rPr>
        <w:t xml:space="preserve">2024 </w:t>
      </w:r>
      <w:r>
        <w:rPr>
          <w:rFonts w:ascii="Times New Roman" w:hAnsi="Times New Roman"/>
          <w:sz w:val="28"/>
          <w:szCs w:val="28"/>
        </w:rPr>
        <w:t xml:space="preserve">року </w:t>
      </w:r>
      <w:r>
        <w:rPr>
          <w:rFonts w:ascii="Times New Roman" w:hAnsi="Times New Roman"/>
          <w:sz w:val="28"/>
          <w:szCs w:val="28"/>
        </w:rPr>
        <w:t>на території старостинського округу</w:t>
      </w:r>
      <w:r>
        <w:rPr>
          <w:rFonts w:ascii="Times New Roman" w:hAnsi="Times New Roman"/>
          <w:sz w:val="28"/>
          <w:szCs w:val="28"/>
        </w:rPr>
        <w:t xml:space="preserve">  було виконано такі роботи:</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проїзду з вулиці Богдана Хмельницького на вулицю Світла в селі Забороль;</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проїзду з вулиці Шевченка на вулицю Богдана Хмельницького в селі Забороль;</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вулиці Володимирська (на ділянці від будинку №43 до будинку №55а) в селі Забороль;</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вулиці Лисенка на ділянці від вулиці Гончарівка в місті Луцьку до будинку №126 (виправлення профілю щебеневого покриття з додаванням нового матеріалу) в селі Великий Омеляник;</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вулиці Проєктна на ділянці від вул. Педагогічна до вул. Львівська в селі Великий Омеляник;</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вулиці Ювілейна (виправлення щебеневого покриття з додаванням нового матеріалу) в селі Великий Омеляник;</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вулиці Вереснева (виправлення щебеневого покриття з додаванням нового матеріалу) в селі Великий Омеляник;</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поточний ремонт заїзду до будинку №27 з вулиці Нагірна в селі Великий Омеляник;</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ямковий ремонт дороги струменевим методом в селі Великий Омеляник по вулиці Проєктна, Набережна та Ранкова;  в селі Шепель по вулиці Миру;</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поточний ремонт пам'ятника загиблим воїнам-односельчанам в селі Шепель;</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ліквідовано стихійне сміттєзвалище в селі Сьомаки (урочище «Аеродром») та облаштовано місце для збору сміття на кладовищі в селі Шепель.</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 xml:space="preserve">Протягом 2024 року на території старостинського округу постійно здійснювався моніторинг благоустрою, за результатами якого проводилися: косіння трави, утримання клумб, налаштування вуличного освітлення, розчищення снігу, прибирання місць загального користування, прибирання кладовищ, видалення аварійних дерев та чагарників тощо. </w:t>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Брав участь у засіданнях виконавчого комітету міської ради, нарадах при міському голові, заступниках міського голови, нарадах департаменту житлово-комунального господарства.</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 xml:space="preserve">В період дії воєнного стану у приміщенні Заборольського старостинського округу діє “Пункт незламності”. </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У звітному періоді на території населених пунктів, що входять до Заборольського старостинського округу, здійснювався збір гуманітарної допомоги; проводилась видача гуманітарної допомоги для місцевих жителів.</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Окрім того, протягом 2024 року до Заборольського старостинського округу надійшло 295 звернень. За результатами розгляду звернень складено 100 актів обстеження підтвердження проживання/не проживання, про наявність пічного опалення; видано 144 довідок, виписок з погосподарського обліку та характеристик; вчинено 25 нотаріальних дій, складено і засвідчено 18 довіреностей, а також прийнято 13 пакетів документів від власників тварин для отримання дотації за вирощування  молодняк великої рогатої худоби та дотації за утримання трьох і більше корів власникам особистого селянського господарства; проведено перевірку фактів проживання внутрішньопереміщених осіб на території населених пунктів старостинського округу.</w:t>
      </w:r>
    </w:p>
    <w:p>
      <w:pPr>
        <w:pStyle w:val="Normal"/>
        <w:widowControl/>
        <w:suppressAutoHyphens w:val="true"/>
        <w:bidi w:val="0"/>
        <w:spacing w:before="0" w:after="0"/>
        <w:ind w:firstLine="567" w:left="0" w:right="0"/>
        <w:jc w:val="both"/>
        <w:rPr>
          <w:rFonts w:ascii="Times New Roman" w:hAnsi="Times New Roman"/>
        </w:rPr>
      </w:pPr>
      <w:r>
        <w:rPr>
          <w:rFonts w:ascii="Times New Roman" w:hAnsi="Times New Roman"/>
          <w:sz w:val="28"/>
          <w:szCs w:val="28"/>
        </w:rPr>
        <w:t>В старостинському окрузі проводиться перезакладання документів погосподарського обліку та ведення електронного реєстру об’єктів ПГО на новий період 2022-2026 рр. Станом на 31.12.2024 наявно 2581 об’єктів погосподарського обліку.</w:t>
      </w:r>
    </w:p>
    <w:p>
      <w:pPr>
        <w:pStyle w:val="BodyText"/>
        <w:widowControl/>
        <w:suppressAutoHyphens w:val="true"/>
        <w:bidi w:val="0"/>
        <w:spacing w:lineRule="auto" w:line="276" w:before="0" w:after="0"/>
        <w:ind w:firstLine="567" w:left="0" w:right="0"/>
        <w:jc w:val="both"/>
        <w:rPr>
          <w:rFonts w:ascii="Times New Roman" w:hAnsi="Times New Roman"/>
        </w:rPr>
      </w:pPr>
      <w:r>
        <w:rPr>
          <w:rFonts w:ascii="Times New Roman" w:hAnsi="Times New Roman"/>
          <w:sz w:val="28"/>
          <w:szCs w:val="28"/>
        </w:rPr>
        <w:t xml:space="preserve">Протягом звітного періоду </w:t>
      </w:r>
      <w:r>
        <w:rPr>
          <w:rFonts w:ascii="Times New Roman" w:hAnsi="Times New Roman"/>
          <w:sz w:val="28"/>
          <w:szCs w:val="28"/>
        </w:rPr>
        <w:t xml:space="preserve">брав участь </w:t>
      </w:r>
      <w:r>
        <w:rPr>
          <w:rFonts w:ascii="Times New Roman" w:hAnsi="Times New Roman"/>
          <w:sz w:val="28"/>
          <w:szCs w:val="28"/>
        </w:rPr>
        <w:t>у</w:t>
      </w:r>
      <w:r>
        <w:rPr>
          <w:rFonts w:ascii="Times New Roman" w:hAnsi="Times New Roman"/>
          <w:sz w:val="28"/>
          <w:szCs w:val="28"/>
        </w:rPr>
        <w:t xml:space="preserve"> тренінгах, круглих столах, </w:t>
      </w:r>
      <w:r>
        <w:rPr>
          <w:rFonts w:ascii="Times New Roman" w:hAnsi="Times New Roman"/>
          <w:sz w:val="28"/>
          <w:szCs w:val="28"/>
        </w:rPr>
        <w:t xml:space="preserve">інформаційних сесіях проєкту USAID «ГОВЕРЛА», а також </w:t>
      </w:r>
      <w:r>
        <w:rPr>
          <w:rFonts w:ascii="Times New Roman" w:hAnsi="Times New Roman"/>
          <w:sz w:val="28"/>
          <w:szCs w:val="28"/>
        </w:rPr>
        <w:t xml:space="preserve">підвищив кваліфікацію за спеціальними короткостроковими програмами </w:t>
      </w:r>
      <w:r>
        <w:rPr>
          <w:rFonts w:ascii="Times New Roman" w:hAnsi="Times New Roman"/>
          <w:sz w:val="28"/>
          <w:szCs w:val="28"/>
        </w:rPr>
        <w:t>та брав участь і тренінгах, круглих столах на тему</w:t>
      </w:r>
      <w:r>
        <w:rPr>
          <w:rFonts w:ascii="Times New Roman" w:hAnsi="Times New Roman"/>
          <w:sz w:val="28"/>
          <w:szCs w:val="28"/>
        </w:rPr>
        <w:t xml:space="preserve">: </w:t>
      </w:r>
      <w:r>
        <w:rPr>
          <w:rFonts w:ascii="Times New Roman" w:hAnsi="Times New Roman"/>
          <w:b w:val="false"/>
          <w:bCs w:val="false"/>
          <w:sz w:val="28"/>
          <w:szCs w:val="28"/>
          <w:u w:val="none"/>
        </w:rPr>
        <w:t>«Особливості імплементації Закону України «Про адміністративну процедуру», «Інформування органів місцевого самоврядування  щодо вирощування худоби господарствами населення, правил ідентифікації сільськогосподарських тварин, умов оподаткування доходів та спрощення нарахування субсидій для населення», «Цифровізація державного сектору», «Порядок та особливості посвідчення заповітів посадовими особами місцевого самоврядування», «Порядок та особливості посвідчення довіреностей посадовими особами місцевого самоврядування»,</w:t>
      </w:r>
      <w:r>
        <w:rPr>
          <w:rFonts w:ascii="Times New Roman" w:hAnsi="Times New Roman"/>
          <w:b w:val="false"/>
          <w:bCs w:val="false"/>
          <w:sz w:val="28"/>
          <w:szCs w:val="28"/>
          <w:u w:val="none"/>
        </w:rPr>
        <w:t xml:space="preserve"> «Про адміністративну процедуру»: можливості для належного застосування, актуальні виклики, можливі рішення для органів місцевого самоврядування», «</w:t>
      </w:r>
      <w:r>
        <w:rPr>
          <w:rFonts w:ascii="Times New Roman" w:hAnsi="Times New Roman"/>
          <w:b w:val="false"/>
          <w:bCs w:val="false"/>
          <w:sz w:val="28"/>
          <w:szCs w:val="28"/>
          <w:u w:val="none"/>
          <w:lang w:val="uk-UA"/>
        </w:rPr>
        <w:t xml:space="preserve">Cоціально-психологічні аспекти діяльності публічного службовця», «Про адміністративну процедуру» органами місцевого самоврядування. Запитання-відповіді», </w:t>
      </w:r>
      <w:r>
        <w:rPr>
          <w:rFonts w:ascii="Times New Roman" w:hAnsi="Times New Roman"/>
          <w:b w:val="false"/>
          <w:bCs w:val="false"/>
          <w:sz w:val="28"/>
          <w:szCs w:val="28"/>
          <w:u w:val="none"/>
          <w:lang w:val="en-US"/>
        </w:rPr>
        <w:t>“</w:t>
      </w:r>
      <w:r>
        <w:rPr>
          <w:rFonts w:ascii="Times New Roman" w:hAnsi="Times New Roman"/>
          <w:b w:val="false"/>
          <w:bCs w:val="false"/>
          <w:sz w:val="28"/>
          <w:szCs w:val="28"/>
          <w:u w:val="none"/>
          <w:lang w:val="uk-UA"/>
        </w:rPr>
        <w:t xml:space="preserve">Ефективна комунікація у соціальних мережах», </w:t>
      </w:r>
      <w:r>
        <w:rPr>
          <w:rFonts w:ascii="Times New Roman" w:hAnsi="Times New Roman"/>
          <w:b w:val="false"/>
          <w:bCs w:val="false"/>
          <w:sz w:val="28"/>
          <w:szCs w:val="28"/>
          <w:u w:val="none"/>
          <w:lang w:val="en-US"/>
        </w:rPr>
        <w:t xml:space="preserve"> </w:t>
      </w:r>
      <w:r>
        <w:rPr>
          <w:rFonts w:ascii="Times New Roman" w:hAnsi="Times New Roman"/>
          <w:b w:val="false"/>
          <w:bCs w:val="false"/>
          <w:sz w:val="28"/>
          <w:szCs w:val="28"/>
          <w:u w:val="none"/>
          <w:lang w:val="uk-UA"/>
        </w:rPr>
        <w:t>«</w:t>
      </w:r>
      <w:r>
        <w:rPr>
          <w:rFonts w:ascii="Times New Roman" w:hAnsi="Times New Roman"/>
          <w:b w:val="false"/>
          <w:bCs w:val="false"/>
          <w:sz w:val="28"/>
          <w:szCs w:val="28"/>
          <w:u w:val="none"/>
          <w:lang w:val="en-US"/>
        </w:rPr>
        <w:t>Державно-приватне партнерство – інструмент розвитку територіальної громади та її інфраструктур</w:t>
      </w:r>
      <w:r>
        <w:rPr>
          <w:rFonts w:ascii="Times New Roman" w:hAnsi="Times New Roman"/>
          <w:b w:val="false"/>
          <w:bCs w:val="false"/>
          <w:sz w:val="28"/>
          <w:szCs w:val="28"/>
          <w:u w:val="none"/>
          <w:lang w:val="uk-UA"/>
        </w:rPr>
        <w:t>и</w:t>
      </w:r>
      <w:r>
        <w:rPr>
          <w:rFonts w:ascii="Times New Roman" w:hAnsi="Times New Roman"/>
          <w:b w:val="false"/>
          <w:bCs w:val="false"/>
          <w:sz w:val="28"/>
          <w:szCs w:val="28"/>
          <w:u w:val="none"/>
          <w:lang w:val="uk-UA"/>
        </w:rPr>
        <w:t>».</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 xml:space="preserve">Першочергові заходи, які потребують реалізації, подано </w:t>
      </w:r>
      <w:r>
        <w:rPr>
          <w:rFonts w:cs="Times New Roman" w:ascii="Times New Roman" w:hAnsi="Times New Roman"/>
          <w:color w:val="000000"/>
          <w:sz w:val="28"/>
          <w:szCs w:val="28"/>
          <w:lang w:val="uk-UA"/>
        </w:rPr>
        <w:t xml:space="preserve">до </w:t>
      </w:r>
      <w:r>
        <w:rPr>
          <w:rFonts w:cs="Times New Roman" w:ascii="Times New Roman" w:hAnsi="Times New Roman"/>
          <w:color w:val="000000"/>
          <w:sz w:val="28"/>
          <w:szCs w:val="28"/>
        </w:rPr>
        <w:t>Програми соціально-економічного розвитку Луцької міської територіальної громади на 2025 рік. Зокрема, невирішеними залишаються питання:</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добудова комунального закладу загальної середньої освіти "Заборольський ліцей № 32 Луцької міської ради";</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влаштування твердого покриття на комунальних дорогах старостинського округу;</w:t>
      </w:r>
    </w:p>
    <w:p>
      <w:pPr>
        <w:pStyle w:val="Normal"/>
        <w:widowControl/>
        <w:suppressAutoHyphens w:val="true"/>
        <w:bidi w:val="0"/>
        <w:spacing w:before="0" w:after="0"/>
        <w:ind w:firstLine="567" w:left="0" w:right="0"/>
        <w:jc w:val="both"/>
        <w:rPr>
          <w:rFonts w:ascii="Times New Roman" w:hAnsi="Times New Roman"/>
        </w:rPr>
      </w:pPr>
      <w:r>
        <w:rPr>
          <w:rFonts w:cs="Times New Roman" w:ascii="Times New Roman" w:hAnsi="Times New Roman"/>
          <w:color w:val="000000"/>
          <w:sz w:val="28"/>
          <w:szCs w:val="28"/>
        </w:rPr>
        <w:t>ремонт доріг в селах Антонівка, Всеволодівка, Сьомаки та Охотин, які перебувають на обслуговуванні ДП «Служба місцевих автомобільних доріг у Волинській області».</w:t>
      </w:r>
    </w:p>
    <w:p>
      <w:pPr>
        <w:pStyle w:val="BodyText"/>
        <w:widowControl/>
        <w:suppressAutoHyphens w:val="true"/>
        <w:bidi w:val="0"/>
        <w:spacing w:lineRule="auto" w:line="276" w:before="0" w:after="0"/>
        <w:ind w:firstLine="567" w:left="0" w:right="0"/>
        <w:jc w:val="both"/>
        <w:rPr>
          <w:sz w:val="28"/>
          <w:szCs w:val="28"/>
        </w:rPr>
      </w:pPr>
      <w:r>
        <w:rPr>
          <w:sz w:val="28"/>
          <w:szCs w:val="28"/>
        </w:rPr>
      </w:r>
    </w:p>
    <w:p>
      <w:pPr>
        <w:pStyle w:val="BodyText"/>
        <w:widowControl/>
        <w:suppressAutoHyphens w:val="true"/>
        <w:bidi w:val="0"/>
        <w:spacing w:lineRule="auto" w:line="276" w:before="0" w:after="0"/>
        <w:ind w:firstLine="567" w:left="0" w:right="0"/>
        <w:jc w:val="both"/>
        <w:rPr>
          <w:sz w:val="28"/>
          <w:szCs w:val="28"/>
        </w:rPr>
      </w:pPr>
      <w:r>
        <w:rPr>
          <w:sz w:val="28"/>
          <w:szCs w:val="28"/>
        </w:rPr>
      </w:r>
    </w:p>
    <w:p>
      <w:pPr>
        <w:pStyle w:val="BodyText"/>
        <w:widowControl/>
        <w:suppressAutoHyphens w:val="true"/>
        <w:bidi w:val="0"/>
        <w:spacing w:lineRule="auto" w:line="276" w:before="0" w:after="0"/>
        <w:ind w:hanging="0" w:left="0" w:right="0"/>
        <w:jc w:val="both"/>
        <w:rPr>
          <w:sz w:val="28"/>
          <w:szCs w:val="28"/>
        </w:rPr>
      </w:pPr>
      <w:r>
        <w:rPr>
          <w:rFonts w:ascii="Times New Roman" w:hAnsi="Times New Roman"/>
          <w:sz w:val="28"/>
          <w:szCs w:val="28"/>
        </w:rPr>
        <w:t xml:space="preserve">Староста Заборольського </w:t>
      </w:r>
    </w:p>
    <w:p>
      <w:pPr>
        <w:pStyle w:val="BodyText"/>
        <w:widowControl/>
        <w:suppressAutoHyphens w:val="true"/>
        <w:bidi w:val="0"/>
        <w:spacing w:lineRule="auto" w:line="276" w:before="0" w:after="0"/>
        <w:ind w:hanging="0" w:left="0" w:right="0"/>
        <w:jc w:val="both"/>
        <w:rPr>
          <w:sz w:val="28"/>
          <w:szCs w:val="28"/>
        </w:rPr>
      </w:pPr>
      <w:r>
        <w:rPr>
          <w:rFonts w:ascii="Times New Roman" w:hAnsi="Times New Roman"/>
          <w:sz w:val="28"/>
          <w:szCs w:val="28"/>
        </w:rPr>
        <w:t>старостинського округу                                                        Валерій БОЯРСЬКИЙ</w:t>
      </w:r>
    </w:p>
    <w:p>
      <w:pPr>
        <w:pStyle w:val="BodyText"/>
        <w:widowControl/>
        <w:suppressAutoHyphens w:val="true"/>
        <w:bidi w:val="0"/>
        <w:spacing w:lineRule="auto" w:line="276" w:before="0" w:after="0"/>
        <w:ind w:firstLine="567" w:left="0" w:right="0"/>
        <w:jc w:val="both"/>
        <w:rPr>
          <w:sz w:val="28"/>
          <w:szCs w:val="28"/>
        </w:rPr>
      </w:pPr>
      <w:r>
        <w:rPr>
          <w:sz w:val="28"/>
          <w:szCs w:val="28"/>
        </w:rPr>
      </w:r>
    </w:p>
    <w:p>
      <w:pPr>
        <w:pStyle w:val="BodyText"/>
        <w:widowControl/>
        <w:suppressAutoHyphens w:val="true"/>
        <w:bidi w:val="0"/>
        <w:spacing w:lineRule="auto" w:line="276" w:before="0" w:after="0"/>
        <w:ind w:hanging="0" w:left="0" w:right="0"/>
        <w:jc w:val="both"/>
        <w:rPr>
          <w:sz w:val="28"/>
          <w:szCs w:val="28"/>
        </w:rPr>
      </w:pPr>
      <w:r>
        <w:rPr>
          <w:sz w:val="28"/>
          <w:szCs w:val="28"/>
        </w:rPr>
      </w:r>
    </w:p>
    <w:sectPr>
      <w:type w:val="nextPage"/>
      <w:pgSz w:w="11906" w:h="16838"/>
      <w:pgMar w:left="1722" w:right="605"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52</TotalTime>
  <Application>LibreOffice/24.2.0.3$Windows_X86_64 LibreOffice_project/da48488a73ddd66ea24cf16bbc4f7b9c08e9bea1</Application>
  <AppVersion>15.0000</AppVersion>
  <Pages>3</Pages>
  <Words>686</Words>
  <Characters>5072</Characters>
  <CharactersWithSpaces>5795</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2025-02-10T12:14:56Z</cp:lastPrinted>
  <dcterms:modified xsi:type="dcterms:W3CDTF">2025-02-10T12:39:46Z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