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tbl>
      <w:tblPr>
        <w:tblW w:w="10632" w:type="dxa"/>
        <w:jc w:val="left"/>
        <w:tblInd w:w="-210" w:type="dxa"/>
        <w:tblLayout w:type="fixed"/>
        <w:tblCellMar>
          <w:top w:w="0" w:type="dxa"/>
          <w:left w:w="108" w:type="dxa"/>
          <w:bottom w:w="0" w:type="dxa"/>
          <w:right w:w="108" w:type="dxa"/>
        </w:tblCellMar>
        <w:tblLook w:val="04a0"/>
      </w:tblPr>
      <w:tblGrid>
        <w:gridCol w:w="981"/>
        <w:gridCol w:w="2140"/>
        <w:gridCol w:w="1319"/>
        <w:gridCol w:w="1302"/>
        <w:gridCol w:w="1360"/>
        <w:gridCol w:w="999"/>
        <w:gridCol w:w="1341"/>
        <w:gridCol w:w="1188"/>
      </w:tblGrid>
      <w:tr>
        <w:trPr>
          <w:trHeight w:val="255" w:hRule="atLeast"/>
        </w:trPr>
        <w:tc>
          <w:tcPr>
            <w:tcW w:w="10630" w:type="dxa"/>
            <w:gridSpan w:val="8"/>
            <w:tcBorders/>
            <w:shd w:color="auto" w:fill="auto" w:val="clear"/>
            <w:vAlign w:val="bottom"/>
          </w:tcPr>
          <w:p>
            <w:pPr>
              <w:pStyle w:val="Normal"/>
              <w:suppressAutoHyphens w:val="false"/>
              <w:jc w:val="center"/>
              <w:rPr>
                <w:sz w:val="28"/>
                <w:szCs w:val="28"/>
                <w:lang w:val="uk-UA" w:eastAsia="uk-UA"/>
              </w:rPr>
            </w:pPr>
            <w:bookmarkStart w:id="0" w:name="RANGE!A1%253AI103"/>
            <w:r>
              <w:rPr>
                <w:sz w:val="28"/>
                <w:szCs w:val="28"/>
                <w:lang w:val="uk-UA" w:eastAsia="uk-UA"/>
              </w:rPr>
              <w:t>Інформація</w:t>
            </w:r>
            <w:bookmarkEnd w:id="0"/>
          </w:p>
        </w:tc>
      </w:tr>
      <w:tr>
        <w:trPr>
          <w:trHeight w:val="255" w:hRule="atLeast"/>
        </w:trPr>
        <w:tc>
          <w:tcPr>
            <w:tcW w:w="10630" w:type="dxa"/>
            <w:gridSpan w:val="8"/>
            <w:tcBorders/>
            <w:shd w:color="auto" w:fill="auto" w:val="clear"/>
            <w:vAlign w:val="bottom"/>
          </w:tcPr>
          <w:p>
            <w:pPr>
              <w:pStyle w:val="Normal"/>
              <w:suppressAutoHyphens w:val="false"/>
              <w:jc w:val="center"/>
              <w:rPr>
                <w:sz w:val="28"/>
                <w:szCs w:val="28"/>
                <w:lang w:val="uk-UA" w:eastAsia="uk-UA"/>
              </w:rPr>
            </w:pPr>
            <w:r>
              <w:rPr>
                <w:sz w:val="28"/>
                <w:szCs w:val="28"/>
                <w:lang w:val="uk-UA" w:eastAsia="uk-UA"/>
              </w:rPr>
              <w:t>про виконання бюджету Луцької міської територіальної громади</w:t>
            </w:r>
          </w:p>
        </w:tc>
      </w:tr>
      <w:tr>
        <w:trPr>
          <w:trHeight w:val="255" w:hRule="atLeast"/>
        </w:trPr>
        <w:tc>
          <w:tcPr>
            <w:tcW w:w="10630" w:type="dxa"/>
            <w:gridSpan w:val="8"/>
            <w:tcBorders/>
            <w:shd w:color="auto" w:fill="auto" w:val="clear"/>
            <w:vAlign w:val="bottom"/>
          </w:tcPr>
          <w:p>
            <w:pPr>
              <w:pStyle w:val="Normal"/>
              <w:suppressAutoHyphens w:val="false"/>
              <w:jc w:val="center"/>
              <w:rPr>
                <w:sz w:val="28"/>
                <w:szCs w:val="28"/>
                <w:lang w:val="uk-UA" w:eastAsia="uk-UA"/>
              </w:rPr>
            </w:pPr>
            <w:r>
              <w:rPr>
                <w:sz w:val="28"/>
                <w:szCs w:val="28"/>
                <w:lang w:val="uk-UA" w:eastAsia="uk-UA"/>
              </w:rPr>
              <w:t>за 2024 рік</w:t>
            </w:r>
          </w:p>
        </w:tc>
      </w:tr>
      <w:tr>
        <w:trPr>
          <w:trHeight w:val="255" w:hRule="exact"/>
        </w:trPr>
        <w:tc>
          <w:tcPr>
            <w:tcW w:w="10630" w:type="dxa"/>
            <w:gridSpan w:val="8"/>
            <w:tcBorders/>
            <w:shd w:color="auto" w:fill="auto" w:val="clear"/>
            <w:vAlign w:val="bottom"/>
          </w:tcPr>
          <w:p>
            <w:pPr>
              <w:pStyle w:val="Normal"/>
              <w:suppressAutoHyphens w:val="false"/>
              <w:jc w:val="center"/>
              <w:rPr>
                <w:sz w:val="28"/>
                <w:szCs w:val="28"/>
                <w:lang w:val="uk-UA" w:eastAsia="uk-UA"/>
              </w:rPr>
            </w:pPr>
            <w:r>
              <w:rPr>
                <w:sz w:val="28"/>
                <w:szCs w:val="28"/>
                <w:lang w:val="uk-UA" w:eastAsia="uk-UA"/>
              </w:rPr>
            </w:r>
          </w:p>
        </w:tc>
      </w:tr>
      <w:tr>
        <w:trPr>
          <w:trHeight w:val="255" w:hRule="atLeast"/>
        </w:trPr>
        <w:tc>
          <w:tcPr>
            <w:tcW w:w="10630" w:type="dxa"/>
            <w:gridSpan w:val="8"/>
            <w:tcBorders/>
            <w:shd w:color="auto" w:fill="auto" w:val="clear"/>
            <w:vAlign w:val="bottom"/>
          </w:tcPr>
          <w:p>
            <w:pPr>
              <w:pStyle w:val="Normal"/>
              <w:suppressAutoHyphens w:val="false"/>
              <w:jc w:val="center"/>
              <w:rPr>
                <w:sz w:val="28"/>
                <w:szCs w:val="28"/>
                <w:lang w:val="uk-UA" w:eastAsia="uk-UA"/>
              </w:rPr>
            </w:pPr>
            <w:r>
              <w:rPr>
                <w:sz w:val="28"/>
                <w:szCs w:val="28"/>
                <w:lang w:val="uk-UA" w:eastAsia="uk-UA"/>
              </w:rPr>
              <w:t>Порівняльна таблиця п</w:t>
            </w:r>
            <w:r>
              <w:rPr>
                <w:sz w:val="28"/>
                <w:szCs w:val="28"/>
                <w:lang w:val="uk-UA" w:eastAsia="uk-UA"/>
              </w:rPr>
              <w:t>р</w:t>
            </w:r>
            <w:r>
              <w:rPr>
                <w:sz w:val="28"/>
                <w:szCs w:val="28"/>
                <w:lang w:val="uk-UA" w:eastAsia="uk-UA"/>
              </w:rPr>
              <w:t>о надходження коштів до бюджету громади</w:t>
            </w:r>
          </w:p>
        </w:tc>
      </w:tr>
      <w:tr>
        <w:trPr>
          <w:trHeight w:val="255" w:hRule="atLeast"/>
        </w:trPr>
        <w:tc>
          <w:tcPr>
            <w:tcW w:w="10630" w:type="dxa"/>
            <w:gridSpan w:val="8"/>
            <w:tcBorders/>
            <w:shd w:color="auto" w:fill="auto" w:val="clear"/>
            <w:vAlign w:val="bottom"/>
          </w:tcPr>
          <w:p>
            <w:pPr>
              <w:pStyle w:val="Normal"/>
              <w:suppressAutoHyphens w:val="false"/>
              <w:jc w:val="center"/>
              <w:rPr>
                <w:sz w:val="28"/>
                <w:szCs w:val="28"/>
                <w:lang w:val="uk-UA" w:eastAsia="uk-UA"/>
              </w:rPr>
            </w:pPr>
            <w:r>
              <w:rPr>
                <w:sz w:val="28"/>
                <w:szCs w:val="28"/>
                <w:lang w:val="uk-UA" w:eastAsia="uk-UA"/>
              </w:rPr>
              <w:t>за 202</w:t>
            </w:r>
            <w:r>
              <w:rPr>
                <w:sz w:val="28"/>
                <w:szCs w:val="28"/>
                <w:lang w:val="uk-UA" w:eastAsia="uk-UA"/>
              </w:rPr>
              <w:t>4</w:t>
            </w:r>
            <w:r>
              <w:rPr>
                <w:sz w:val="28"/>
                <w:szCs w:val="28"/>
                <w:lang w:val="uk-UA" w:eastAsia="uk-UA"/>
              </w:rPr>
              <w:t>-202</w:t>
            </w:r>
            <w:r>
              <w:rPr>
                <w:sz w:val="28"/>
                <w:szCs w:val="28"/>
                <w:lang w:val="uk-UA" w:eastAsia="uk-UA"/>
              </w:rPr>
              <w:t>3</w:t>
            </w:r>
            <w:r>
              <w:rPr>
                <w:sz w:val="28"/>
                <w:szCs w:val="28"/>
                <w:lang w:val="uk-UA" w:eastAsia="uk-UA"/>
              </w:rPr>
              <w:t xml:space="preserve"> роки</w:t>
            </w:r>
          </w:p>
        </w:tc>
      </w:tr>
      <w:tr>
        <w:trPr>
          <w:trHeight w:val="255" w:hRule="exact"/>
        </w:trPr>
        <w:tc>
          <w:tcPr>
            <w:tcW w:w="10630" w:type="dxa"/>
            <w:gridSpan w:val="8"/>
            <w:tcBorders/>
            <w:shd w:color="auto" w:fill="auto" w:val="clear"/>
            <w:vAlign w:val="bottom"/>
          </w:tcPr>
          <w:p>
            <w:pPr>
              <w:pStyle w:val="Normal"/>
              <w:suppressAutoHyphens w:val="false"/>
              <w:jc w:val="center"/>
              <w:rPr>
                <w:rFonts w:ascii="Arial" w:hAnsi="Arial" w:cs="Arial"/>
                <w:lang w:val="uk-UA" w:eastAsia="uk-UA"/>
              </w:rPr>
            </w:pPr>
            <w:r>
              <w:rPr>
                <w:rFonts w:cs="Arial" w:ascii="Arial" w:hAnsi="Arial"/>
                <w:lang w:val="uk-UA" w:eastAsia="uk-UA"/>
              </w:rPr>
            </w:r>
          </w:p>
        </w:tc>
      </w:tr>
      <w:tr>
        <w:trPr>
          <w:trHeight w:val="270" w:hRule="atLeast"/>
        </w:trPr>
        <w:tc>
          <w:tcPr>
            <w:tcW w:w="10630" w:type="dxa"/>
            <w:gridSpan w:val="8"/>
            <w:tcBorders/>
            <w:shd w:color="auto" w:fill="auto" w:val="clear"/>
            <w:vAlign w:val="bottom"/>
          </w:tcPr>
          <w:p>
            <w:pPr>
              <w:pStyle w:val="Normal"/>
              <w:suppressAutoHyphens w:val="false"/>
              <w:jc w:val="right"/>
              <w:rPr>
                <w:rFonts w:ascii="Arial" w:hAnsi="Arial" w:cs="Arial"/>
                <w:lang w:val="uk-UA" w:eastAsia="uk-UA"/>
              </w:rPr>
            </w:pPr>
            <w:r>
              <w:rPr>
                <w:rFonts w:cs="Arial" w:ascii="Arial" w:hAnsi="Arial"/>
                <w:lang w:val="uk-UA" w:eastAsia="uk-UA"/>
              </w:rPr>
              <w:t>тис.грн</w:t>
            </w:r>
          </w:p>
        </w:tc>
      </w:tr>
      <w:tr>
        <w:trPr>
          <w:trHeight w:val="765" w:hRule="atLeast"/>
        </w:trPr>
        <w:tc>
          <w:tcPr>
            <w:tcW w:w="981" w:type="dxa"/>
            <w:vMerge w:val="restart"/>
            <w:tcBorders>
              <w:top w:val="single" w:sz="8" w:space="0" w:color="000000"/>
              <w:left w:val="single" w:sz="8" w:space="0" w:color="000000"/>
              <w:bottom w:val="single" w:sz="8" w:space="0" w:color="000000"/>
              <w:right w:val="single" w:sz="8" w:space="0" w:color="000000"/>
            </w:tcBorders>
            <w:shd w:color="auto" w:fill="auto" w:val="clear"/>
            <w:vAlign w:val="center"/>
          </w:tcPr>
          <w:p>
            <w:pPr>
              <w:pStyle w:val="Normal"/>
              <w:suppressAutoHyphens w:val="false"/>
              <w:jc w:val="center"/>
              <w:rPr>
                <w:color w:val="000000"/>
                <w:lang w:val="uk-UA" w:eastAsia="uk-UA"/>
              </w:rPr>
            </w:pPr>
            <w:r>
              <w:rPr>
                <w:color w:val="000000"/>
                <w:lang w:val="uk-UA" w:eastAsia="uk-UA"/>
              </w:rPr>
              <w:t>Код</w:t>
            </w:r>
          </w:p>
        </w:tc>
        <w:tc>
          <w:tcPr>
            <w:tcW w:w="2140" w:type="dxa"/>
            <w:tcBorders>
              <w:top w:val="single" w:sz="8" w:space="0" w:color="000000"/>
            </w:tcBorders>
            <w:shd w:color="auto" w:fill="auto" w:val="clear"/>
            <w:vAlign w:val="center"/>
          </w:tcPr>
          <w:p>
            <w:pPr>
              <w:pStyle w:val="Normal"/>
              <w:suppressAutoHyphens w:val="false"/>
              <w:jc w:val="center"/>
              <w:rPr>
                <w:color w:val="000000"/>
                <w:lang w:val="uk-UA" w:eastAsia="uk-UA"/>
              </w:rPr>
            </w:pPr>
            <w:r>
              <w:rPr>
                <w:color w:val="000000"/>
                <w:lang w:val="uk-UA" w:eastAsia="uk-UA"/>
              </w:rPr>
            </w:r>
          </w:p>
        </w:tc>
        <w:tc>
          <w:tcPr>
            <w:tcW w:w="1319" w:type="dxa"/>
            <w:tcBorders>
              <w:top w:val="single" w:sz="8" w:space="0" w:color="000000"/>
              <w:left w:val="single" w:sz="8" w:space="0" w:color="000000"/>
              <w:right w:val="single" w:sz="8" w:space="0" w:color="000000"/>
            </w:tcBorders>
            <w:shd w:color="auto" w:fill="auto" w:val="clear"/>
            <w:vAlign w:val="center"/>
          </w:tcPr>
          <w:p>
            <w:pPr>
              <w:pStyle w:val="Normal"/>
              <w:suppressAutoHyphens w:val="false"/>
              <w:jc w:val="center"/>
              <w:rPr>
                <w:color w:val="000000"/>
                <w:lang w:val="uk-UA" w:eastAsia="uk-UA"/>
              </w:rPr>
            </w:pPr>
            <w:r>
              <w:rPr>
                <w:color w:val="000000"/>
                <w:lang w:val="uk-UA" w:eastAsia="uk-UA"/>
              </w:rPr>
              <w:t>Бюджет         на</w:t>
            </w:r>
          </w:p>
        </w:tc>
        <w:tc>
          <w:tcPr>
            <w:tcW w:w="1302" w:type="dxa"/>
            <w:tcBorders>
              <w:top w:val="single" w:sz="8" w:space="0" w:color="000000"/>
              <w:right w:val="single" w:sz="8" w:space="0" w:color="000000"/>
            </w:tcBorders>
            <w:shd w:color="auto" w:fill="auto" w:val="clear"/>
            <w:vAlign w:val="center"/>
          </w:tcPr>
          <w:p>
            <w:pPr>
              <w:pStyle w:val="Normal"/>
              <w:suppressAutoHyphens w:val="false"/>
              <w:jc w:val="center"/>
              <w:rPr>
                <w:color w:val="000000"/>
                <w:lang w:val="uk-UA" w:eastAsia="uk-UA"/>
              </w:rPr>
            </w:pPr>
            <w:r>
              <w:rPr>
                <w:color w:val="000000"/>
                <w:lang w:val="uk-UA" w:eastAsia="uk-UA"/>
              </w:rPr>
              <w:t>Уточнений бюджет    на</w:t>
            </w:r>
          </w:p>
        </w:tc>
        <w:tc>
          <w:tcPr>
            <w:tcW w:w="1360" w:type="dxa"/>
            <w:tcBorders>
              <w:top w:val="single" w:sz="8" w:space="0" w:color="000000"/>
              <w:right w:val="single" w:sz="8" w:space="0" w:color="000000"/>
            </w:tcBorders>
            <w:shd w:color="auto" w:fill="auto" w:val="clear"/>
            <w:vAlign w:val="center"/>
          </w:tcPr>
          <w:p>
            <w:pPr>
              <w:pStyle w:val="Normal"/>
              <w:suppressAutoHyphens w:val="false"/>
              <w:jc w:val="center"/>
              <w:rPr>
                <w:color w:val="000000"/>
                <w:lang w:val="uk-UA" w:eastAsia="uk-UA"/>
              </w:rPr>
            </w:pPr>
            <w:r>
              <w:rPr>
                <w:color w:val="000000"/>
                <w:lang w:val="uk-UA" w:eastAsia="uk-UA"/>
              </w:rPr>
              <w:t>Надійшло  за</w:t>
            </w:r>
          </w:p>
        </w:tc>
        <w:tc>
          <w:tcPr>
            <w:tcW w:w="999" w:type="dxa"/>
            <w:vMerge w:val="restart"/>
            <w:tcBorders>
              <w:top w:val="single" w:sz="8" w:space="0" w:color="000000"/>
              <w:bottom w:val="single" w:sz="8" w:space="0" w:color="000000"/>
            </w:tcBorders>
            <w:shd w:color="auto" w:fill="auto" w:val="clear"/>
            <w:vAlign w:val="center"/>
          </w:tcPr>
          <w:p>
            <w:pPr>
              <w:pStyle w:val="Normal"/>
              <w:suppressAutoHyphens w:val="false"/>
              <w:jc w:val="center"/>
              <w:rPr>
                <w:color w:val="000000"/>
                <w:lang w:val="uk-UA" w:eastAsia="uk-UA"/>
              </w:rPr>
            </w:pPr>
            <w:r>
              <w:rPr>
                <w:color w:val="000000"/>
                <w:lang w:val="uk-UA" w:eastAsia="uk-UA"/>
              </w:rPr>
              <w:t>% викона-ння</w:t>
            </w:r>
          </w:p>
        </w:tc>
        <w:tc>
          <w:tcPr>
            <w:tcW w:w="1341" w:type="dxa"/>
            <w:tcBorders>
              <w:top w:val="single" w:sz="8" w:space="0" w:color="000000"/>
              <w:left w:val="single" w:sz="8" w:space="0" w:color="000000"/>
              <w:right w:val="single" w:sz="8" w:space="0" w:color="000000"/>
            </w:tcBorders>
            <w:shd w:color="auto" w:fill="auto" w:val="clear"/>
            <w:vAlign w:val="center"/>
          </w:tcPr>
          <w:p>
            <w:pPr>
              <w:pStyle w:val="Normal"/>
              <w:suppressAutoHyphens w:val="false"/>
              <w:jc w:val="center"/>
              <w:rPr>
                <w:color w:val="000000"/>
                <w:lang w:val="uk-UA" w:eastAsia="uk-UA"/>
              </w:rPr>
            </w:pPr>
            <w:r>
              <w:rPr>
                <w:color w:val="000000"/>
                <w:lang w:val="uk-UA" w:eastAsia="uk-UA"/>
              </w:rPr>
              <w:t>Надійшло  за</w:t>
            </w:r>
          </w:p>
        </w:tc>
        <w:tc>
          <w:tcPr>
            <w:tcW w:w="1188" w:type="dxa"/>
            <w:vMerge w:val="restart"/>
            <w:tcBorders>
              <w:top w:val="single" w:sz="8" w:space="0" w:color="000000"/>
              <w:bottom w:val="single" w:sz="8" w:space="0" w:color="000000"/>
              <w:right w:val="single" w:sz="8" w:space="0" w:color="000000"/>
            </w:tcBorders>
            <w:shd w:color="auto" w:fill="auto" w:val="clear"/>
            <w:vAlign w:val="center"/>
          </w:tcPr>
          <w:p>
            <w:pPr>
              <w:pStyle w:val="Normal"/>
              <w:suppressAutoHyphens w:val="false"/>
              <w:jc w:val="center"/>
              <w:rPr>
                <w:color w:val="000000"/>
                <w:lang w:val="uk-UA" w:eastAsia="uk-UA"/>
              </w:rPr>
            </w:pPr>
            <w:r>
              <w:rPr>
                <w:color w:val="000000"/>
                <w:lang w:val="uk-UA" w:eastAsia="uk-UA"/>
              </w:rPr>
              <w:t>+, -</w:t>
            </w:r>
          </w:p>
        </w:tc>
      </w:tr>
      <w:tr>
        <w:trPr>
          <w:trHeight w:val="270" w:hRule="atLeast"/>
        </w:trPr>
        <w:tc>
          <w:tcPr>
            <w:tcW w:w="981"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suppressAutoHyphens w:val="false"/>
              <w:rPr>
                <w:color w:val="000000"/>
                <w:lang w:val="uk-UA" w:eastAsia="uk-UA"/>
              </w:rPr>
            </w:pPr>
            <w:r>
              <w:rPr>
                <w:color w:val="000000"/>
                <w:lang w:val="uk-UA" w:eastAsia="uk-UA"/>
              </w:rPr>
            </w:r>
          </w:p>
        </w:tc>
        <w:tc>
          <w:tcPr>
            <w:tcW w:w="2140" w:type="dxa"/>
            <w:tcBorders/>
            <w:shd w:color="auto" w:fill="auto" w:val="clear"/>
            <w:vAlign w:val="center"/>
          </w:tcPr>
          <w:p>
            <w:pPr>
              <w:pStyle w:val="Normal"/>
              <w:suppressAutoHyphens w:val="false"/>
              <w:jc w:val="center"/>
              <w:rPr>
                <w:color w:val="000000"/>
                <w:lang w:val="uk-UA" w:eastAsia="uk-UA"/>
              </w:rPr>
            </w:pPr>
            <w:r>
              <w:rPr>
                <w:color w:val="000000"/>
                <w:lang w:val="uk-UA" w:eastAsia="uk-UA"/>
              </w:rPr>
              <w:t>Назва доходу</w:t>
            </w:r>
          </w:p>
        </w:tc>
        <w:tc>
          <w:tcPr>
            <w:tcW w:w="1319" w:type="dxa"/>
            <w:tcBorders>
              <w:left w:val="single" w:sz="8" w:space="0" w:color="000000"/>
              <w:right w:val="single" w:sz="8" w:space="0" w:color="000000"/>
            </w:tcBorders>
            <w:shd w:color="auto" w:fill="auto" w:val="clear"/>
            <w:vAlign w:val="center"/>
          </w:tcPr>
          <w:p>
            <w:pPr>
              <w:pStyle w:val="Normal"/>
              <w:suppressAutoHyphens w:val="false"/>
              <w:jc w:val="center"/>
              <w:rPr>
                <w:color w:val="000000"/>
                <w:lang w:val="uk-UA" w:eastAsia="uk-UA"/>
              </w:rPr>
            </w:pPr>
            <w:r>
              <w:rPr>
                <w:color w:val="000000"/>
                <w:lang w:val="uk-UA" w:eastAsia="uk-UA"/>
              </w:rPr>
              <w:t>2024 рік</w:t>
            </w:r>
          </w:p>
        </w:tc>
        <w:tc>
          <w:tcPr>
            <w:tcW w:w="1302" w:type="dxa"/>
            <w:tcBorders>
              <w:right w:val="single" w:sz="8" w:space="0" w:color="000000"/>
            </w:tcBorders>
            <w:shd w:color="auto" w:fill="auto" w:val="clear"/>
            <w:vAlign w:val="center"/>
          </w:tcPr>
          <w:p>
            <w:pPr>
              <w:pStyle w:val="Normal"/>
              <w:suppressAutoHyphens w:val="false"/>
              <w:jc w:val="center"/>
              <w:rPr>
                <w:color w:val="000000"/>
                <w:lang w:val="uk-UA" w:eastAsia="uk-UA"/>
              </w:rPr>
            </w:pPr>
            <w:r>
              <w:rPr>
                <w:color w:val="000000"/>
                <w:lang w:val="uk-UA" w:eastAsia="uk-UA"/>
              </w:rPr>
              <w:t>2024 рік</w:t>
            </w:r>
          </w:p>
        </w:tc>
        <w:tc>
          <w:tcPr>
            <w:tcW w:w="1360" w:type="dxa"/>
            <w:tcBorders>
              <w:right w:val="single" w:sz="8" w:space="0" w:color="000000"/>
            </w:tcBorders>
            <w:shd w:color="auto" w:fill="auto" w:val="clear"/>
            <w:vAlign w:val="center"/>
          </w:tcPr>
          <w:p>
            <w:pPr>
              <w:pStyle w:val="Normal"/>
              <w:suppressAutoHyphens w:val="false"/>
              <w:jc w:val="center"/>
              <w:rPr>
                <w:color w:val="000000"/>
                <w:lang w:val="uk-UA" w:eastAsia="uk-UA"/>
              </w:rPr>
            </w:pPr>
            <w:r>
              <w:rPr>
                <w:color w:val="000000"/>
                <w:lang w:val="uk-UA" w:eastAsia="uk-UA"/>
              </w:rPr>
              <w:t>2024 рік</w:t>
            </w:r>
          </w:p>
        </w:tc>
        <w:tc>
          <w:tcPr>
            <w:tcW w:w="999" w:type="dxa"/>
            <w:vMerge w:val="continue"/>
            <w:tcBorders>
              <w:top w:val="single" w:sz="8" w:space="0" w:color="000000"/>
              <w:bottom w:val="single" w:sz="8" w:space="0" w:color="000000"/>
            </w:tcBorders>
            <w:vAlign w:val="center"/>
          </w:tcPr>
          <w:p>
            <w:pPr>
              <w:pStyle w:val="Normal"/>
              <w:suppressAutoHyphens w:val="false"/>
              <w:rPr>
                <w:color w:val="000000"/>
                <w:lang w:val="uk-UA" w:eastAsia="uk-UA"/>
              </w:rPr>
            </w:pPr>
            <w:r>
              <w:rPr>
                <w:color w:val="000000"/>
                <w:lang w:val="uk-UA" w:eastAsia="uk-UA"/>
              </w:rPr>
            </w:r>
          </w:p>
        </w:tc>
        <w:tc>
          <w:tcPr>
            <w:tcW w:w="1341" w:type="dxa"/>
            <w:tcBorders>
              <w:left w:val="single" w:sz="8" w:space="0" w:color="000000"/>
              <w:right w:val="single" w:sz="8" w:space="0" w:color="000000"/>
            </w:tcBorders>
            <w:shd w:color="auto" w:fill="auto" w:val="clear"/>
            <w:vAlign w:val="center"/>
          </w:tcPr>
          <w:p>
            <w:pPr>
              <w:pStyle w:val="Normal"/>
              <w:suppressAutoHyphens w:val="false"/>
              <w:jc w:val="center"/>
              <w:rPr>
                <w:color w:val="000000"/>
                <w:lang w:val="uk-UA" w:eastAsia="uk-UA"/>
              </w:rPr>
            </w:pPr>
            <w:r>
              <w:rPr>
                <w:color w:val="000000"/>
                <w:lang w:val="uk-UA" w:eastAsia="uk-UA"/>
              </w:rPr>
              <w:t>2023 рік</w:t>
            </w:r>
          </w:p>
        </w:tc>
        <w:tc>
          <w:tcPr>
            <w:tcW w:w="1188" w:type="dxa"/>
            <w:vMerge w:val="continue"/>
            <w:tcBorders>
              <w:top w:val="single" w:sz="8" w:space="0" w:color="000000"/>
              <w:bottom w:val="single" w:sz="8" w:space="0" w:color="000000"/>
              <w:right w:val="single" w:sz="8" w:space="0" w:color="000000"/>
            </w:tcBorders>
            <w:vAlign w:val="center"/>
          </w:tcPr>
          <w:p>
            <w:pPr>
              <w:pStyle w:val="Normal"/>
              <w:suppressAutoHyphens w:val="false"/>
              <w:rPr>
                <w:color w:val="000000"/>
                <w:lang w:val="uk-UA" w:eastAsia="uk-UA"/>
              </w:rPr>
            </w:pPr>
            <w:r>
              <w:rPr>
                <w:color w:val="000000"/>
                <w:lang w:val="uk-UA" w:eastAsia="uk-UA"/>
              </w:rPr>
            </w:r>
          </w:p>
        </w:tc>
      </w:tr>
      <w:tr>
        <w:trPr>
          <w:trHeight w:val="330" w:hRule="atLeast"/>
        </w:trPr>
        <w:tc>
          <w:tcPr>
            <w:tcW w:w="981"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suppressAutoHyphens w:val="false"/>
              <w:rPr>
                <w:color w:val="000000"/>
                <w:lang w:val="uk-UA" w:eastAsia="uk-UA"/>
              </w:rPr>
            </w:pPr>
            <w:r>
              <w:rPr>
                <w:color w:val="000000"/>
                <w:lang w:val="uk-UA" w:eastAsia="uk-UA"/>
              </w:rPr>
            </w:r>
          </w:p>
        </w:tc>
        <w:tc>
          <w:tcPr>
            <w:tcW w:w="2140" w:type="dxa"/>
            <w:tcBorders>
              <w:bottom w:val="single" w:sz="8" w:space="0" w:color="000000"/>
            </w:tcBorders>
            <w:shd w:color="auto" w:fill="auto" w:val="clear"/>
            <w:vAlign w:val="center"/>
          </w:tcPr>
          <w:p>
            <w:pPr>
              <w:pStyle w:val="Normal"/>
              <w:suppressAutoHyphens w:val="false"/>
              <w:jc w:val="center"/>
              <w:rPr>
                <w:color w:val="000000"/>
                <w:lang w:val="uk-UA" w:eastAsia="uk-UA"/>
              </w:rPr>
            </w:pPr>
            <w:r>
              <w:rPr>
                <w:color w:val="000000"/>
                <w:lang w:val="uk-UA" w:eastAsia="uk-UA"/>
              </w:rPr>
            </w:r>
          </w:p>
        </w:tc>
        <w:tc>
          <w:tcPr>
            <w:tcW w:w="1319" w:type="dxa"/>
            <w:tcBorders>
              <w:left w:val="single" w:sz="8" w:space="0" w:color="000000"/>
              <w:bottom w:val="single" w:sz="8" w:space="0" w:color="000000"/>
              <w:right w:val="single" w:sz="8" w:space="0" w:color="000000"/>
            </w:tcBorders>
            <w:shd w:color="auto" w:fill="auto" w:val="clear"/>
            <w:vAlign w:val="center"/>
          </w:tcPr>
          <w:p>
            <w:pPr>
              <w:pStyle w:val="Normal"/>
              <w:suppressAutoHyphens w:val="false"/>
              <w:jc w:val="center"/>
              <w:rPr>
                <w:color w:val="000000"/>
                <w:lang w:val="uk-UA" w:eastAsia="uk-UA"/>
              </w:rPr>
            </w:pPr>
            <w:r>
              <w:rPr>
                <w:color w:val="000000"/>
                <w:lang w:val="uk-UA" w:eastAsia="uk-UA"/>
              </w:rPr>
            </w:r>
          </w:p>
        </w:tc>
        <w:tc>
          <w:tcPr>
            <w:tcW w:w="1302" w:type="dxa"/>
            <w:tcBorders>
              <w:bottom w:val="single" w:sz="8" w:space="0" w:color="000000"/>
              <w:right w:val="single" w:sz="8" w:space="0" w:color="000000"/>
            </w:tcBorders>
            <w:shd w:color="auto" w:fill="auto" w:val="clear"/>
            <w:vAlign w:val="center"/>
          </w:tcPr>
          <w:p>
            <w:pPr>
              <w:pStyle w:val="Normal"/>
              <w:suppressAutoHyphens w:val="false"/>
              <w:jc w:val="center"/>
              <w:rPr>
                <w:color w:val="000000"/>
                <w:lang w:val="uk-UA" w:eastAsia="uk-UA"/>
              </w:rPr>
            </w:pPr>
            <w:r>
              <w:rPr>
                <w:color w:val="000000"/>
                <w:lang w:val="uk-UA" w:eastAsia="uk-UA"/>
              </w:rPr>
            </w:r>
          </w:p>
        </w:tc>
        <w:tc>
          <w:tcPr>
            <w:tcW w:w="1360" w:type="dxa"/>
            <w:tcBorders>
              <w:bottom w:val="single" w:sz="8" w:space="0" w:color="000000"/>
              <w:right w:val="single" w:sz="8" w:space="0" w:color="000000"/>
            </w:tcBorders>
            <w:shd w:color="auto" w:fill="auto" w:val="clear"/>
            <w:vAlign w:val="center"/>
          </w:tcPr>
          <w:p>
            <w:pPr>
              <w:pStyle w:val="Normal"/>
              <w:suppressAutoHyphens w:val="false"/>
              <w:jc w:val="center"/>
              <w:rPr>
                <w:color w:val="000000"/>
                <w:lang w:val="uk-UA" w:eastAsia="uk-UA"/>
              </w:rPr>
            </w:pPr>
            <w:r>
              <w:rPr>
                <w:color w:val="000000"/>
                <w:lang w:val="uk-UA" w:eastAsia="uk-UA"/>
              </w:rPr>
            </w:r>
          </w:p>
        </w:tc>
        <w:tc>
          <w:tcPr>
            <w:tcW w:w="999" w:type="dxa"/>
            <w:vMerge w:val="continue"/>
            <w:tcBorders>
              <w:top w:val="single" w:sz="8" w:space="0" w:color="000000"/>
              <w:bottom w:val="single" w:sz="8" w:space="0" w:color="000000"/>
            </w:tcBorders>
            <w:vAlign w:val="center"/>
          </w:tcPr>
          <w:p>
            <w:pPr>
              <w:pStyle w:val="Normal"/>
              <w:suppressAutoHyphens w:val="false"/>
              <w:rPr>
                <w:color w:val="000000"/>
                <w:lang w:val="uk-UA" w:eastAsia="uk-UA"/>
              </w:rPr>
            </w:pPr>
            <w:r>
              <w:rPr>
                <w:color w:val="000000"/>
                <w:lang w:val="uk-UA" w:eastAsia="uk-UA"/>
              </w:rPr>
            </w:r>
          </w:p>
        </w:tc>
        <w:tc>
          <w:tcPr>
            <w:tcW w:w="1341" w:type="dxa"/>
            <w:tcBorders>
              <w:left w:val="single" w:sz="8" w:space="0" w:color="000000"/>
              <w:bottom w:val="single" w:sz="8" w:space="0" w:color="000000"/>
              <w:right w:val="single" w:sz="8" w:space="0" w:color="000000"/>
            </w:tcBorders>
            <w:shd w:color="auto" w:fill="auto" w:val="clear"/>
            <w:vAlign w:val="center"/>
          </w:tcPr>
          <w:p>
            <w:pPr>
              <w:pStyle w:val="Normal"/>
              <w:suppressAutoHyphens w:val="false"/>
              <w:jc w:val="center"/>
              <w:rPr>
                <w:color w:val="000000"/>
                <w:lang w:val="uk-UA" w:eastAsia="uk-UA"/>
              </w:rPr>
            </w:pPr>
            <w:r>
              <w:rPr>
                <w:color w:val="000000"/>
                <w:lang w:val="uk-UA" w:eastAsia="uk-UA"/>
              </w:rPr>
            </w:r>
          </w:p>
        </w:tc>
        <w:tc>
          <w:tcPr>
            <w:tcW w:w="1188" w:type="dxa"/>
            <w:vMerge w:val="continue"/>
            <w:tcBorders>
              <w:top w:val="single" w:sz="8" w:space="0" w:color="000000"/>
              <w:bottom w:val="single" w:sz="8" w:space="0" w:color="000000"/>
              <w:right w:val="single" w:sz="8" w:space="0" w:color="000000"/>
            </w:tcBorders>
            <w:vAlign w:val="center"/>
          </w:tcPr>
          <w:p>
            <w:pPr>
              <w:pStyle w:val="Normal"/>
              <w:suppressAutoHyphens w:val="false"/>
              <w:rPr>
                <w:color w:val="000000"/>
                <w:lang w:val="uk-UA" w:eastAsia="uk-UA"/>
              </w:rPr>
            </w:pPr>
            <w:r>
              <w:rPr>
                <w:color w:val="000000"/>
                <w:lang w:val="uk-UA" w:eastAsia="uk-UA"/>
              </w:rPr>
            </w:r>
          </w:p>
        </w:tc>
      </w:tr>
      <w:tr>
        <w:trPr>
          <w:trHeight w:val="270" w:hRule="atLeast"/>
        </w:trPr>
        <w:tc>
          <w:tcPr>
            <w:tcW w:w="981" w:type="dxa"/>
            <w:tcBorders>
              <w:left w:val="single" w:sz="8" w:space="0" w:color="000000"/>
              <w:bottom w:val="single" w:sz="8" w:space="0" w:color="000000"/>
              <w:right w:val="single" w:sz="8" w:space="0" w:color="000000"/>
            </w:tcBorders>
            <w:shd w:color="auto" w:fill="auto" w:val="clear"/>
            <w:vAlign w:val="center"/>
          </w:tcPr>
          <w:p>
            <w:pPr>
              <w:pStyle w:val="Normal"/>
              <w:suppressAutoHyphens w:val="false"/>
              <w:jc w:val="center"/>
              <w:rPr>
                <w:color w:val="000000"/>
                <w:lang w:val="uk-UA" w:eastAsia="uk-UA"/>
              </w:rPr>
            </w:pPr>
            <w:r>
              <w:rPr>
                <w:color w:val="000000"/>
                <w:lang w:val="uk-UA" w:eastAsia="uk-UA"/>
              </w:rPr>
              <w:t>1</w:t>
            </w:r>
          </w:p>
        </w:tc>
        <w:tc>
          <w:tcPr>
            <w:tcW w:w="2140" w:type="dxa"/>
            <w:tcBorders>
              <w:bottom w:val="single" w:sz="8" w:space="0" w:color="000000"/>
            </w:tcBorders>
            <w:shd w:color="auto" w:fill="auto" w:val="clear"/>
            <w:vAlign w:val="center"/>
          </w:tcPr>
          <w:p>
            <w:pPr>
              <w:pStyle w:val="Normal"/>
              <w:suppressAutoHyphens w:val="false"/>
              <w:jc w:val="center"/>
              <w:rPr>
                <w:color w:val="000000"/>
                <w:lang w:val="uk-UA" w:eastAsia="uk-UA"/>
              </w:rPr>
            </w:pPr>
            <w:r>
              <w:rPr>
                <w:color w:val="000000"/>
                <w:lang w:val="uk-UA" w:eastAsia="uk-UA"/>
              </w:rPr>
              <w:t>2</w:t>
            </w:r>
          </w:p>
        </w:tc>
        <w:tc>
          <w:tcPr>
            <w:tcW w:w="1319" w:type="dxa"/>
            <w:tcBorders>
              <w:left w:val="single" w:sz="8" w:space="0" w:color="000000"/>
              <w:bottom w:val="single" w:sz="8" w:space="0" w:color="000000"/>
              <w:right w:val="single" w:sz="8" w:space="0" w:color="000000"/>
            </w:tcBorders>
            <w:shd w:color="auto" w:fill="auto" w:val="clear"/>
            <w:vAlign w:val="center"/>
          </w:tcPr>
          <w:p>
            <w:pPr>
              <w:pStyle w:val="Normal"/>
              <w:suppressAutoHyphens w:val="false"/>
              <w:jc w:val="center"/>
              <w:rPr>
                <w:color w:val="000000"/>
                <w:lang w:val="uk-UA" w:eastAsia="uk-UA"/>
              </w:rPr>
            </w:pPr>
            <w:r>
              <w:rPr>
                <w:color w:val="000000"/>
                <w:lang w:val="en-US" w:eastAsia="uk-UA"/>
              </w:rPr>
              <w:t>3</w:t>
            </w:r>
          </w:p>
        </w:tc>
        <w:tc>
          <w:tcPr>
            <w:tcW w:w="1302" w:type="dxa"/>
            <w:tcBorders>
              <w:left w:val="single" w:sz="8" w:space="0" w:color="000000"/>
              <w:bottom w:val="single" w:sz="8" w:space="0" w:color="000000"/>
              <w:right w:val="single" w:sz="8" w:space="0" w:color="000000"/>
            </w:tcBorders>
            <w:shd w:color="auto" w:fill="auto" w:val="clear"/>
            <w:vAlign w:val="center"/>
          </w:tcPr>
          <w:p>
            <w:pPr>
              <w:pStyle w:val="Normal"/>
              <w:suppressAutoHyphens w:val="false"/>
              <w:jc w:val="center"/>
              <w:rPr>
                <w:lang w:val="en-US"/>
              </w:rPr>
            </w:pPr>
            <w:r>
              <w:rPr>
                <w:color w:val="000000"/>
                <w:lang w:val="en-US" w:eastAsia="uk-UA"/>
              </w:rPr>
              <w:t>4</w:t>
            </w:r>
          </w:p>
        </w:tc>
        <w:tc>
          <w:tcPr>
            <w:tcW w:w="1360" w:type="dxa"/>
            <w:tcBorders>
              <w:bottom w:val="single" w:sz="8" w:space="0" w:color="000000"/>
              <w:right w:val="single" w:sz="8" w:space="0" w:color="000000"/>
            </w:tcBorders>
            <w:shd w:color="auto" w:fill="auto" w:val="clear"/>
            <w:vAlign w:val="center"/>
          </w:tcPr>
          <w:p>
            <w:pPr>
              <w:pStyle w:val="Normal"/>
              <w:suppressAutoHyphens w:val="false"/>
              <w:jc w:val="center"/>
              <w:rPr>
                <w:lang w:val="en-US"/>
              </w:rPr>
            </w:pPr>
            <w:r>
              <w:rPr>
                <w:color w:val="000000"/>
                <w:lang w:val="en-US" w:eastAsia="uk-UA"/>
              </w:rPr>
              <w:t>5</w:t>
            </w:r>
          </w:p>
        </w:tc>
        <w:tc>
          <w:tcPr>
            <w:tcW w:w="999" w:type="dxa"/>
            <w:tcBorders>
              <w:bottom w:val="single" w:sz="8" w:space="0" w:color="000000"/>
              <w:right w:val="single" w:sz="8" w:space="0" w:color="000000"/>
            </w:tcBorders>
            <w:shd w:color="auto" w:fill="auto" w:val="clear"/>
            <w:vAlign w:val="center"/>
          </w:tcPr>
          <w:p>
            <w:pPr>
              <w:pStyle w:val="Normal"/>
              <w:suppressAutoHyphens w:val="false"/>
              <w:jc w:val="center"/>
              <w:rPr>
                <w:lang w:val="en-US"/>
              </w:rPr>
            </w:pPr>
            <w:r>
              <w:rPr>
                <w:color w:val="000000"/>
                <w:lang w:val="en-US" w:eastAsia="uk-UA"/>
              </w:rPr>
              <w:t>6</w:t>
            </w:r>
          </w:p>
        </w:tc>
        <w:tc>
          <w:tcPr>
            <w:tcW w:w="1341" w:type="dxa"/>
            <w:tcBorders>
              <w:bottom w:val="single" w:sz="8" w:space="0" w:color="000000"/>
              <w:right w:val="single" w:sz="8" w:space="0" w:color="000000"/>
            </w:tcBorders>
            <w:shd w:color="auto" w:fill="auto" w:val="clear"/>
            <w:vAlign w:val="center"/>
          </w:tcPr>
          <w:p>
            <w:pPr>
              <w:pStyle w:val="Normal"/>
              <w:suppressAutoHyphens w:val="false"/>
              <w:jc w:val="center"/>
              <w:rPr>
                <w:lang w:val="en-US"/>
              </w:rPr>
            </w:pPr>
            <w:r>
              <w:rPr>
                <w:color w:val="000000"/>
                <w:lang w:val="en-US" w:eastAsia="uk-UA"/>
              </w:rPr>
              <w:t>7</w:t>
            </w:r>
          </w:p>
        </w:tc>
        <w:tc>
          <w:tcPr>
            <w:tcW w:w="1188" w:type="dxa"/>
            <w:tcBorders>
              <w:bottom w:val="single" w:sz="8" w:space="0" w:color="000000"/>
              <w:right w:val="single" w:sz="8" w:space="0" w:color="000000"/>
            </w:tcBorders>
            <w:shd w:color="auto" w:fill="auto" w:val="clear"/>
            <w:vAlign w:val="center"/>
          </w:tcPr>
          <w:p>
            <w:pPr>
              <w:pStyle w:val="Normal"/>
              <w:suppressAutoHyphens w:val="false"/>
              <w:jc w:val="center"/>
              <w:rPr>
                <w:color w:val="000000"/>
                <w:lang w:val="uk-UA" w:eastAsia="uk-UA"/>
              </w:rPr>
            </w:pPr>
            <w:r>
              <w:rPr>
                <w:color w:val="000000"/>
                <w:lang w:val="uk-UA" w:eastAsia="uk-UA"/>
              </w:rPr>
              <w:t>8=</w:t>
            </w:r>
            <w:r>
              <w:rPr>
                <w:color w:val="000000"/>
                <w:lang w:val="en-US" w:eastAsia="uk-UA"/>
              </w:rPr>
              <w:t>5</w:t>
            </w:r>
            <w:r>
              <w:rPr>
                <w:color w:val="000000"/>
                <w:lang w:val="uk-UA" w:eastAsia="uk-UA"/>
              </w:rPr>
              <w:t>-7</w:t>
            </w:r>
          </w:p>
        </w:tc>
      </w:tr>
      <w:tr>
        <w:trPr>
          <w:trHeight w:val="27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r>
          </w:p>
        </w:tc>
        <w:tc>
          <w:tcPr>
            <w:tcW w:w="2140" w:type="dxa"/>
            <w:tcBorders>
              <w:bottom w:val="single" w:sz="8" w:space="0" w:color="000000"/>
              <w:right w:val="single" w:sz="8" w:space="0" w:color="000000"/>
            </w:tcBorders>
            <w:shd w:color="auto" w:fill="auto" w:val="clear"/>
            <w:vAlign w:val="bottom"/>
          </w:tcPr>
          <w:p>
            <w:pPr>
              <w:pStyle w:val="Normal"/>
              <w:suppressAutoHyphens w:val="false"/>
              <w:rPr>
                <w:b/>
                <w:bCs/>
                <w:color w:val="000000"/>
                <w:lang w:val="uk-UA" w:eastAsia="uk-UA"/>
              </w:rPr>
            </w:pPr>
            <w:r>
              <w:rPr>
                <w:b/>
                <w:bCs/>
                <w:color w:val="000000"/>
                <w:lang w:val="uk-UA" w:eastAsia="uk-UA"/>
              </w:rPr>
              <w:t>ЗАГАЛЬНИЙ     ФОНД</w:t>
            </w:r>
          </w:p>
        </w:tc>
        <w:tc>
          <w:tcPr>
            <w:tcW w:w="1319" w:type="dxa"/>
            <w:tcBorders>
              <w:bottom w:val="single" w:sz="8" w:space="0" w:color="000000"/>
              <w:right w:val="single" w:sz="8" w:space="0" w:color="000000"/>
            </w:tcBorders>
            <w:shd w:color="auto" w:fill="auto" w:val="clear"/>
            <w:vAlign w:val="bottom"/>
          </w:tcPr>
          <w:p>
            <w:pPr>
              <w:pStyle w:val="Normal"/>
              <w:suppressAutoHyphens w:val="false"/>
              <w:rPr>
                <w:b/>
                <w:bCs/>
                <w:color w:val="000000"/>
                <w:lang w:val="uk-UA" w:eastAsia="uk-UA"/>
              </w:rPr>
            </w:pPr>
            <w:r>
              <w:rPr>
                <w:b/>
                <w:bCs/>
                <w:color w:val="000000"/>
                <w:lang w:val="uk-UA" w:eastAsia="uk-UA"/>
              </w:rPr>
            </w:r>
          </w:p>
        </w:tc>
        <w:tc>
          <w:tcPr>
            <w:tcW w:w="1302" w:type="dxa"/>
            <w:tcBorders>
              <w:bottom w:val="single" w:sz="8" w:space="0" w:color="000000"/>
              <w:right w:val="single" w:sz="8" w:space="0" w:color="000000"/>
            </w:tcBorders>
            <w:shd w:color="FFFFCC" w:fill="FFFFFF" w:val="clear"/>
            <w:vAlign w:val="bottom"/>
          </w:tcPr>
          <w:p>
            <w:pPr>
              <w:pStyle w:val="Normal"/>
              <w:suppressAutoHyphens w:val="false"/>
              <w:rPr>
                <w:b/>
                <w:bCs/>
                <w:color w:val="000000"/>
                <w:lang w:val="uk-UA" w:eastAsia="uk-UA"/>
              </w:rPr>
            </w:pPr>
            <w:r>
              <w:rPr>
                <w:b/>
                <w:bCs/>
                <w:color w:val="000000"/>
                <w:lang w:val="uk-UA" w:eastAsia="uk-UA"/>
              </w:rPr>
            </w:r>
          </w:p>
        </w:tc>
        <w:tc>
          <w:tcPr>
            <w:tcW w:w="1360" w:type="dxa"/>
            <w:tcBorders>
              <w:bottom w:val="single" w:sz="8" w:space="0" w:color="000000"/>
              <w:right w:val="single" w:sz="8" w:space="0" w:color="000000"/>
            </w:tcBorders>
            <w:shd w:color="FFFFCC" w:fill="FFFFFF" w:val="clear"/>
            <w:vAlign w:val="bottom"/>
          </w:tcPr>
          <w:p>
            <w:pPr>
              <w:pStyle w:val="Normal"/>
              <w:suppressAutoHyphens w:val="false"/>
              <w:rPr>
                <w:b/>
                <w:bCs/>
                <w:color w:val="000000"/>
                <w:lang w:val="uk-UA" w:eastAsia="uk-UA"/>
              </w:rPr>
            </w:pPr>
            <w:r>
              <w:rPr>
                <w:b/>
                <w:bCs/>
                <w:color w:val="000000"/>
                <w:lang w:val="uk-UA" w:eastAsia="uk-UA"/>
              </w:rPr>
            </w:r>
          </w:p>
        </w:tc>
        <w:tc>
          <w:tcPr>
            <w:tcW w:w="999" w:type="dxa"/>
            <w:tcBorders>
              <w:bottom w:val="single" w:sz="8" w:space="0" w:color="000000"/>
              <w:right w:val="single" w:sz="8" w:space="0" w:color="000000"/>
            </w:tcBorders>
            <w:shd w:color="FFFFCC" w:fill="FFFFFF" w:val="clear"/>
            <w:vAlign w:val="bottom"/>
          </w:tcPr>
          <w:p>
            <w:pPr>
              <w:pStyle w:val="Normal"/>
              <w:suppressAutoHyphens w:val="false"/>
              <w:rPr>
                <w:color w:val="000000"/>
                <w:lang w:val="uk-UA" w:eastAsia="uk-UA"/>
              </w:rPr>
            </w:pPr>
            <w:r>
              <w:rPr>
                <w:color w:val="000000"/>
                <w:lang w:val="uk-UA" w:eastAsia="uk-UA"/>
              </w:rPr>
            </w:r>
          </w:p>
        </w:tc>
        <w:tc>
          <w:tcPr>
            <w:tcW w:w="1341" w:type="dxa"/>
            <w:tcBorders>
              <w:right w:val="single" w:sz="8" w:space="0" w:color="000000"/>
            </w:tcBorders>
            <w:shd w:color="FFFFCC" w:fill="FFFFFF" w:val="clear"/>
            <w:vAlign w:val="bottom"/>
          </w:tcPr>
          <w:p>
            <w:pPr>
              <w:pStyle w:val="Normal"/>
              <w:suppressAutoHyphens w:val="false"/>
              <w:rPr>
                <w:b/>
                <w:bCs/>
                <w:color w:val="000000"/>
                <w:lang w:val="uk-UA" w:eastAsia="uk-UA"/>
              </w:rPr>
            </w:pPr>
            <w:r>
              <w:rPr>
                <w:b/>
                <w:bCs/>
                <w:color w:val="000000"/>
                <w:lang w:val="uk-UA" w:eastAsia="uk-UA"/>
              </w:rPr>
            </w:r>
          </w:p>
        </w:tc>
        <w:tc>
          <w:tcPr>
            <w:tcW w:w="1188" w:type="dxa"/>
            <w:tcBorders>
              <w:bottom w:val="single" w:sz="8" w:space="0" w:color="000000"/>
              <w:right w:val="single" w:sz="8" w:space="0" w:color="000000"/>
            </w:tcBorders>
            <w:shd w:color="auto" w:fill="auto" w:val="clear"/>
            <w:vAlign w:val="bottom"/>
          </w:tcPr>
          <w:p>
            <w:pPr>
              <w:pStyle w:val="Normal"/>
              <w:suppressAutoHyphens w:val="false"/>
              <w:rPr>
                <w:b/>
                <w:bCs/>
                <w:color w:val="000000"/>
                <w:lang w:val="uk-UA" w:eastAsia="uk-UA"/>
              </w:rPr>
            </w:pPr>
            <w:r>
              <w:rPr>
                <w:b/>
                <w:bCs/>
                <w:color w:val="000000"/>
                <w:lang w:val="uk-UA" w:eastAsia="uk-UA"/>
              </w:rPr>
            </w:r>
          </w:p>
        </w:tc>
      </w:tr>
      <w:tr>
        <w:trPr>
          <w:trHeight w:val="525"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11010000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Податок на доходи фізичних осіб, в т.ч.:</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1 968 940,0</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1 968 940,0</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1 966 800,8</w:t>
            </w:r>
          </w:p>
        </w:tc>
        <w:tc>
          <w:tcPr>
            <w:tcW w:w="999" w:type="dxa"/>
            <w:tcBorders>
              <w:bottom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99,9</w:t>
            </w:r>
          </w:p>
        </w:tc>
        <w:tc>
          <w:tcPr>
            <w:tcW w:w="1341" w:type="dxa"/>
            <w:tcBorders>
              <w:top w:val="single" w:sz="8" w:space="0" w:color="000000"/>
              <w:left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1 868 701,8</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98 099,0</w:t>
            </w:r>
          </w:p>
        </w:tc>
      </w:tr>
      <w:tr>
        <w:trPr>
          <w:trHeight w:val="525"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11010100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податок на доходи фізичних осіб із з/п</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1 817 940,0</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1 817 940,0</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1 841 265,6</w:t>
            </w:r>
          </w:p>
        </w:tc>
        <w:tc>
          <w:tcPr>
            <w:tcW w:w="999" w:type="dxa"/>
            <w:tcBorders>
              <w:bottom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101,3</w:t>
            </w:r>
          </w:p>
        </w:tc>
        <w:tc>
          <w:tcPr>
            <w:tcW w:w="1341" w:type="dxa"/>
            <w:tcBorders>
              <w:top w:val="single" w:sz="8" w:space="0" w:color="000000"/>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rFonts w:ascii="Arial" w:hAnsi="Arial" w:cs="Arial"/>
                <w:lang w:val="uk-UA" w:eastAsia="uk-UA"/>
              </w:rPr>
            </w:pPr>
            <w:r>
              <w:rPr>
                <w:rFonts w:cs="Arial" w:ascii="Arial" w:hAnsi="Arial"/>
                <w:lang w:val="uk-UA" w:eastAsia="uk-UA"/>
              </w:rPr>
              <w:t>1 526 819,1</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314 446,6</w:t>
            </w:r>
          </w:p>
        </w:tc>
      </w:tr>
      <w:tr>
        <w:trPr>
          <w:trHeight w:val="78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11010200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податок на доходи фізичних осіб - військовослужбовців</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-799,8</w:t>
            </w:r>
          </w:p>
        </w:tc>
        <w:tc>
          <w:tcPr>
            <w:tcW w:w="999" w:type="dxa"/>
            <w:tcBorders>
              <w:bottom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34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rFonts w:ascii="Arial" w:hAnsi="Arial" w:cs="Arial"/>
                <w:lang w:val="uk-UA" w:eastAsia="uk-UA"/>
              </w:rPr>
            </w:pPr>
            <w:r>
              <w:rPr>
                <w:rFonts w:cs="Arial" w:ascii="Arial" w:hAnsi="Arial"/>
                <w:lang w:val="uk-UA" w:eastAsia="uk-UA"/>
              </w:rPr>
              <w:t>207 778,4</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-208 578,3</w:t>
            </w:r>
          </w:p>
        </w:tc>
      </w:tr>
      <w:tr>
        <w:trPr>
          <w:trHeight w:val="78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11010400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податок на доходи фізичних осіб з доходів інших ніж з/п</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85 500,0</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85 500,0</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57 095,9</w:t>
            </w:r>
          </w:p>
        </w:tc>
        <w:tc>
          <w:tcPr>
            <w:tcW w:w="999" w:type="dxa"/>
            <w:tcBorders>
              <w:bottom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66,8</w:t>
            </w:r>
          </w:p>
        </w:tc>
        <w:tc>
          <w:tcPr>
            <w:tcW w:w="134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rFonts w:ascii="Arial" w:hAnsi="Arial" w:cs="Arial"/>
                <w:lang w:val="uk-UA" w:eastAsia="uk-UA"/>
              </w:rPr>
            </w:pPr>
            <w:r>
              <w:rPr>
                <w:rFonts w:cs="Arial" w:ascii="Arial" w:hAnsi="Arial"/>
                <w:lang w:val="uk-UA" w:eastAsia="uk-UA"/>
              </w:rPr>
              <w:t>79 761,5</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-22 665,6</w:t>
            </w:r>
          </w:p>
        </w:tc>
      </w:tr>
      <w:tr>
        <w:trPr>
          <w:trHeight w:val="1035"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11010500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податок на доходи фізичних осіб за результатами декларування</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62 500,0</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62 500,0</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65 020,8</w:t>
            </w:r>
          </w:p>
        </w:tc>
        <w:tc>
          <w:tcPr>
            <w:tcW w:w="999" w:type="dxa"/>
            <w:tcBorders>
              <w:bottom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104,0</w:t>
            </w:r>
          </w:p>
        </w:tc>
        <w:tc>
          <w:tcPr>
            <w:tcW w:w="134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rFonts w:ascii="Arial" w:hAnsi="Arial" w:cs="Arial"/>
                <w:lang w:val="uk-UA" w:eastAsia="uk-UA"/>
              </w:rPr>
            </w:pPr>
            <w:r>
              <w:rPr>
                <w:rFonts w:cs="Arial" w:ascii="Arial" w:hAnsi="Arial"/>
                <w:lang w:val="uk-UA" w:eastAsia="uk-UA"/>
              </w:rPr>
              <w:t>52 942,8</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12 078,0</w:t>
            </w:r>
          </w:p>
        </w:tc>
      </w:tr>
      <w:tr>
        <w:trPr>
          <w:trHeight w:val="1035"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11011200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Податок на доходи фізичних осіб із доходів спеціалістів резидента Дія Сіті</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2 900,0</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2 900,0</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3 311,3</w:t>
            </w:r>
          </w:p>
        </w:tc>
        <w:tc>
          <w:tcPr>
            <w:tcW w:w="999" w:type="dxa"/>
            <w:tcBorders>
              <w:bottom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114,2</w:t>
            </w:r>
          </w:p>
        </w:tc>
        <w:tc>
          <w:tcPr>
            <w:tcW w:w="134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rFonts w:ascii="Arial" w:hAnsi="Arial" w:cs="Arial"/>
                <w:lang w:val="uk-UA" w:eastAsia="uk-UA"/>
              </w:rPr>
            </w:pPr>
            <w:r>
              <w:rPr>
                <w:rFonts w:cs="Arial" w:ascii="Arial" w:hAnsi="Arial"/>
                <w:lang w:val="uk-UA" w:eastAsia="uk-UA"/>
              </w:rPr>
              <w:t>1 379,7</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1 931,7</w:t>
            </w:r>
          </w:p>
        </w:tc>
      </w:tr>
      <w:tr>
        <w:trPr>
          <w:trHeight w:val="129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11011300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Податок на доходи фізичних осіб у вигляді мінімального податкового зобов'язання, що підлягає сплаті фізичними особами</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100,0</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100,0</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906,9</w:t>
            </w:r>
          </w:p>
        </w:tc>
        <w:tc>
          <w:tcPr>
            <w:tcW w:w="999" w:type="dxa"/>
            <w:tcBorders>
              <w:bottom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906,9</w:t>
            </w:r>
          </w:p>
        </w:tc>
        <w:tc>
          <w:tcPr>
            <w:tcW w:w="134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rFonts w:ascii="Arial" w:hAnsi="Arial" w:cs="Arial"/>
                <w:lang w:val="uk-UA" w:eastAsia="uk-UA"/>
              </w:rPr>
            </w:pPr>
            <w:r>
              <w:rPr>
                <w:rFonts w:cs="Arial" w:ascii="Arial" w:hAnsi="Arial"/>
                <w:lang w:val="uk-UA" w:eastAsia="uk-UA"/>
              </w:rPr>
              <w:t>20,3</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886,6</w:t>
            </w:r>
          </w:p>
        </w:tc>
      </w:tr>
      <w:tr>
        <w:trPr>
          <w:trHeight w:val="78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11020200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Податок на прибуток підприємств комунальної власності міста</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679,8</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5 717,8</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7 503,1</w:t>
            </w:r>
          </w:p>
        </w:tc>
        <w:tc>
          <w:tcPr>
            <w:tcW w:w="999" w:type="dxa"/>
            <w:tcBorders>
              <w:bottom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131,2</w:t>
            </w:r>
          </w:p>
        </w:tc>
        <w:tc>
          <w:tcPr>
            <w:tcW w:w="134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634,0</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6 869,1</w:t>
            </w:r>
          </w:p>
        </w:tc>
      </w:tr>
      <w:tr>
        <w:trPr>
          <w:trHeight w:val="78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13000000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Рентна плата та плата за використання інших природних ресурсів</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1 540,0</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1 540,0</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1 703,5</w:t>
            </w:r>
          </w:p>
        </w:tc>
        <w:tc>
          <w:tcPr>
            <w:tcW w:w="999" w:type="dxa"/>
            <w:tcBorders>
              <w:bottom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110,6</w:t>
            </w:r>
          </w:p>
        </w:tc>
        <w:tc>
          <w:tcPr>
            <w:tcW w:w="134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1 380,2</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323,4</w:t>
            </w:r>
          </w:p>
        </w:tc>
      </w:tr>
      <w:tr>
        <w:trPr>
          <w:trHeight w:val="78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14021900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Акцизний податок    (пальне, вироблене в Україні)</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15 200,0</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15 200,0</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13 650,6</w:t>
            </w:r>
          </w:p>
        </w:tc>
        <w:tc>
          <w:tcPr>
            <w:tcW w:w="999" w:type="dxa"/>
            <w:tcBorders>
              <w:bottom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89,8</w:t>
            </w:r>
          </w:p>
        </w:tc>
        <w:tc>
          <w:tcPr>
            <w:tcW w:w="134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13 468,6</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182,0</w:t>
            </w:r>
          </w:p>
        </w:tc>
      </w:tr>
      <w:tr>
        <w:trPr>
          <w:trHeight w:val="78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14031900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Акцизний податок             (пальне, ввезене в Україну)</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51 000,0</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67 483,7</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84 129,9</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124,7</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51 024,8</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33 105,1</w:t>
            </w:r>
          </w:p>
        </w:tc>
      </w:tr>
      <w:tr>
        <w:trPr>
          <w:trHeight w:val="51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14040000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Акцизний податок (алкоголь, тютюн)</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167 500,0</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167 500,0</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151 046,1</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90,2</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162 748,2</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-11 702,0</w:t>
            </w:r>
          </w:p>
        </w:tc>
      </w:tr>
      <w:tr>
        <w:trPr>
          <w:trHeight w:val="255"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18000000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Місцеві податки, з них:</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742 972,9</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779 692,5</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808 467,7</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103,7</w:t>
            </w:r>
          </w:p>
        </w:tc>
        <w:tc>
          <w:tcPr>
            <w:tcW w:w="1341" w:type="dxa"/>
            <w:tcBorders>
              <w:bottom w:val="single" w:sz="8" w:space="0" w:color="000000"/>
              <w:right w:val="single" w:sz="8" w:space="0" w:color="000000"/>
            </w:tcBorders>
            <w:shd w:color="FFFFCC" w:fill="FFFFFF" w:val="clear"/>
            <w:vAlign w:val="bottom"/>
          </w:tcPr>
          <w:p>
            <w:pPr>
              <w:pStyle w:val="Normal"/>
              <w:suppressAutoHyphens w:val="false"/>
              <w:jc w:val="right"/>
              <w:rPr>
                <w:color w:val="000000"/>
                <w:lang w:val="uk-UA" w:eastAsia="uk-UA"/>
              </w:rPr>
            </w:pPr>
            <w:r>
              <w:rPr>
                <w:color w:val="000000"/>
                <w:lang w:val="uk-UA" w:eastAsia="uk-UA"/>
              </w:rPr>
              <w:t>649 953,8</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158 513,8</w:t>
            </w:r>
          </w:p>
        </w:tc>
      </w:tr>
      <w:tr>
        <w:trPr>
          <w:trHeight w:val="255"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18010000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податок на майно, в т.ч.:</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244 180,0</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244 180,0</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269 561,4</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110,4</w:t>
            </w:r>
          </w:p>
        </w:tc>
        <w:tc>
          <w:tcPr>
            <w:tcW w:w="1341" w:type="dxa"/>
            <w:tcBorders>
              <w:bottom w:val="single" w:sz="8" w:space="0" w:color="000000"/>
              <w:right w:val="single" w:sz="8" w:space="0" w:color="000000"/>
            </w:tcBorders>
            <w:shd w:color="FFFFCC" w:fill="FFFFFF" w:val="clear"/>
            <w:vAlign w:val="bottom"/>
          </w:tcPr>
          <w:p>
            <w:pPr>
              <w:pStyle w:val="Normal"/>
              <w:suppressAutoHyphens w:val="false"/>
              <w:jc w:val="right"/>
              <w:rPr>
                <w:color w:val="000000"/>
                <w:lang w:val="uk-UA" w:eastAsia="uk-UA"/>
              </w:rPr>
            </w:pPr>
            <w:r>
              <w:rPr>
                <w:color w:val="000000"/>
                <w:lang w:val="uk-UA" w:eastAsia="uk-UA"/>
              </w:rPr>
              <w:t>229 994,1</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39 567,3</w:t>
            </w:r>
          </w:p>
        </w:tc>
      </w:tr>
      <w:tr>
        <w:trPr>
          <w:trHeight w:val="51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rPr>
                <w:color w:val="000000"/>
                <w:sz w:val="18"/>
                <w:szCs w:val="18"/>
                <w:lang w:val="uk-UA" w:eastAsia="uk-UA"/>
              </w:rPr>
            </w:pPr>
            <w:r>
              <w:rPr>
                <w:color w:val="000000"/>
                <w:sz w:val="18"/>
                <w:szCs w:val="18"/>
                <w:lang w:val="uk-UA" w:eastAsia="uk-UA"/>
              </w:rPr>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-податок на житлову нерухомість</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11 750,0</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11 750,0</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23 640,1</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201,2</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11 012,3</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12 627,7</w:t>
            </w:r>
          </w:p>
        </w:tc>
      </w:tr>
      <w:tr>
        <w:trPr>
          <w:trHeight w:val="51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rPr>
                <w:color w:val="000000"/>
                <w:sz w:val="18"/>
                <w:szCs w:val="18"/>
                <w:lang w:val="uk-UA" w:eastAsia="uk-UA"/>
              </w:rPr>
            </w:pPr>
            <w:r>
              <w:rPr>
                <w:color w:val="000000"/>
                <w:sz w:val="18"/>
                <w:szCs w:val="18"/>
                <w:lang w:val="uk-UA" w:eastAsia="uk-UA"/>
              </w:rPr>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-податок на нежитлову нерухомість</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62 830,0</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62 830,0</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70 623,6</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112,4</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58 487,6</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12 136,0</w:t>
            </w:r>
          </w:p>
        </w:tc>
      </w:tr>
      <w:tr>
        <w:trPr>
          <w:trHeight w:val="255" w:hRule="atLeast"/>
        </w:trPr>
        <w:tc>
          <w:tcPr>
            <w:tcW w:w="981" w:type="dxa"/>
            <w:tcBorders>
              <w:left w:val="single" w:sz="8" w:space="0" w:color="000000"/>
              <w:bottom w:val="single" w:sz="8" w:space="0" w:color="000000"/>
              <w:right w:val="single" w:sz="8" w:space="0" w:color="000000"/>
            </w:tcBorders>
            <w:shd w:color="auto" w:fill="auto" w:val="clear"/>
          </w:tcPr>
          <w:p>
            <w:pPr>
              <w:pStyle w:val="Normal"/>
              <w:suppressAutoHyphens w:val="false"/>
              <w:rPr>
                <w:color w:val="000000"/>
                <w:sz w:val="18"/>
                <w:szCs w:val="18"/>
                <w:lang w:val="uk-UA" w:eastAsia="uk-UA"/>
              </w:rPr>
            </w:pPr>
            <w:r>
              <w:rPr>
                <w:color w:val="000000"/>
                <w:sz w:val="18"/>
                <w:szCs w:val="18"/>
                <w:lang w:val="uk-UA" w:eastAsia="uk-UA"/>
              </w:rPr>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плата за землю, в т.ч.:</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168 700,0</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168 700,0</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173 893,3</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103,1</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159 527,7</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14 365,5</w:t>
            </w:r>
          </w:p>
        </w:tc>
      </w:tr>
      <w:tr>
        <w:trPr>
          <w:trHeight w:val="255"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rPr>
                <w:color w:val="000000"/>
                <w:sz w:val="18"/>
                <w:szCs w:val="18"/>
                <w:lang w:val="uk-UA" w:eastAsia="uk-UA"/>
              </w:rPr>
            </w:pPr>
            <w:r>
              <w:rPr>
                <w:color w:val="000000"/>
                <w:sz w:val="18"/>
                <w:szCs w:val="18"/>
                <w:lang w:val="uk-UA" w:eastAsia="uk-UA"/>
              </w:rPr>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-земельний податок</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95 000,0</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95 000,0</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90 340,7</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95,1</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87 858,0</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2 482,7</w:t>
            </w:r>
          </w:p>
        </w:tc>
      </w:tr>
      <w:tr>
        <w:trPr>
          <w:trHeight w:val="255"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rPr>
                <w:color w:val="000000"/>
                <w:sz w:val="18"/>
                <w:szCs w:val="18"/>
                <w:lang w:val="uk-UA" w:eastAsia="uk-UA"/>
              </w:rPr>
            </w:pPr>
            <w:r>
              <w:rPr>
                <w:color w:val="000000"/>
                <w:sz w:val="18"/>
                <w:szCs w:val="18"/>
                <w:lang w:val="uk-UA" w:eastAsia="uk-UA"/>
              </w:rPr>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-орендна плата</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73 700,0</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73 700,0</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83 552,5</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113,4</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71 669,7</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11 882,9</w:t>
            </w:r>
          </w:p>
        </w:tc>
      </w:tr>
      <w:tr>
        <w:trPr>
          <w:trHeight w:val="255"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18011000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транспортний податок</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900,0</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900,0</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1 404,4</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156,0</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966,4</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438,0</w:t>
            </w:r>
          </w:p>
        </w:tc>
      </w:tr>
      <w:tr>
        <w:trPr>
          <w:trHeight w:val="51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18020000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збір за місця для паркування</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450,0</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450,0</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346,0</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76,9</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349,3</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-3,4</w:t>
            </w:r>
          </w:p>
        </w:tc>
      </w:tr>
      <w:tr>
        <w:trPr>
          <w:trHeight w:val="255"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18030000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туристичний збір</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1 700,0</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1 700,0</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1 792,4</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105,4</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1 606,9</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185,5</w:t>
            </w:r>
          </w:p>
        </w:tc>
      </w:tr>
      <w:tr>
        <w:trPr>
          <w:trHeight w:val="255"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18050000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єдиний податок, в т.ч.:</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496 642,9</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533 362,5</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536 768,0</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100,6</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418 003,6</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118 764,4</w:t>
            </w:r>
          </w:p>
        </w:tc>
      </w:tr>
      <w:tr>
        <w:trPr>
          <w:trHeight w:val="51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18050300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-єдиний податок з юридичних осіб</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96 500,0</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96 500,0</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95 289,4</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98,7</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132 531,2</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-37 241,8</w:t>
            </w:r>
          </w:p>
        </w:tc>
      </w:tr>
      <w:tr>
        <w:trPr>
          <w:trHeight w:val="51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18050400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-єдиний податок з фізичних осіб</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395 942,9</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432 662,5</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438 223,8</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101,3</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282 035,5</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156 188,3</w:t>
            </w:r>
          </w:p>
        </w:tc>
      </w:tr>
      <w:tr>
        <w:trPr>
          <w:trHeight w:val="51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18050500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-єдиний податок з с/г виробників</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4 200,0</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4 200,0</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3 254,9</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77,5</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3 437,0</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-182,1</w:t>
            </w:r>
          </w:p>
        </w:tc>
      </w:tr>
      <w:tr>
        <w:trPr>
          <w:trHeight w:val="1035"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21010300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Частина чистого прибутку  підприємств комунальної власності, що вилучається до бюджету</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602,0</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602,0</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649,8</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107,9</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941,8</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-292,0</w:t>
            </w:r>
          </w:p>
        </w:tc>
      </w:tr>
      <w:tr>
        <w:trPr>
          <w:trHeight w:val="525"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21080000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Адміністративні штрафи та інші санкції</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13 000,0</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13 000,0</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24 349,6</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187,3</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12 145,0</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12 204,6</w:t>
            </w:r>
          </w:p>
        </w:tc>
      </w:tr>
      <w:tr>
        <w:trPr>
          <w:trHeight w:val="129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22010300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Адміністративний збір за проведення  державної  реєстрації юридичних осіб та фізичних осіб – підприємців</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1 000,0</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1 000,0</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981,5</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98,1</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957,4</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24,0</w:t>
            </w:r>
          </w:p>
        </w:tc>
      </w:tr>
      <w:tr>
        <w:trPr>
          <w:trHeight w:val="51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22012500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Плата за надання інших адмінпослуг</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20 500,0</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20 500,0</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15 956,6</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77,8</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18 460,0</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-2 503,4</w:t>
            </w:r>
          </w:p>
        </w:tc>
      </w:tr>
      <w:tr>
        <w:trPr>
          <w:trHeight w:val="102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22012600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Адміністративний збір за державну реєстрацію речових прав на нерухоме майно  та їх обтяжень</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1 200,0</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1 200,0</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937,0</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78,1</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1 113,9</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-176,8</w:t>
            </w:r>
          </w:p>
        </w:tc>
      </w:tr>
      <w:tr>
        <w:trPr>
          <w:trHeight w:val="765"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22012900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Плата за скорочення термінів надання послуг сфері державної реєстрації</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20,0</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20,0</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28,8</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144,0</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19,0</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9,8</w:t>
            </w:r>
          </w:p>
        </w:tc>
      </w:tr>
      <w:tr>
        <w:trPr>
          <w:trHeight w:val="102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22020400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Плата за ліцензії на провадження діяльності з організації та проведення азартних ігор</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9 423,2</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9 423,2</w:t>
            </w:r>
          </w:p>
        </w:tc>
      </w:tr>
      <w:tr>
        <w:trPr>
          <w:trHeight w:val="51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22080400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Надходження від оренди  комунального майна</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5 500,0</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5 500,0</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8 631,7</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156,9</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6 666,5</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1 965,2</w:t>
            </w:r>
          </w:p>
        </w:tc>
      </w:tr>
      <w:tr>
        <w:trPr>
          <w:trHeight w:val="255"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22090000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Державне мито</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750,0</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750,0</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890,1</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118,7</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733,3</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156,8</w:t>
            </w:r>
          </w:p>
        </w:tc>
      </w:tr>
      <w:tr>
        <w:trPr>
          <w:trHeight w:val="231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22130000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Орендна плата за водні об'єкти (їх частини), що надаються в користування на умовах оренди, районними, Київською та Севастопольською міськими державними адміністраціями, місцевими радами</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1,3</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-24,1</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25,4</w:t>
            </w:r>
          </w:p>
        </w:tc>
      </w:tr>
      <w:tr>
        <w:trPr>
          <w:trHeight w:val="27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24060300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Інші надходження</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21 500,0</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23 500,0</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27 250,5</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116,0</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22 393,8</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4 856,7</w:t>
            </w:r>
          </w:p>
        </w:tc>
      </w:tr>
      <w:tr>
        <w:trPr>
          <w:trHeight w:val="1654"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31010200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Кошти від реалізації безхазяйного майна, знахідок, спадкового майна, майна, одержаного територіальною громадою в порядку спадкування чи дарування, а також валютні цінності і грошові кошти, власники яких невідомі</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20,4</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23,0</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-2,6</w:t>
            </w:r>
          </w:p>
        </w:tc>
      </w:tr>
      <w:tr>
        <w:trPr>
          <w:trHeight w:val="825"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rPr>
                <w:b/>
                <w:bCs/>
                <w:color w:val="000000"/>
                <w:sz w:val="18"/>
                <w:szCs w:val="18"/>
                <w:lang w:val="uk-UA" w:eastAsia="uk-UA"/>
              </w:rPr>
            </w:pPr>
            <w:r>
              <w:rPr>
                <w:b/>
                <w:bCs/>
                <w:color w:val="000000"/>
                <w:sz w:val="18"/>
                <w:szCs w:val="18"/>
                <w:lang w:val="uk-UA" w:eastAsia="uk-UA"/>
              </w:rPr>
            </w:r>
          </w:p>
        </w:tc>
        <w:tc>
          <w:tcPr>
            <w:tcW w:w="2140" w:type="dxa"/>
            <w:tcBorders>
              <w:bottom w:val="single" w:sz="8" w:space="0" w:color="000000"/>
              <w:right w:val="single" w:sz="8" w:space="0" w:color="000000"/>
            </w:tcBorders>
            <w:shd w:color="auto" w:fill="auto" w:val="clear"/>
            <w:vAlign w:val="bottom"/>
          </w:tcPr>
          <w:p>
            <w:pPr>
              <w:pStyle w:val="Normal"/>
              <w:suppressAutoHyphens w:val="false"/>
              <w:rPr>
                <w:b/>
                <w:bCs/>
                <w:color w:val="000000"/>
                <w:lang w:val="uk-UA" w:eastAsia="uk-UA"/>
              </w:rPr>
            </w:pPr>
            <w:r>
              <w:rPr>
                <w:b/>
                <w:bCs/>
                <w:color w:val="000000"/>
                <w:lang w:val="uk-UA" w:eastAsia="uk-UA"/>
              </w:rPr>
              <w:t>Разом доходів загального фонду     (без трансфертів)</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3 011 904,7</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3 072 146,0</w:t>
            </w:r>
          </w:p>
        </w:tc>
        <w:tc>
          <w:tcPr>
            <w:tcW w:w="1360" w:type="dxa"/>
            <w:tcBorders>
              <w:bottom w:val="single" w:sz="8" w:space="0" w:color="000000"/>
              <w:right w:val="single" w:sz="8" w:space="0" w:color="000000"/>
            </w:tcBorders>
            <w:shd w:color="FFFFCC" w:fill="FFFFFF" w:val="clear"/>
            <w:vAlign w:val="bottom"/>
          </w:tcPr>
          <w:p>
            <w:pPr>
              <w:pStyle w:val="Normal"/>
              <w:suppressAutoHyphens w:val="false"/>
              <w:jc w:val="right"/>
              <w:rPr>
                <w:color w:val="000000"/>
                <w:lang w:val="uk-UA" w:eastAsia="uk-UA"/>
              </w:rPr>
            </w:pPr>
            <w:r>
              <w:rPr>
                <w:color w:val="000000"/>
                <w:lang w:val="uk-UA" w:eastAsia="uk-UA"/>
              </w:rPr>
              <w:t>3 122 422,2</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101,6</w:t>
            </w:r>
          </w:p>
        </w:tc>
        <w:tc>
          <w:tcPr>
            <w:tcW w:w="1341" w:type="dxa"/>
            <w:tcBorders>
              <w:bottom w:val="single" w:sz="8" w:space="0" w:color="000000"/>
              <w:right w:val="single" w:sz="8" w:space="0" w:color="000000"/>
            </w:tcBorders>
            <w:shd w:color="FFFFCC" w:fill="FFFFFF" w:val="clear"/>
            <w:vAlign w:val="bottom"/>
          </w:tcPr>
          <w:p>
            <w:pPr>
              <w:pStyle w:val="Normal"/>
              <w:suppressAutoHyphens w:val="false"/>
              <w:jc w:val="right"/>
              <w:rPr>
                <w:color w:val="000000"/>
                <w:lang w:val="uk-UA" w:eastAsia="uk-UA"/>
              </w:rPr>
            </w:pPr>
            <w:r>
              <w:rPr>
                <w:color w:val="000000"/>
                <w:lang w:val="uk-UA" w:eastAsia="uk-UA"/>
              </w:rPr>
              <w:t>2 811 341,0</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311 081,2</w:t>
            </w:r>
          </w:p>
        </w:tc>
      </w:tr>
      <w:tr>
        <w:trPr>
          <w:trHeight w:val="27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b/>
                <w:bCs/>
                <w:color w:val="000000"/>
                <w:sz w:val="18"/>
                <w:szCs w:val="18"/>
                <w:lang w:val="uk-UA" w:eastAsia="uk-UA"/>
              </w:rPr>
            </w:pPr>
            <w:r>
              <w:rPr>
                <w:b/>
                <w:bCs/>
                <w:color w:val="000000"/>
                <w:sz w:val="18"/>
                <w:szCs w:val="18"/>
                <w:lang w:val="uk-UA" w:eastAsia="uk-UA"/>
              </w:rPr>
              <w:t>40000000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b/>
                <w:bCs/>
                <w:color w:val="000000"/>
                <w:lang w:val="uk-UA" w:eastAsia="uk-UA"/>
              </w:rPr>
            </w:pPr>
            <w:r>
              <w:rPr>
                <w:b/>
                <w:bCs/>
                <w:color w:val="000000"/>
                <w:lang w:val="uk-UA" w:eastAsia="uk-UA"/>
              </w:rPr>
              <w:t>Офіційні трансферти</w:t>
            </w:r>
          </w:p>
        </w:tc>
        <w:tc>
          <w:tcPr>
            <w:tcW w:w="1319" w:type="dxa"/>
            <w:tcBorders>
              <w:bottom w:val="single" w:sz="8" w:space="0" w:color="000000"/>
              <w:right w:val="single" w:sz="8" w:space="0" w:color="000000"/>
            </w:tcBorders>
            <w:shd w:color="FFFFCC" w:fill="FFFFFF" w:val="clear"/>
            <w:vAlign w:val="bottom"/>
          </w:tcPr>
          <w:p>
            <w:pPr>
              <w:pStyle w:val="Normal"/>
              <w:suppressAutoHyphens w:val="false"/>
              <w:jc w:val="right"/>
              <w:rPr>
                <w:b/>
                <w:bCs/>
                <w:color w:val="000000"/>
                <w:lang w:val="uk-UA" w:eastAsia="uk-UA"/>
              </w:rPr>
            </w:pPr>
            <w:r>
              <w:rPr>
                <w:b/>
                <w:bCs/>
                <w:color w:val="000000"/>
                <w:lang w:val="uk-UA" w:eastAsia="uk-UA"/>
              </w:rPr>
              <w:t>624 577,4</w:t>
            </w:r>
          </w:p>
        </w:tc>
        <w:tc>
          <w:tcPr>
            <w:tcW w:w="1302" w:type="dxa"/>
            <w:tcBorders>
              <w:bottom w:val="single" w:sz="8" w:space="0" w:color="000000"/>
              <w:right w:val="single" w:sz="8" w:space="0" w:color="000000"/>
            </w:tcBorders>
            <w:shd w:color="FFFFCC" w:fill="FFFFFF" w:val="clear"/>
            <w:vAlign w:val="bottom"/>
          </w:tcPr>
          <w:p>
            <w:pPr>
              <w:pStyle w:val="Normal"/>
              <w:suppressAutoHyphens w:val="false"/>
              <w:jc w:val="right"/>
              <w:rPr>
                <w:b/>
                <w:bCs/>
                <w:color w:val="000000"/>
                <w:lang w:val="uk-UA" w:eastAsia="uk-UA"/>
              </w:rPr>
            </w:pPr>
            <w:r>
              <w:rPr>
                <w:b/>
                <w:bCs/>
                <w:color w:val="000000"/>
                <w:lang w:val="uk-UA" w:eastAsia="uk-UA"/>
              </w:rPr>
              <w:t>794 852,5</w:t>
            </w:r>
          </w:p>
        </w:tc>
        <w:tc>
          <w:tcPr>
            <w:tcW w:w="1360" w:type="dxa"/>
            <w:tcBorders>
              <w:bottom w:val="single" w:sz="8" w:space="0" w:color="000000"/>
              <w:right w:val="single" w:sz="8" w:space="0" w:color="000000"/>
            </w:tcBorders>
            <w:shd w:color="FFFFCC" w:fill="FFFFFF" w:val="clear"/>
            <w:vAlign w:val="bottom"/>
          </w:tcPr>
          <w:p>
            <w:pPr>
              <w:pStyle w:val="Normal"/>
              <w:suppressAutoHyphens w:val="false"/>
              <w:jc w:val="right"/>
              <w:rPr>
                <w:b/>
                <w:bCs/>
                <w:color w:val="000000"/>
                <w:lang w:val="uk-UA" w:eastAsia="uk-UA"/>
              </w:rPr>
            </w:pPr>
            <w:r>
              <w:rPr>
                <w:b/>
                <w:bCs/>
                <w:color w:val="000000"/>
                <w:lang w:val="uk-UA" w:eastAsia="uk-UA"/>
              </w:rPr>
              <w:t>786 324,6</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98,9</w:t>
            </w:r>
          </w:p>
        </w:tc>
        <w:tc>
          <w:tcPr>
            <w:tcW w:w="1341" w:type="dxa"/>
            <w:tcBorders>
              <w:bottom w:val="single" w:sz="8" w:space="0" w:color="000000"/>
              <w:right w:val="single" w:sz="8" w:space="0" w:color="000000"/>
            </w:tcBorders>
            <w:shd w:color="FFFFCC" w:fill="FFFFFF" w:val="clear"/>
            <w:vAlign w:val="bottom"/>
          </w:tcPr>
          <w:p>
            <w:pPr>
              <w:pStyle w:val="Normal"/>
              <w:suppressAutoHyphens w:val="false"/>
              <w:jc w:val="right"/>
              <w:rPr>
                <w:b/>
                <w:bCs/>
                <w:color w:val="000000"/>
                <w:lang w:val="uk-UA" w:eastAsia="uk-UA"/>
              </w:rPr>
            </w:pPr>
            <w:r>
              <w:rPr>
                <w:b/>
                <w:bCs/>
                <w:color w:val="000000"/>
                <w:lang w:val="uk-UA" w:eastAsia="uk-UA"/>
              </w:rPr>
              <w:t>565 385,4</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220 939,2</w:t>
            </w:r>
          </w:p>
        </w:tc>
      </w:tr>
      <w:tr>
        <w:trPr>
          <w:trHeight w:val="129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41033300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Субвенція з державного бюджету місцевим бюджетам на забезпечення харчування учнів початкових класів</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302" w:type="dxa"/>
            <w:tcBorders>
              <w:bottom w:val="single" w:sz="8" w:space="0" w:color="000000"/>
              <w:right w:val="single" w:sz="8" w:space="0" w:color="000000"/>
            </w:tcBorders>
            <w:shd w:color="FFFFCC" w:fill="FFFFFF" w:val="clear"/>
            <w:vAlign w:val="bottom"/>
          </w:tcPr>
          <w:p>
            <w:pPr>
              <w:pStyle w:val="Normal"/>
              <w:suppressAutoHyphens w:val="false"/>
              <w:jc w:val="right"/>
              <w:rPr>
                <w:color w:val="000000"/>
                <w:lang w:val="uk-UA" w:eastAsia="uk-UA"/>
              </w:rPr>
            </w:pPr>
            <w:r>
              <w:rPr>
                <w:color w:val="000000"/>
                <w:lang w:val="uk-UA" w:eastAsia="uk-UA"/>
              </w:rPr>
              <w:t>18 485,0</w:t>
            </w:r>
          </w:p>
        </w:tc>
        <w:tc>
          <w:tcPr>
            <w:tcW w:w="1360" w:type="dxa"/>
            <w:tcBorders>
              <w:bottom w:val="single" w:sz="8" w:space="0" w:color="000000"/>
              <w:right w:val="single" w:sz="8" w:space="0" w:color="000000"/>
            </w:tcBorders>
            <w:shd w:color="FFFFCC" w:fill="FFFFFF" w:val="clear"/>
            <w:vAlign w:val="bottom"/>
          </w:tcPr>
          <w:p>
            <w:pPr>
              <w:pStyle w:val="Normal"/>
              <w:suppressAutoHyphens w:val="false"/>
              <w:jc w:val="right"/>
              <w:rPr>
                <w:color w:val="000000"/>
                <w:lang w:val="uk-UA" w:eastAsia="uk-UA"/>
              </w:rPr>
            </w:pPr>
            <w:r>
              <w:rPr>
                <w:color w:val="000000"/>
                <w:lang w:val="uk-UA" w:eastAsia="uk-UA"/>
              </w:rPr>
              <w:t>11 991,6</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64,9</w:t>
            </w:r>
          </w:p>
        </w:tc>
        <w:tc>
          <w:tcPr>
            <w:tcW w:w="1341" w:type="dxa"/>
            <w:tcBorders>
              <w:bottom w:val="single" w:sz="8" w:space="0" w:color="000000"/>
              <w:right w:val="single" w:sz="8" w:space="0" w:color="000000"/>
            </w:tcBorders>
            <w:shd w:color="FFFFCC" w:fill="FFFFFF" w:val="clear"/>
            <w:vAlign w:val="bottom"/>
          </w:tcPr>
          <w:p>
            <w:pPr>
              <w:pStyle w:val="Normal"/>
              <w:suppressAutoHyphens w:val="false"/>
              <w:jc w:val="right"/>
              <w:rPr>
                <w:color w:val="000000"/>
                <w:lang w:val="uk-UA" w:eastAsia="uk-UA"/>
              </w:rPr>
            </w:pPr>
            <w:r>
              <w:rPr>
                <w:color w:val="000000"/>
                <w:lang w:val="uk-UA" w:eastAsia="uk-UA"/>
              </w:rPr>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11 991,6</w:t>
            </w:r>
          </w:p>
        </w:tc>
      </w:tr>
      <w:tr>
        <w:trPr>
          <w:trHeight w:val="78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41033800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Субвенція з державного бюджету (професійно-технічної) освіти</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12 843,9</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12 843,9</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100,0</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12 843,9</w:t>
            </w:r>
          </w:p>
        </w:tc>
      </w:tr>
      <w:tr>
        <w:trPr>
          <w:trHeight w:val="525"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41033900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Освітня субвенція з державного бюджету</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624 577,4</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624 577,4</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624 577,4</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100,0</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527 982,4</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96 595,0</w:t>
            </w:r>
          </w:p>
        </w:tc>
      </w:tr>
      <w:tr>
        <w:trPr>
          <w:trHeight w:val="525"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41040400</w:t>
            </w:r>
          </w:p>
        </w:tc>
        <w:tc>
          <w:tcPr>
            <w:tcW w:w="2140" w:type="dxa"/>
            <w:tcBorders>
              <w:bottom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Інші дотації з місцевого бюджету</w:t>
            </w:r>
          </w:p>
        </w:tc>
        <w:tc>
          <w:tcPr>
            <w:tcW w:w="1319" w:type="dxa"/>
            <w:tcBorders>
              <w:top w:val="single" w:sz="8" w:space="0" w:color="000000"/>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302" w:type="dxa"/>
            <w:tcBorders>
              <w:top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348,0</w:t>
            </w:r>
          </w:p>
        </w:tc>
        <w:tc>
          <w:tcPr>
            <w:tcW w:w="1360" w:type="dxa"/>
            <w:tcBorders>
              <w:top w:val="single" w:sz="8" w:space="0" w:color="000000"/>
              <w:left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348,0</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100,0</w:t>
            </w:r>
          </w:p>
        </w:tc>
        <w:tc>
          <w:tcPr>
            <w:tcW w:w="1341" w:type="dxa"/>
            <w:tcBorders>
              <w:top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466,5</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-118,4</w:t>
            </w:r>
          </w:p>
        </w:tc>
      </w:tr>
      <w:tr>
        <w:trPr>
          <w:trHeight w:val="78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b/>
                <w:bCs/>
                <w:color w:val="000000"/>
                <w:sz w:val="18"/>
                <w:szCs w:val="18"/>
                <w:lang w:val="uk-UA" w:eastAsia="uk-UA"/>
              </w:rPr>
            </w:pPr>
            <w:r>
              <w:rPr>
                <w:b/>
                <w:bCs/>
                <w:color w:val="000000"/>
                <w:sz w:val="18"/>
                <w:szCs w:val="18"/>
                <w:lang w:val="uk-UA" w:eastAsia="uk-UA"/>
              </w:rPr>
              <w:t>41050000</w:t>
            </w:r>
          </w:p>
        </w:tc>
        <w:tc>
          <w:tcPr>
            <w:tcW w:w="2140" w:type="dxa"/>
            <w:tcBorders>
              <w:bottom w:val="single" w:sz="8" w:space="0" w:color="000000"/>
            </w:tcBorders>
            <w:shd w:color="auto" w:fill="auto" w:val="clear"/>
            <w:vAlign w:val="bottom"/>
          </w:tcPr>
          <w:p>
            <w:pPr>
              <w:pStyle w:val="Normal"/>
              <w:suppressAutoHyphens w:val="false"/>
              <w:rPr>
                <w:b/>
                <w:bCs/>
                <w:color w:val="000000"/>
                <w:lang w:val="uk-UA" w:eastAsia="uk-UA"/>
              </w:rPr>
            </w:pPr>
            <w:r>
              <w:rPr>
                <w:b/>
                <w:bCs/>
                <w:color w:val="000000"/>
                <w:lang w:val="uk-UA" w:eastAsia="uk-UA"/>
              </w:rPr>
              <w:t>Субвенції з місцевих бюджетів іншим місцевим бюджетам</w:t>
            </w:r>
          </w:p>
        </w:tc>
        <w:tc>
          <w:tcPr>
            <w:tcW w:w="1319" w:type="dxa"/>
            <w:tcBorders>
              <w:left w:val="single" w:sz="8" w:space="0" w:color="000000"/>
              <w:bottom w:val="single" w:sz="8" w:space="0" w:color="000000"/>
            </w:tcBorders>
            <w:shd w:color="FFFFCC" w:fill="FFFFFF" w:val="clear"/>
            <w:vAlign w:val="bottom"/>
          </w:tcPr>
          <w:p>
            <w:pPr>
              <w:pStyle w:val="Normal"/>
              <w:suppressAutoHyphens w:val="false"/>
              <w:jc w:val="right"/>
              <w:rPr>
                <w:b/>
                <w:bCs/>
                <w:color w:val="000000"/>
                <w:lang w:val="uk-UA" w:eastAsia="uk-UA"/>
              </w:rPr>
            </w:pPr>
            <w:r>
              <w:rPr>
                <w:b/>
                <w:bCs/>
                <w:color w:val="000000"/>
                <w:lang w:val="uk-UA" w:eastAsia="uk-UA"/>
              </w:rPr>
              <w:t>0,0</w:t>
            </w:r>
          </w:p>
        </w:tc>
        <w:tc>
          <w:tcPr>
            <w:tcW w:w="1302" w:type="dxa"/>
            <w:tcBorders>
              <w:top w:val="single" w:sz="8" w:space="0" w:color="000000"/>
              <w:left w:val="single" w:sz="8" w:space="0" w:color="000000"/>
              <w:bottom w:val="single" w:sz="8" w:space="0" w:color="000000"/>
            </w:tcBorders>
            <w:shd w:color="FFFFCC" w:fill="FFFFFF" w:val="clear"/>
            <w:vAlign w:val="bottom"/>
          </w:tcPr>
          <w:p>
            <w:pPr>
              <w:pStyle w:val="Normal"/>
              <w:suppressAutoHyphens w:val="false"/>
              <w:jc w:val="right"/>
              <w:rPr>
                <w:b/>
                <w:bCs/>
                <w:color w:val="000000"/>
                <w:lang w:val="uk-UA" w:eastAsia="uk-UA"/>
              </w:rPr>
            </w:pPr>
            <w:r>
              <w:rPr>
                <w:b/>
                <w:bCs/>
                <w:color w:val="000000"/>
                <w:lang w:val="uk-UA" w:eastAsia="uk-UA"/>
              </w:rPr>
              <w:t>138 598,2</w:t>
            </w:r>
          </w:p>
        </w:tc>
        <w:tc>
          <w:tcPr>
            <w:tcW w:w="1360" w:type="dxa"/>
            <w:tcBorders>
              <w:top w:val="single" w:sz="8" w:space="0" w:color="000000"/>
              <w:left w:val="single" w:sz="8" w:space="0" w:color="000000"/>
              <w:bottom w:val="single" w:sz="8" w:space="0" w:color="000000"/>
              <w:right w:val="single" w:sz="8" w:space="0" w:color="000000"/>
            </w:tcBorders>
            <w:shd w:color="FFFFCC" w:fill="FFFFFF" w:val="clear"/>
            <w:vAlign w:val="bottom"/>
          </w:tcPr>
          <w:p>
            <w:pPr>
              <w:pStyle w:val="Normal"/>
              <w:suppressAutoHyphens w:val="false"/>
              <w:jc w:val="right"/>
              <w:rPr>
                <w:b/>
                <w:bCs/>
                <w:color w:val="000000"/>
                <w:lang w:val="uk-UA" w:eastAsia="uk-UA"/>
              </w:rPr>
            </w:pPr>
            <w:r>
              <w:rPr>
                <w:b/>
                <w:bCs/>
                <w:color w:val="000000"/>
                <w:lang w:val="uk-UA" w:eastAsia="uk-UA"/>
              </w:rPr>
              <w:t>136 563,7</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98,5</w:t>
            </w:r>
          </w:p>
        </w:tc>
        <w:tc>
          <w:tcPr>
            <w:tcW w:w="1341" w:type="dxa"/>
            <w:tcBorders>
              <w:bottom w:val="single" w:sz="8" w:space="0" w:color="000000"/>
              <w:right w:val="single" w:sz="8" w:space="0" w:color="000000"/>
            </w:tcBorders>
            <w:shd w:color="FFFFCC" w:fill="FFFFFF" w:val="clear"/>
            <w:vAlign w:val="bottom"/>
          </w:tcPr>
          <w:p>
            <w:pPr>
              <w:pStyle w:val="Normal"/>
              <w:suppressAutoHyphens w:val="false"/>
              <w:jc w:val="right"/>
              <w:rPr>
                <w:b/>
                <w:bCs/>
                <w:color w:val="000000"/>
                <w:lang w:val="uk-UA" w:eastAsia="uk-UA"/>
              </w:rPr>
            </w:pPr>
            <w:r>
              <w:rPr>
                <w:b/>
                <w:bCs/>
                <w:color w:val="000000"/>
                <w:lang w:val="uk-UA" w:eastAsia="uk-UA"/>
              </w:rPr>
              <w:t>36 936,6</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99 627,1</w:t>
            </w:r>
          </w:p>
        </w:tc>
      </w:tr>
      <w:tr>
        <w:trPr>
          <w:trHeight w:val="261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41050400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Субвенція з місцевого бюджету на виплату грошової компенсації за належні для отримання жилі приміщення для сімей загиблих осіб, визначених абзацами 5 - 8 пункту 1 статті 10 Закону України "Про статус ветеранів війни, гарантії їх соціального захисту", для осіб з інвалідністю I - II групи, яка настала внаслідок поранення, контузії, каліцтва або захворювання, одержаних під час безпосередньої участі в антитерористичній операції, забезпеченні її проведення, визначених пунктами 11 - 14 частини другої статті 7 Закону України "Про статус ветеранів війни, гарантії їх соціального захисту", та які потребують поліпшення житлових умов за рахунок відповідної субвенції з державного бюджету</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43 899,7</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43 899,7</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100,0</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12 700,1</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31 199,6</w:t>
            </w:r>
          </w:p>
        </w:tc>
      </w:tr>
      <w:tr>
        <w:trPr>
          <w:trHeight w:val="2055"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41050500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Субвенція з місцевого бюджету на виплату грошової компенсації за належні для отримання жилі приміщення  для сімей загиблих учасників бойових дій на території інших держав</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13 517,7</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13 517,7</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100,0</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6 584,2</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6 933,5</w:t>
            </w:r>
          </w:p>
        </w:tc>
      </w:tr>
      <w:tr>
        <w:trPr>
          <w:trHeight w:val="240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41050600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Субвенція з місцевого бюджету на виплату грошової компенсації за належні для отримання жилі приміщення для внутрішньо переміщених осіб, які захищали незалежність, суверенітет та територіальну цілісність України і брали безпосередню участь в антитерористичній операції, забезпеченні її проведення, перебуваючи безпосередньо в районах антитерористичної операції у період її проведення,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забезпеченні їх здійснення, перебуваючи безпосередньо в районах та у період здійснення зазначених заходів, та визнані особами з інвалідністю внаслідок війни III групи відповідно до пунктів 11 - 14 частини другої статті 7 або учасниками бойових дій відповідно до пунктів 19 - 21 частини першої статті 6 Закону України "Про статус ветеранів війни, гарантії їх соціального захисту", та які потребують поліпшення житлових умов за рахунок відповідної субвенції з державного бюджету</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26 881,5</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26 876,2</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100,0</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3 022,6</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23 853,5</w:t>
            </w:r>
          </w:p>
        </w:tc>
      </w:tr>
      <w:tr>
        <w:trPr>
          <w:trHeight w:val="1875"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41050900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Субвенції з місцевого бюджетуна проектні. Будівельно-ремонтні роботи. Придбання житла та приміщень для розвитку сімейних та інших форм виховання. Наближених до сімейних. Підтримку малих групових будинків та забезпечення житлом дітей – сиріт. Дітей позбавлених батьківського піклування</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7 547,3</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7 052,3</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93,4</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7 052,3</w:t>
            </w:r>
          </w:p>
        </w:tc>
      </w:tr>
      <w:tr>
        <w:trPr>
          <w:trHeight w:val="129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41051000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Субвенція з місцевого бюджету на здійснення переданих видатків у сфері освіти за рахунок коштів освітньої субвенції</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8 728,2</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8 687,9</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99,5</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5 706,3</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2 981,5</w:t>
            </w:r>
          </w:p>
        </w:tc>
      </w:tr>
      <w:tr>
        <w:trPr>
          <w:trHeight w:val="1035"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41051200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Субвенція на надання державної підтримки особам з особливими освітніми потребами</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2 228,2</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2 227,9</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100,0</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1 461,1</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766,8</w:t>
            </w:r>
          </w:p>
        </w:tc>
      </w:tr>
      <w:tr>
        <w:trPr>
          <w:trHeight w:val="129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41051400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Субвенція на забезпечення якісної , сучасної та доступної освіти "Нова Українська школа"</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11 754,0</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10 699,8</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91,0</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10 699,8</w:t>
            </w:r>
          </w:p>
        </w:tc>
      </w:tr>
      <w:tr>
        <w:trPr>
          <w:trHeight w:val="255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41059300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Субвенція з місцевого бюджету на забезпечення діяльності фахівців із супроводу ветеранів війни та демобілізованих осіб та окремі заходи з підтримки осіб. Які захищали незалежність. Суверинітет та територіальну цілісність України</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273,8</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196,3</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71,7</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196,3</w:t>
            </w:r>
          </w:p>
        </w:tc>
      </w:tr>
      <w:tr>
        <w:trPr>
          <w:trHeight w:val="525"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41053900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Інші субвенції з місцевого бюджету</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23 767,8</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23 406,0</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98,5</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7 462,2</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15 943,8</w:t>
            </w:r>
          </w:p>
        </w:tc>
      </w:tr>
      <w:tr>
        <w:trPr>
          <w:trHeight w:val="525"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rPr>
                <w:b/>
                <w:bCs/>
                <w:color w:val="000000"/>
                <w:sz w:val="18"/>
                <w:szCs w:val="18"/>
                <w:lang w:val="uk-UA" w:eastAsia="uk-UA"/>
              </w:rPr>
            </w:pPr>
            <w:r>
              <w:rPr>
                <w:b/>
                <w:bCs/>
                <w:color w:val="000000"/>
                <w:sz w:val="18"/>
                <w:szCs w:val="18"/>
                <w:lang w:val="uk-UA" w:eastAsia="uk-UA"/>
              </w:rPr>
            </w:r>
          </w:p>
        </w:tc>
        <w:tc>
          <w:tcPr>
            <w:tcW w:w="2140" w:type="dxa"/>
            <w:tcBorders>
              <w:bottom w:val="single" w:sz="8" w:space="0" w:color="000000"/>
              <w:right w:val="single" w:sz="8" w:space="0" w:color="000000"/>
            </w:tcBorders>
            <w:shd w:color="auto" w:fill="auto" w:val="clear"/>
            <w:vAlign w:val="bottom"/>
          </w:tcPr>
          <w:p>
            <w:pPr>
              <w:pStyle w:val="Normal"/>
              <w:suppressAutoHyphens w:val="false"/>
              <w:rPr>
                <w:b/>
                <w:bCs/>
                <w:color w:val="000000"/>
                <w:lang w:val="uk-UA" w:eastAsia="uk-UA"/>
              </w:rPr>
            </w:pPr>
            <w:r>
              <w:rPr>
                <w:b/>
                <w:bCs/>
                <w:color w:val="000000"/>
                <w:lang w:val="uk-UA" w:eastAsia="uk-UA"/>
              </w:rPr>
              <w:t>ВСЬОГО доходів загального фонду</w:t>
            </w:r>
          </w:p>
        </w:tc>
        <w:tc>
          <w:tcPr>
            <w:tcW w:w="1319" w:type="dxa"/>
            <w:tcBorders>
              <w:bottom w:val="single" w:sz="8" w:space="0" w:color="000000"/>
              <w:right w:val="single" w:sz="8" w:space="0" w:color="000000"/>
            </w:tcBorders>
            <w:shd w:color="FFFFCC" w:fill="FFFFFF" w:val="clear"/>
            <w:vAlign w:val="bottom"/>
          </w:tcPr>
          <w:p>
            <w:pPr>
              <w:pStyle w:val="Normal"/>
              <w:suppressAutoHyphens w:val="false"/>
              <w:jc w:val="right"/>
              <w:rPr>
                <w:b/>
                <w:bCs/>
                <w:color w:val="000000"/>
                <w:lang w:val="uk-UA" w:eastAsia="uk-UA"/>
              </w:rPr>
            </w:pPr>
            <w:r>
              <w:rPr>
                <w:b/>
                <w:bCs/>
                <w:color w:val="000000"/>
                <w:lang w:val="uk-UA" w:eastAsia="uk-UA"/>
              </w:rPr>
              <w:t>3 636 482,1</w:t>
            </w:r>
          </w:p>
        </w:tc>
        <w:tc>
          <w:tcPr>
            <w:tcW w:w="1302" w:type="dxa"/>
            <w:tcBorders>
              <w:bottom w:val="single" w:sz="8" w:space="0" w:color="000000"/>
              <w:right w:val="single" w:sz="8" w:space="0" w:color="000000"/>
            </w:tcBorders>
            <w:shd w:color="FFFFCC" w:fill="FFFFFF" w:val="clear"/>
            <w:vAlign w:val="bottom"/>
          </w:tcPr>
          <w:p>
            <w:pPr>
              <w:pStyle w:val="Normal"/>
              <w:suppressAutoHyphens w:val="false"/>
              <w:jc w:val="right"/>
              <w:rPr>
                <w:b/>
                <w:bCs/>
                <w:color w:val="000000"/>
                <w:lang w:val="uk-UA" w:eastAsia="uk-UA"/>
              </w:rPr>
            </w:pPr>
            <w:r>
              <w:rPr>
                <w:b/>
                <w:bCs/>
                <w:color w:val="000000"/>
                <w:lang w:val="uk-UA" w:eastAsia="uk-UA"/>
              </w:rPr>
              <w:t>3 866 998,6</w:t>
            </w:r>
          </w:p>
        </w:tc>
        <w:tc>
          <w:tcPr>
            <w:tcW w:w="1360" w:type="dxa"/>
            <w:tcBorders>
              <w:bottom w:val="single" w:sz="8" w:space="0" w:color="000000"/>
              <w:right w:val="single" w:sz="8" w:space="0" w:color="000000"/>
            </w:tcBorders>
            <w:shd w:color="FFFFCC" w:fill="FFFFFF" w:val="clear"/>
            <w:vAlign w:val="bottom"/>
          </w:tcPr>
          <w:p>
            <w:pPr>
              <w:pStyle w:val="Normal"/>
              <w:suppressAutoHyphens w:val="false"/>
              <w:jc w:val="right"/>
              <w:rPr>
                <w:b/>
                <w:bCs/>
                <w:color w:val="000000"/>
                <w:lang w:val="uk-UA" w:eastAsia="uk-UA"/>
              </w:rPr>
            </w:pPr>
            <w:r>
              <w:rPr>
                <w:b/>
                <w:bCs/>
                <w:color w:val="000000"/>
                <w:lang w:val="uk-UA" w:eastAsia="uk-UA"/>
              </w:rPr>
              <w:t>3 908 746,8</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101,1</w:t>
            </w:r>
          </w:p>
        </w:tc>
        <w:tc>
          <w:tcPr>
            <w:tcW w:w="1341" w:type="dxa"/>
            <w:tcBorders>
              <w:bottom w:val="single" w:sz="8" w:space="0" w:color="000000"/>
              <w:right w:val="single" w:sz="8" w:space="0" w:color="000000"/>
            </w:tcBorders>
            <w:shd w:color="FFFFCC" w:fill="FFFFFF" w:val="clear"/>
            <w:vAlign w:val="bottom"/>
          </w:tcPr>
          <w:p>
            <w:pPr>
              <w:pStyle w:val="Normal"/>
              <w:suppressAutoHyphens w:val="false"/>
              <w:jc w:val="right"/>
              <w:rPr>
                <w:b/>
                <w:bCs/>
                <w:color w:val="000000"/>
                <w:lang w:val="uk-UA" w:eastAsia="uk-UA"/>
              </w:rPr>
            </w:pPr>
            <w:r>
              <w:rPr>
                <w:b/>
                <w:bCs/>
                <w:color w:val="000000"/>
                <w:lang w:val="uk-UA" w:eastAsia="uk-UA"/>
              </w:rPr>
              <w:t>3 376 726,4</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532 020,4</w:t>
            </w:r>
          </w:p>
        </w:tc>
      </w:tr>
      <w:tr>
        <w:trPr>
          <w:trHeight w:val="27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rPr>
                <w:color w:val="000000"/>
                <w:sz w:val="18"/>
                <w:szCs w:val="18"/>
                <w:lang w:val="uk-UA" w:eastAsia="uk-UA"/>
              </w:rPr>
            </w:pPr>
            <w:r>
              <w:rPr>
                <w:color w:val="000000"/>
                <w:sz w:val="18"/>
                <w:szCs w:val="18"/>
                <w:lang w:val="uk-UA" w:eastAsia="uk-UA"/>
              </w:rPr>
            </w:r>
          </w:p>
        </w:tc>
        <w:tc>
          <w:tcPr>
            <w:tcW w:w="2140" w:type="dxa"/>
            <w:tcBorders>
              <w:bottom w:val="single" w:sz="8" w:space="0" w:color="000000"/>
              <w:right w:val="single" w:sz="8" w:space="0" w:color="000000"/>
            </w:tcBorders>
            <w:shd w:color="auto" w:fill="auto" w:val="clear"/>
            <w:vAlign w:val="bottom"/>
          </w:tcPr>
          <w:p>
            <w:pPr>
              <w:pStyle w:val="Normal"/>
              <w:suppressAutoHyphens w:val="false"/>
              <w:rPr>
                <w:b/>
                <w:bCs/>
                <w:color w:val="000000"/>
                <w:lang w:val="uk-UA" w:eastAsia="uk-UA"/>
              </w:rPr>
            </w:pPr>
            <w:r>
              <w:rPr>
                <w:b/>
                <w:bCs/>
                <w:color w:val="000000"/>
                <w:lang w:val="uk-UA" w:eastAsia="uk-UA"/>
              </w:rPr>
              <w:t>БЮДЖЕТ РОЗВИТКУ</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b/>
                <w:bCs/>
                <w:color w:val="000000"/>
                <w:lang w:val="uk-UA" w:eastAsia="uk-UA"/>
              </w:rPr>
            </w:pPr>
            <w:r>
              <w:rPr>
                <w:b/>
                <w:bCs/>
                <w:color w:val="000000"/>
                <w:lang w:val="uk-UA" w:eastAsia="uk-UA"/>
              </w:rPr>
              <w:t>14 000,0</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b/>
                <w:bCs/>
                <w:color w:val="000000"/>
                <w:lang w:val="uk-UA" w:eastAsia="uk-UA"/>
              </w:rPr>
            </w:pPr>
            <w:r>
              <w:rPr>
                <w:b/>
                <w:bCs/>
                <w:color w:val="000000"/>
                <w:lang w:val="uk-UA" w:eastAsia="uk-UA"/>
              </w:rPr>
              <w:t>70 204,9</w:t>
            </w:r>
          </w:p>
        </w:tc>
        <w:tc>
          <w:tcPr>
            <w:tcW w:w="1360" w:type="dxa"/>
            <w:tcBorders>
              <w:bottom w:val="single" w:sz="8" w:space="0" w:color="000000"/>
              <w:right w:val="single" w:sz="8" w:space="0" w:color="000000"/>
            </w:tcBorders>
            <w:shd w:color="FFFFCC" w:fill="FFFFFF" w:val="clear"/>
            <w:vAlign w:val="bottom"/>
          </w:tcPr>
          <w:p>
            <w:pPr>
              <w:pStyle w:val="Normal"/>
              <w:suppressAutoHyphens w:val="false"/>
              <w:jc w:val="right"/>
              <w:rPr>
                <w:b/>
                <w:bCs/>
                <w:color w:val="000000"/>
                <w:lang w:val="uk-UA" w:eastAsia="uk-UA"/>
              </w:rPr>
            </w:pPr>
            <w:r>
              <w:rPr>
                <w:b/>
                <w:bCs/>
                <w:color w:val="000000"/>
                <w:lang w:val="uk-UA" w:eastAsia="uk-UA"/>
              </w:rPr>
              <w:t>76 374,4</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108,8</w:t>
            </w:r>
          </w:p>
        </w:tc>
        <w:tc>
          <w:tcPr>
            <w:tcW w:w="1341" w:type="dxa"/>
            <w:tcBorders>
              <w:bottom w:val="single" w:sz="8" w:space="0" w:color="000000"/>
              <w:right w:val="single" w:sz="8" w:space="0" w:color="000000"/>
            </w:tcBorders>
            <w:shd w:color="FFFFCC" w:fill="FFFFFF" w:val="clear"/>
            <w:vAlign w:val="bottom"/>
          </w:tcPr>
          <w:p>
            <w:pPr>
              <w:pStyle w:val="Normal"/>
              <w:suppressAutoHyphens w:val="false"/>
              <w:jc w:val="right"/>
              <w:rPr>
                <w:b/>
                <w:bCs/>
                <w:color w:val="000000"/>
                <w:lang w:val="uk-UA" w:eastAsia="uk-UA"/>
              </w:rPr>
            </w:pPr>
            <w:r>
              <w:rPr>
                <w:b/>
                <w:bCs/>
                <w:color w:val="000000"/>
                <w:lang w:val="uk-UA" w:eastAsia="uk-UA"/>
              </w:rPr>
              <w:t>24 696,8</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51 677,6</w:t>
            </w:r>
          </w:p>
        </w:tc>
      </w:tr>
      <w:tr>
        <w:trPr>
          <w:trHeight w:val="765"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31030000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Надходження від відчуження майна комунальної власності</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3 000,0</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9 600,0</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9 636,3</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100,4</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2 849,5</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6 786,8</w:t>
            </w:r>
          </w:p>
        </w:tc>
      </w:tr>
      <w:tr>
        <w:trPr>
          <w:trHeight w:val="51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33010100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Надходження від продажу землі</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11 000,0</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56 404,8</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57 186,6</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101,4</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21 682,5</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35 504,1</w:t>
            </w:r>
          </w:p>
        </w:tc>
      </w:tr>
      <w:tr>
        <w:trPr>
          <w:trHeight w:val="1275"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24110700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Плата за гарантії, надані Верховною Радою Автономної Республіки Крим, міськими та обласними радами</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0,0</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0,0</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0,0</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0,0</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0,0</w:t>
            </w:r>
          </w:p>
        </w:tc>
      </w:tr>
      <w:tr>
        <w:trPr>
          <w:trHeight w:val="51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24170000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Надходження коштів пайової участі</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4 200,0</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9 551,5</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227,4</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164,9</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9 386,6</w:t>
            </w:r>
          </w:p>
        </w:tc>
      </w:tr>
      <w:tr>
        <w:trPr>
          <w:trHeight w:val="255"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rPr>
                <w:b/>
                <w:bCs/>
                <w:color w:val="000000"/>
                <w:sz w:val="18"/>
                <w:szCs w:val="18"/>
                <w:lang w:val="uk-UA" w:eastAsia="uk-UA"/>
              </w:rPr>
            </w:pPr>
            <w:r>
              <w:rPr>
                <w:b/>
                <w:bCs/>
                <w:color w:val="000000"/>
                <w:sz w:val="18"/>
                <w:szCs w:val="18"/>
                <w:lang w:val="uk-UA" w:eastAsia="uk-UA"/>
              </w:rPr>
            </w:r>
          </w:p>
        </w:tc>
        <w:tc>
          <w:tcPr>
            <w:tcW w:w="2140" w:type="dxa"/>
            <w:tcBorders>
              <w:bottom w:val="single" w:sz="8" w:space="0" w:color="000000"/>
              <w:right w:val="single" w:sz="8" w:space="0" w:color="000000"/>
            </w:tcBorders>
            <w:shd w:color="auto" w:fill="auto" w:val="clear"/>
            <w:vAlign w:val="bottom"/>
          </w:tcPr>
          <w:p>
            <w:pPr>
              <w:pStyle w:val="Normal"/>
              <w:suppressAutoHyphens w:val="false"/>
              <w:rPr>
                <w:b/>
                <w:bCs/>
                <w:color w:val="000000"/>
                <w:lang w:val="uk-UA" w:eastAsia="uk-UA"/>
              </w:rPr>
            </w:pPr>
            <w:r>
              <w:rPr>
                <w:b/>
                <w:bCs/>
                <w:color w:val="000000"/>
                <w:lang w:val="uk-UA" w:eastAsia="uk-UA"/>
              </w:rPr>
              <w:t>СПЕЦІАЛЬНИЙ ФОНД</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b/>
                <w:bCs/>
                <w:lang w:val="uk-UA" w:eastAsia="uk-UA"/>
              </w:rPr>
            </w:pPr>
            <w:r>
              <w:rPr>
                <w:b/>
                <w:bCs/>
                <w:lang w:val="uk-UA" w:eastAsia="uk-UA"/>
              </w:rPr>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0,0</w:t>
            </w:r>
          </w:p>
        </w:tc>
      </w:tr>
      <w:tr>
        <w:trPr>
          <w:trHeight w:val="27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19010000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Екологічний податок</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b/>
                <w:bCs/>
                <w:lang w:val="uk-UA" w:eastAsia="uk-UA"/>
              </w:rPr>
            </w:pPr>
            <w:r>
              <w:rPr>
                <w:b/>
                <w:bCs/>
                <w:lang w:val="uk-UA" w:eastAsia="uk-UA"/>
              </w:rPr>
              <w:t>1 650,0</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b/>
                <w:bCs/>
                <w:color w:val="000000"/>
                <w:lang w:val="uk-UA" w:eastAsia="uk-UA"/>
              </w:rPr>
            </w:pPr>
            <w:r>
              <w:rPr>
                <w:b/>
                <w:bCs/>
                <w:color w:val="000000"/>
                <w:lang w:val="uk-UA" w:eastAsia="uk-UA"/>
              </w:rPr>
              <w:t>1 650,0</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b/>
                <w:bCs/>
                <w:lang w:val="uk-UA" w:eastAsia="uk-UA"/>
              </w:rPr>
            </w:pPr>
            <w:r>
              <w:rPr>
                <w:b/>
                <w:bCs/>
                <w:lang w:val="uk-UA" w:eastAsia="uk-UA"/>
              </w:rPr>
              <w:t>2 664,1</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161,5</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b/>
                <w:bCs/>
                <w:color w:val="000000"/>
                <w:lang w:val="uk-UA" w:eastAsia="uk-UA"/>
              </w:rPr>
            </w:pPr>
            <w:r>
              <w:rPr>
                <w:b/>
                <w:bCs/>
                <w:color w:val="000000"/>
                <w:lang w:val="uk-UA" w:eastAsia="uk-UA"/>
              </w:rPr>
              <w:t>1 808,6</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855,5</w:t>
            </w:r>
          </w:p>
        </w:tc>
      </w:tr>
      <w:tr>
        <w:trPr>
          <w:trHeight w:val="78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24062100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Грошові стягнення за шкоду навколишньому середовищу</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250,0</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250,0</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31,0</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12,4</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3 472,3</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-3 441,3</w:t>
            </w:r>
          </w:p>
        </w:tc>
      </w:tr>
      <w:tr>
        <w:trPr>
          <w:trHeight w:val="525"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24110900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Відсотки за кредит на будівництво житла</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2,0</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2,0</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0,7</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35,3</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0,8</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-0,1</w:t>
            </w:r>
          </w:p>
        </w:tc>
      </w:tr>
      <w:tr>
        <w:trPr>
          <w:trHeight w:val="525"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25010000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Плата за послуги  бюджетних установ</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71 615,2</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71 615,2</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67 714,7</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94,6</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55 719,0</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11 995,7</w:t>
            </w:r>
          </w:p>
        </w:tc>
      </w:tr>
      <w:tr>
        <w:trPr>
          <w:trHeight w:val="525"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25020000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Інші надходження  бюджетних установ</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86 031,6</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120 207,2</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-34 175,6</w:t>
            </w:r>
          </w:p>
        </w:tc>
      </w:tr>
      <w:tr>
        <w:trPr>
          <w:trHeight w:val="525"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50110000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Цільовий фонд міської ради</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713,0</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713,0</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1 425,9</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200,0</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1 121,9</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304,0</w:t>
            </w:r>
          </w:p>
        </w:tc>
      </w:tr>
      <w:tr>
        <w:trPr>
          <w:trHeight w:val="180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41031400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Субвенція з державного бюджету місцевим бюджетам для реалізації проєктів в рамках Надзвичайної кредитної програми для відновлення України</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80 000,0</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0,0</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0,0</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0,0</w:t>
            </w:r>
          </w:p>
        </w:tc>
      </w:tr>
      <w:tr>
        <w:trPr>
          <w:trHeight w:val="129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41033300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Субвенція з державного бюджету місцевим бюджетам на забезпечення харчування учнів початкових класів</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33 366,4</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0,0</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33 366,4</w:t>
            </w:r>
          </w:p>
        </w:tc>
      </w:tr>
      <w:tr>
        <w:trPr>
          <w:trHeight w:val="129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41051000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Субвенція з місцевого бюджету на здійснення переданих видатків у сфері освіти за рахунок коштів освітньої субвенції</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3 928,9</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-3 928,9</w:t>
            </w:r>
          </w:p>
        </w:tc>
      </w:tr>
      <w:tr>
        <w:trPr>
          <w:trHeight w:val="129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41051100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Субвенція з місцевого бюджету на здійснення переданих видатків у сфері освіти за рахунок коштів освітньої субвенції</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10 173,3</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9 036,0</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88,8</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0,0</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9 036,0</w:t>
            </w:r>
          </w:p>
        </w:tc>
      </w:tr>
      <w:tr>
        <w:trPr>
          <w:trHeight w:val="333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41052600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Субвенція з місцевого бюджету на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 за рахунок відповідної субвенції з державного бюджету</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156,0</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-156,0</w:t>
            </w:r>
          </w:p>
        </w:tc>
      </w:tr>
      <w:tr>
        <w:trPr>
          <w:trHeight w:val="525"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jc w:val="right"/>
              <w:rPr>
                <w:color w:val="000000"/>
                <w:sz w:val="18"/>
                <w:szCs w:val="18"/>
                <w:lang w:val="uk-UA" w:eastAsia="uk-UA"/>
              </w:rPr>
            </w:pPr>
            <w:r>
              <w:rPr>
                <w:color w:val="000000"/>
                <w:sz w:val="18"/>
                <w:szCs w:val="18"/>
                <w:lang w:val="uk-UA" w:eastAsia="uk-UA"/>
              </w:rPr>
              <w:t>41053600</w:t>
            </w:r>
          </w:p>
        </w:tc>
        <w:tc>
          <w:tcPr>
            <w:tcW w:w="2140" w:type="dxa"/>
            <w:tcBorders>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t>Субвенція на здійснення природоохоронних заходів</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545,8</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-545,8</w:t>
            </w:r>
          </w:p>
        </w:tc>
      </w:tr>
      <w:tr>
        <w:trPr>
          <w:trHeight w:val="525"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rPr>
                <w:color w:val="000000"/>
                <w:sz w:val="18"/>
                <w:szCs w:val="18"/>
                <w:lang w:val="uk-UA" w:eastAsia="uk-UA"/>
              </w:rPr>
            </w:pPr>
            <w:r>
              <w:rPr>
                <w:color w:val="000000"/>
                <w:sz w:val="18"/>
                <w:szCs w:val="18"/>
                <w:lang w:val="uk-UA" w:eastAsia="uk-UA"/>
              </w:rPr>
            </w:r>
          </w:p>
        </w:tc>
        <w:tc>
          <w:tcPr>
            <w:tcW w:w="2140" w:type="dxa"/>
            <w:tcBorders>
              <w:bottom w:val="single" w:sz="8" w:space="0" w:color="000000"/>
              <w:right w:val="single" w:sz="8" w:space="0" w:color="000000"/>
            </w:tcBorders>
            <w:shd w:color="auto" w:fill="auto" w:val="clear"/>
            <w:vAlign w:val="bottom"/>
          </w:tcPr>
          <w:p>
            <w:pPr>
              <w:pStyle w:val="Normal"/>
              <w:suppressAutoHyphens w:val="false"/>
              <w:rPr>
                <w:b/>
                <w:bCs/>
                <w:color w:val="000000"/>
                <w:lang w:val="uk-UA" w:eastAsia="uk-UA"/>
              </w:rPr>
            </w:pPr>
            <w:r>
              <w:rPr>
                <w:b/>
                <w:bCs/>
                <w:color w:val="000000"/>
                <w:lang w:val="uk-UA" w:eastAsia="uk-UA"/>
              </w:rPr>
              <w:t>Разом доходів спеціального фонду</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88 230,2</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234 608,4</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lang w:val="uk-UA" w:eastAsia="uk-UA"/>
              </w:rPr>
            </w:pPr>
            <w:r>
              <w:rPr>
                <w:lang w:val="uk-UA" w:eastAsia="uk-UA"/>
              </w:rPr>
              <w:t>276 644,8</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117,9</w:t>
            </w:r>
          </w:p>
        </w:tc>
        <w:tc>
          <w:tcPr>
            <w:tcW w:w="1341"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211 657,4</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64 987,4</w:t>
            </w:r>
          </w:p>
        </w:tc>
      </w:tr>
      <w:tr>
        <w:trPr>
          <w:trHeight w:val="270" w:hRule="atLeast"/>
        </w:trPr>
        <w:tc>
          <w:tcPr>
            <w:tcW w:w="981" w:type="dxa"/>
            <w:tcBorders>
              <w:left w:val="single" w:sz="8" w:space="0" w:color="000000"/>
              <w:bottom w:val="single" w:sz="8" w:space="0" w:color="000000"/>
              <w:right w:val="single" w:sz="8" w:space="0" w:color="000000"/>
            </w:tcBorders>
            <w:shd w:color="auto" w:fill="auto" w:val="clear"/>
            <w:vAlign w:val="bottom"/>
          </w:tcPr>
          <w:p>
            <w:pPr>
              <w:pStyle w:val="Normal"/>
              <w:suppressAutoHyphens w:val="false"/>
              <w:rPr>
                <w:color w:val="000000"/>
                <w:lang w:val="uk-UA" w:eastAsia="uk-UA"/>
              </w:rPr>
            </w:pPr>
            <w:r>
              <w:rPr>
                <w:color w:val="000000"/>
                <w:lang w:val="uk-UA" w:eastAsia="uk-UA"/>
              </w:rPr>
            </w:r>
          </w:p>
        </w:tc>
        <w:tc>
          <w:tcPr>
            <w:tcW w:w="2140" w:type="dxa"/>
            <w:tcBorders>
              <w:bottom w:val="single" w:sz="8" w:space="0" w:color="000000"/>
              <w:right w:val="single" w:sz="8" w:space="0" w:color="000000"/>
            </w:tcBorders>
            <w:shd w:color="auto" w:fill="auto" w:val="clear"/>
            <w:vAlign w:val="bottom"/>
          </w:tcPr>
          <w:p>
            <w:pPr>
              <w:pStyle w:val="Normal"/>
              <w:suppressAutoHyphens w:val="false"/>
              <w:rPr>
                <w:b/>
                <w:bCs/>
                <w:color w:val="000000"/>
                <w:lang w:val="uk-UA" w:eastAsia="uk-UA"/>
              </w:rPr>
            </w:pPr>
            <w:r>
              <w:rPr>
                <w:b/>
                <w:bCs/>
                <w:color w:val="000000"/>
                <w:lang w:val="uk-UA" w:eastAsia="uk-UA"/>
              </w:rPr>
              <w:t>Всього доходів</w:t>
            </w:r>
          </w:p>
        </w:tc>
        <w:tc>
          <w:tcPr>
            <w:tcW w:w="1319" w:type="dxa"/>
            <w:tcBorders>
              <w:bottom w:val="single" w:sz="8" w:space="0" w:color="000000"/>
              <w:right w:val="single" w:sz="8" w:space="0" w:color="000000"/>
            </w:tcBorders>
            <w:shd w:color="auto" w:fill="auto" w:val="clear"/>
            <w:vAlign w:val="bottom"/>
          </w:tcPr>
          <w:p>
            <w:pPr>
              <w:pStyle w:val="Normal"/>
              <w:suppressAutoHyphens w:val="false"/>
              <w:jc w:val="right"/>
              <w:rPr>
                <w:b/>
                <w:bCs/>
                <w:color w:val="000000"/>
                <w:lang w:val="uk-UA" w:eastAsia="uk-UA"/>
              </w:rPr>
            </w:pPr>
            <w:r>
              <w:rPr>
                <w:b/>
                <w:bCs/>
                <w:color w:val="000000"/>
                <w:lang w:val="uk-UA" w:eastAsia="uk-UA"/>
              </w:rPr>
              <w:t>3 724 712,3</w:t>
            </w:r>
          </w:p>
        </w:tc>
        <w:tc>
          <w:tcPr>
            <w:tcW w:w="1302" w:type="dxa"/>
            <w:tcBorders>
              <w:bottom w:val="single" w:sz="8" w:space="0" w:color="000000"/>
              <w:right w:val="single" w:sz="8" w:space="0" w:color="000000"/>
            </w:tcBorders>
            <w:shd w:color="auto" w:fill="auto" w:val="clear"/>
            <w:vAlign w:val="bottom"/>
          </w:tcPr>
          <w:p>
            <w:pPr>
              <w:pStyle w:val="Normal"/>
              <w:suppressAutoHyphens w:val="false"/>
              <w:jc w:val="right"/>
              <w:rPr>
                <w:b/>
                <w:bCs/>
                <w:color w:val="000000"/>
                <w:lang w:val="uk-UA" w:eastAsia="uk-UA"/>
              </w:rPr>
            </w:pPr>
            <w:r>
              <w:rPr>
                <w:b/>
                <w:bCs/>
                <w:color w:val="000000"/>
                <w:lang w:val="uk-UA" w:eastAsia="uk-UA"/>
              </w:rPr>
              <w:t>4 101 607,0</w:t>
            </w:r>
          </w:p>
        </w:tc>
        <w:tc>
          <w:tcPr>
            <w:tcW w:w="1360" w:type="dxa"/>
            <w:tcBorders>
              <w:bottom w:val="single" w:sz="8" w:space="0" w:color="000000"/>
              <w:right w:val="single" w:sz="8" w:space="0" w:color="000000"/>
            </w:tcBorders>
            <w:shd w:color="auto" w:fill="auto" w:val="clear"/>
            <w:vAlign w:val="bottom"/>
          </w:tcPr>
          <w:p>
            <w:pPr>
              <w:pStyle w:val="Normal"/>
              <w:suppressAutoHyphens w:val="false"/>
              <w:jc w:val="right"/>
              <w:rPr>
                <w:b/>
                <w:bCs/>
                <w:color w:val="000000"/>
                <w:lang w:val="uk-UA" w:eastAsia="uk-UA"/>
              </w:rPr>
            </w:pPr>
            <w:r>
              <w:rPr>
                <w:b/>
                <w:bCs/>
                <w:color w:val="000000"/>
                <w:lang w:val="uk-UA" w:eastAsia="uk-UA"/>
              </w:rPr>
              <w:t>4 185 391,6</w:t>
            </w:r>
          </w:p>
        </w:tc>
        <w:tc>
          <w:tcPr>
            <w:tcW w:w="999" w:type="dxa"/>
            <w:tcBorders>
              <w:bottom w:val="single" w:sz="8" w:space="0" w:color="000000"/>
              <w:right w:val="single" w:sz="8" w:space="0" w:color="000000"/>
            </w:tcBorders>
            <w:shd w:color="auto" w:fill="auto" w:val="clear"/>
            <w:vAlign w:val="bottom"/>
          </w:tcPr>
          <w:p>
            <w:pPr>
              <w:pStyle w:val="Normal"/>
              <w:suppressAutoHyphens w:val="false"/>
              <w:jc w:val="right"/>
              <w:rPr>
                <w:color w:val="000000"/>
                <w:lang w:val="uk-UA" w:eastAsia="uk-UA"/>
              </w:rPr>
            </w:pPr>
            <w:r>
              <w:rPr>
                <w:color w:val="000000"/>
                <w:lang w:val="uk-UA" w:eastAsia="uk-UA"/>
              </w:rPr>
              <w:t>102,0</w:t>
            </w:r>
          </w:p>
        </w:tc>
        <w:tc>
          <w:tcPr>
            <w:tcW w:w="1341" w:type="dxa"/>
            <w:tcBorders>
              <w:bottom w:val="single" w:sz="8" w:space="0" w:color="000000"/>
              <w:right w:val="single" w:sz="8" w:space="0" w:color="000000"/>
            </w:tcBorders>
            <w:shd w:color="FFFFCC" w:fill="FFFFFF" w:val="clear"/>
            <w:vAlign w:val="bottom"/>
          </w:tcPr>
          <w:p>
            <w:pPr>
              <w:pStyle w:val="Normal"/>
              <w:suppressAutoHyphens w:val="false"/>
              <w:jc w:val="right"/>
              <w:rPr>
                <w:b/>
                <w:bCs/>
                <w:color w:val="000000"/>
                <w:lang w:val="uk-UA" w:eastAsia="uk-UA"/>
              </w:rPr>
            </w:pPr>
            <w:r>
              <w:rPr>
                <w:b/>
                <w:bCs/>
                <w:color w:val="000000"/>
                <w:lang w:val="uk-UA" w:eastAsia="uk-UA"/>
              </w:rPr>
              <w:t>3 588 383,8</w:t>
            </w:r>
          </w:p>
        </w:tc>
        <w:tc>
          <w:tcPr>
            <w:tcW w:w="1188" w:type="dxa"/>
            <w:tcBorders>
              <w:bottom w:val="single" w:sz="8" w:space="0" w:color="000000"/>
              <w:right w:val="single" w:sz="8" w:space="0" w:color="000000"/>
            </w:tcBorders>
            <w:shd w:color="auto" w:fill="auto" w:val="clear"/>
            <w:vAlign w:val="bottom"/>
          </w:tcPr>
          <w:p>
            <w:pPr>
              <w:pStyle w:val="Normal"/>
              <w:suppressAutoHyphens w:val="false"/>
              <w:jc w:val="right"/>
              <w:rPr>
                <w:b/>
                <w:bCs/>
                <w:color w:val="000000"/>
                <w:lang w:val="uk-UA" w:eastAsia="uk-UA"/>
              </w:rPr>
            </w:pPr>
            <w:r>
              <w:rPr>
                <w:b/>
                <w:bCs/>
                <w:color w:val="000000"/>
                <w:lang w:val="uk-UA" w:eastAsia="uk-UA"/>
              </w:rPr>
              <w:t>597 007,8</w:t>
            </w:r>
          </w:p>
        </w:tc>
      </w:tr>
    </w:tbl>
    <w:p>
      <w:pPr>
        <w:pStyle w:val="Normal"/>
        <w:ind w:firstLine="283" w:left="-709"/>
        <w:jc w:val="center"/>
        <w:rPr>
          <w:sz w:val="28"/>
          <w:szCs w:val="28"/>
          <w:lang w:val="uk-UA"/>
        </w:rPr>
      </w:pPr>
      <w:r>
        <w:rPr>
          <w:sz w:val="28"/>
          <w:szCs w:val="28"/>
          <w:lang w:val="uk-UA"/>
        </w:rPr>
      </w:r>
    </w:p>
    <w:p>
      <w:pPr>
        <w:pStyle w:val="Normal"/>
        <w:ind w:firstLine="283" w:left="-709"/>
        <w:jc w:val="center"/>
        <w:rPr>
          <w:sz w:val="28"/>
          <w:szCs w:val="28"/>
          <w:lang w:val="uk-UA"/>
        </w:rPr>
      </w:pPr>
      <w:r>
        <w:rPr>
          <w:sz w:val="28"/>
          <w:szCs w:val="28"/>
          <w:lang w:val="uk-UA"/>
        </w:rPr>
      </w:r>
    </w:p>
    <w:p>
      <w:pPr>
        <w:pStyle w:val="Normal"/>
        <w:ind w:firstLine="283" w:left="-709"/>
        <w:jc w:val="center"/>
        <w:rPr>
          <w:sz w:val="28"/>
          <w:szCs w:val="28"/>
          <w:lang w:val="uk-UA"/>
        </w:rPr>
      </w:pPr>
      <w:r>
        <w:rPr>
          <w:sz w:val="28"/>
          <w:szCs w:val="28"/>
          <w:lang w:val="uk-UA"/>
        </w:rPr>
      </w:r>
    </w:p>
    <w:p>
      <w:pPr>
        <w:pStyle w:val="Normal"/>
        <w:ind w:firstLine="283" w:left="-709"/>
        <w:jc w:val="center"/>
        <w:rPr>
          <w:sz w:val="28"/>
          <w:szCs w:val="28"/>
          <w:lang w:val="uk-UA"/>
        </w:rPr>
      </w:pPr>
      <w:r>
        <w:rPr>
          <w:sz w:val="28"/>
          <w:szCs w:val="28"/>
          <w:lang w:val="uk-UA"/>
        </w:rPr>
      </w:r>
    </w:p>
    <w:p>
      <w:pPr>
        <w:pStyle w:val="Normal"/>
        <w:ind w:firstLine="283" w:left="-709"/>
        <w:jc w:val="center"/>
        <w:rPr>
          <w:sz w:val="28"/>
          <w:szCs w:val="28"/>
          <w:lang w:val="uk-UA"/>
        </w:rPr>
      </w:pPr>
      <w:r>
        <w:rPr>
          <w:sz w:val="28"/>
          <w:szCs w:val="28"/>
          <w:lang w:val="uk-UA"/>
        </w:rPr>
      </w:r>
    </w:p>
    <w:p>
      <w:pPr>
        <w:pStyle w:val="Normal"/>
        <w:ind w:firstLine="283" w:left="-709"/>
        <w:jc w:val="center"/>
        <w:rPr>
          <w:sz w:val="28"/>
          <w:szCs w:val="28"/>
          <w:lang w:val="uk-UA"/>
        </w:rPr>
      </w:pPr>
      <w:r>
        <w:rPr>
          <w:sz w:val="28"/>
          <w:szCs w:val="28"/>
          <w:lang w:val="uk-UA"/>
        </w:rPr>
      </w:r>
    </w:p>
    <w:p>
      <w:pPr>
        <w:pStyle w:val="Normal"/>
        <w:ind w:firstLine="283" w:left="-709"/>
        <w:jc w:val="center"/>
        <w:rPr>
          <w:sz w:val="28"/>
          <w:szCs w:val="28"/>
          <w:lang w:val="uk-UA"/>
        </w:rPr>
      </w:pPr>
      <w:r>
        <w:rPr>
          <w:sz w:val="28"/>
          <w:szCs w:val="28"/>
          <w:lang w:val="uk-UA"/>
        </w:rPr>
      </w:r>
    </w:p>
    <w:p>
      <w:pPr>
        <w:pStyle w:val="Normal"/>
        <w:ind w:firstLine="283" w:left="-709"/>
        <w:jc w:val="center"/>
        <w:rPr>
          <w:sz w:val="28"/>
          <w:szCs w:val="28"/>
          <w:lang w:val="uk-UA"/>
        </w:rPr>
      </w:pPr>
      <w:r>
        <w:rPr>
          <w:sz w:val="28"/>
          <w:szCs w:val="28"/>
          <w:lang w:val="uk-UA"/>
        </w:rPr>
      </w:r>
    </w:p>
    <w:p>
      <w:pPr>
        <w:pStyle w:val="Normal"/>
        <w:ind w:firstLine="283" w:left="-709"/>
        <w:jc w:val="center"/>
        <w:rPr/>
      </w:pPr>
      <w:r>
        <w:rPr>
          <w:sz w:val="28"/>
          <w:szCs w:val="28"/>
          <w:lang w:val="uk-UA"/>
        </w:rPr>
        <w:t xml:space="preserve">Порівняльна таблиця виконання видаткової частини бюджету </w:t>
      </w:r>
    </w:p>
    <w:p>
      <w:pPr>
        <w:pStyle w:val="Normal"/>
        <w:ind w:firstLine="283" w:left="-709"/>
        <w:jc w:val="center"/>
        <w:rPr/>
      </w:pPr>
      <w:r>
        <w:rPr>
          <w:sz w:val="28"/>
          <w:szCs w:val="28"/>
          <w:lang w:val="uk-UA"/>
        </w:rPr>
        <w:t>за 2024-2023 роки:</w:t>
      </w:r>
    </w:p>
    <w:p>
      <w:pPr>
        <w:pStyle w:val="Normal"/>
        <w:ind w:firstLine="283" w:left="-709"/>
        <w:jc w:val="right"/>
        <w:rPr/>
      </w:pPr>
      <w:r>
        <w:rPr>
          <w:sz w:val="28"/>
          <w:szCs w:val="28"/>
          <w:lang w:val="uk-UA"/>
        </w:rPr>
        <w:tab/>
        <w:t xml:space="preserve">                                                                                                                          тис. грн</w:t>
      </w:r>
    </w:p>
    <w:tbl>
      <w:tblPr>
        <w:tblW w:w="9782" w:type="dxa"/>
        <w:jc w:val="left"/>
        <w:tblInd w:w="-205" w:type="dxa"/>
        <w:tblLayout w:type="fixed"/>
        <w:tblCellMar>
          <w:top w:w="0" w:type="dxa"/>
          <w:left w:w="108" w:type="dxa"/>
          <w:bottom w:w="0" w:type="dxa"/>
          <w:right w:w="108" w:type="dxa"/>
        </w:tblCellMar>
        <w:tblLook w:val="0000"/>
      </w:tblPr>
      <w:tblGrid>
        <w:gridCol w:w="992"/>
        <w:gridCol w:w="2270"/>
        <w:gridCol w:w="1274"/>
        <w:gridCol w:w="1420"/>
        <w:gridCol w:w="992"/>
        <w:gridCol w:w="1416"/>
        <w:gridCol w:w="1417"/>
      </w:tblGrid>
      <w:tr>
        <w:trPr>
          <w:trHeight w:val="1380" w:hRule="atLeast"/>
        </w:trPr>
        <w:tc>
          <w:tcPr>
            <w:tcW w:w="992"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lang w:val="uk-UA"/>
              </w:rPr>
              <w:t>КПВК</w:t>
            </w:r>
          </w:p>
        </w:tc>
        <w:tc>
          <w:tcPr>
            <w:tcW w:w="2270"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lang w:val="uk-UA"/>
              </w:rPr>
              <w:t>Галузі</w:t>
            </w:r>
          </w:p>
        </w:tc>
        <w:tc>
          <w:tcPr>
            <w:tcW w:w="1274"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lang w:val="uk-UA"/>
              </w:rPr>
              <w:t>Уточнений бюджет на 2024 рік</w:t>
            </w:r>
          </w:p>
        </w:tc>
        <w:tc>
          <w:tcPr>
            <w:tcW w:w="1420"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lang w:val="uk-UA"/>
              </w:rPr>
              <w:t>Касові видатки за 2024 рік</w:t>
            </w:r>
          </w:p>
        </w:tc>
        <w:tc>
          <w:tcPr>
            <w:tcW w:w="992"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lang w:val="uk-UA"/>
              </w:rPr>
              <w:t>% вико нання</w:t>
            </w:r>
          </w:p>
        </w:tc>
        <w:tc>
          <w:tcPr>
            <w:tcW w:w="1416"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lang w:val="uk-UA"/>
              </w:rPr>
              <w:t>Касові видатки за            2023 рік</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pPr>
            <w:r>
              <w:rPr>
                <w:lang w:val="uk-UA"/>
              </w:rPr>
              <w:t>(+), (-)</w:t>
            </w:r>
          </w:p>
        </w:tc>
      </w:tr>
      <w:tr>
        <w:trPr>
          <w:trHeight w:val="256"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lang w:val="uk-UA"/>
              </w:rPr>
              <w:t> </w:t>
            </w:r>
            <w:r>
              <w:rPr>
                <w:lang w:val="uk-UA"/>
              </w:rPr>
              <w:t>1</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lang w:val="uk-UA"/>
              </w:rPr>
              <w:t>2</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lang w:val="uk-UA"/>
              </w:rPr>
              <w:t>3</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lang w:val="uk-UA"/>
              </w:rPr>
              <w:t>4</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lang w:val="uk-UA"/>
              </w:rPr>
              <w:t>5=4/3</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lang w:val="uk-UA"/>
              </w:rPr>
              <w:t>6</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center"/>
              <w:rPr/>
            </w:pPr>
            <w:r>
              <w:rPr>
                <w:lang w:val="uk-UA"/>
              </w:rPr>
              <w:t>7=4-6</w:t>
            </w:r>
          </w:p>
        </w:tc>
      </w:tr>
      <w:tr>
        <w:trPr>
          <w:trHeight w:val="511"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rPr>
                <w:b/>
                <w:bCs/>
              </w:rPr>
            </w:pPr>
            <w:r>
              <w:rPr>
                <w:b/>
                <w:bCs/>
              </w:rPr>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b/>
                <w:bCs/>
              </w:rPr>
              <w:t>1.Видатки загального фонду без субвенцій</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b/>
                <w:lang w:val="uk-UA"/>
              </w:rPr>
            </w:pPr>
            <w:r>
              <w:rPr>
                <w:b/>
                <w:lang w:val="uk-UA"/>
              </w:rPr>
              <w:t>2 741 205,6</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b/>
                <w:lang w:val="uk-UA"/>
              </w:rPr>
            </w:pPr>
            <w:r>
              <w:rPr>
                <w:b/>
                <w:lang w:val="uk-UA"/>
              </w:rPr>
              <w:t>2 633 965,7</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b/>
                <w:lang w:val="uk-UA"/>
              </w:rPr>
            </w:pPr>
            <w:r>
              <w:rPr>
                <w:b/>
                <w:lang w:val="uk-UA"/>
              </w:rPr>
              <w:t>96,1</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b/>
                <w:lang w:val="uk-UA"/>
              </w:rPr>
            </w:pPr>
            <w:r>
              <w:rPr>
                <w:b/>
                <w:lang w:val="uk-UA"/>
              </w:rPr>
              <w:t>2 433 721,2</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b/>
                <w:lang w:val="uk-UA"/>
              </w:rPr>
            </w:pPr>
            <w:r>
              <w:rPr>
                <w:b/>
                <w:lang w:val="uk-UA"/>
              </w:rPr>
              <w:t>200 244,5</w:t>
            </w:r>
          </w:p>
        </w:tc>
      </w:tr>
      <w:tr>
        <w:trPr>
          <w:trHeight w:val="340"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t>.0150, .0160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Органи управління</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302 218,5</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292 149,0</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96,7</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259 719,9</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32 429,1</w:t>
            </w:r>
          </w:p>
        </w:tc>
      </w:tr>
      <w:tr>
        <w:trPr>
          <w:trHeight w:val="340"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t>.0180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Трудовий архів</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1 340,3</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1 280,4</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95,5</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1 023,7</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256,7</w:t>
            </w:r>
          </w:p>
        </w:tc>
      </w:tr>
      <w:tr>
        <w:trPr>
          <w:trHeight w:val="340"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t>1000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Освіта, в тому числі:</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1 242 049,7</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1 207 855,4</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97,2</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1 031 116,4</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176 739,0</w:t>
            </w:r>
          </w:p>
        </w:tc>
      </w:tr>
      <w:tr>
        <w:trPr>
          <w:trHeight w:val="340"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i/>
                <w:iCs/>
              </w:rPr>
              <w:t>1000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Освіта (дошк</w:t>
            </w:r>
            <w:r>
              <w:rPr>
                <w:lang w:val="uk-UA"/>
              </w:rPr>
              <w:t xml:space="preserve">ільна, </w:t>
            </w:r>
            <w:r>
              <w:rPr/>
              <w:t xml:space="preserve"> позашк</w:t>
            </w:r>
            <w:r>
              <w:rPr>
                <w:lang w:val="uk-UA"/>
              </w:rPr>
              <w:t xml:space="preserve">ільна </w:t>
            </w:r>
            <w:r>
              <w:rPr/>
              <w:t xml:space="preserve"> освіта тощо)</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986 641,0</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957 549,6</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97,1</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779 738,7</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177 810,9</w:t>
            </w:r>
          </w:p>
        </w:tc>
      </w:tr>
      <w:tr>
        <w:trPr>
          <w:trHeight w:val="340"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i/>
                <w:iCs/>
              </w:rPr>
              <w:t>1000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Освіта (додаткові кошти до субвенціі)</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49 498,8</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49 498,8</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100,0</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70 438,5</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-20 939,7</w:t>
            </w:r>
          </w:p>
        </w:tc>
      </w:tr>
      <w:tr>
        <w:trPr>
          <w:trHeight w:val="340"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i/>
                <w:iCs/>
              </w:rPr>
              <w:t>1100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Освіта (школи естетичного виховання)</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83 039,7</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80 260,2</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96,7</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71 825,9</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8 434,3</w:t>
            </w:r>
          </w:p>
        </w:tc>
      </w:tr>
      <w:tr>
        <w:trPr>
          <w:trHeight w:val="340"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i/>
                <w:iCs/>
              </w:rPr>
              <w:t>1110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Профтехосвіта</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122 870,2</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120 546,8</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98,1</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109 113,3</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11 433,5</w:t>
            </w:r>
          </w:p>
        </w:tc>
      </w:tr>
      <w:tr>
        <w:trPr>
          <w:trHeight w:val="340"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t>2000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Охорона здоров’я</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89 312,7</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86 245,4</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96,6</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74 002,6</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12 242,8</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t>3000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Соціальний захист та соціальне забезпечення</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126 091,8</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113 359,4</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89,9</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90 596,2</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22 763,2</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t>4000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Культура і мистецтво</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78 861,2</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77 072,4</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97,7</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67 239,4</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9 833,0</w:t>
            </w:r>
          </w:p>
        </w:tc>
      </w:tr>
      <w:tr>
        <w:trPr>
          <w:trHeight w:val="68"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t>5000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Фізична культура і спорт</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70 808,4</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63 707,0</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90,0</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54 343,9</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9 363,1</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t>6000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Житлово-комунальне господарство</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522 405,9</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505 188,6</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96,7</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416 869,9</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88 318,7</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i/>
                <w:iCs/>
              </w:rPr>
              <w:t>6012</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i/>
                <w:iCs/>
              </w:rPr>
              <w:t>Забезпечення функціонування теплових мереж</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215 619,0</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215 619,0</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100,0</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180 945,6</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34 673,4</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i/>
                <w:iCs/>
              </w:rPr>
              <w:t>6013</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i/>
                <w:iCs/>
              </w:rPr>
              <w:t>Водопровідно-каналізаційне господарство</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78 620,0</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78 620,0</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100,0</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56 144,6</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22 475,4</w:t>
            </w:r>
          </w:p>
        </w:tc>
      </w:tr>
      <w:tr>
        <w:trPr>
          <w:trHeight w:val="36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i/>
                <w:iCs/>
              </w:rPr>
              <w:t>6017</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i/>
                <w:iCs/>
              </w:rPr>
              <w:t>Поточний ремонт прибудинкових територій</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19 066,0</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14 812,5</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77,7</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19 817,9</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-5 005,4</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i/>
                <w:iCs/>
              </w:rPr>
              <w:t>6020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i/>
                <w:iCs/>
              </w:rPr>
              <w:t>Фінансова підтримка КП</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54 208,9</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44 902,5</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82,8</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27 586,7</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17 315,8</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t>6030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Благоустрій міста</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154 892,0</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151 234,6</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97,6</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132 375,1</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18 859,5</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t>6090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Інша діяльність у сфері ЖКГ</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50,0</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lang w:val="uk-UA"/>
              </w:rPr>
            </w:pPr>
            <w:r>
              <w:rPr>
                <w:lang w:val="uk-UA"/>
              </w:rPr>
              <w:t>50,0</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lang w:val="uk-UA"/>
              </w:rPr>
            </w:pPr>
            <w:r>
              <w:rPr>
                <w:lang w:val="uk-UA"/>
              </w:rPr>
              <w:t>100,0</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lang w:val="uk-UA"/>
              </w:rPr>
            </w:pPr>
            <w:r>
              <w:rPr>
                <w:lang w:val="uk-UA"/>
              </w:rPr>
              <w:t>165,0</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napToGrid w:val="false"/>
              <w:jc w:val="right"/>
              <w:rPr>
                <w:lang w:val="uk-UA"/>
              </w:rPr>
            </w:pPr>
            <w:r>
              <w:rPr>
                <w:lang w:val="uk-UA"/>
              </w:rPr>
              <w:t>-115,0</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lang w:val="uk-UA"/>
              </w:rPr>
            </w:pPr>
            <w:r>
              <w:rPr>
                <w:lang w:val="uk-UA"/>
              </w:rPr>
              <w:t>7110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lang w:val="uk-UA"/>
              </w:rPr>
            </w:pPr>
            <w:r>
              <w:rPr>
                <w:lang w:val="uk-UA"/>
              </w:rPr>
              <w:t>Регулювання програм в галузі с/г</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160,0</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77,2</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48,3</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15,6</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61,6</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t>7130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Регулювання земельних відносин</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450,0</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392,5</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87,2</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148,0</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244,5</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t>7150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Реалізація програми в сферілісового господарства та мис</w:t>
            </w:r>
            <w:r>
              <w:rPr>
                <w:lang w:val="uk-UA"/>
              </w:rPr>
              <w:t>ливства</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1 223,0</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750,9</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61,4</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504,4</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246,5</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rPr/>
            </w:pPr>
            <w:r>
              <w:rPr>
                <w:lang w:val="uk-UA"/>
              </w:rPr>
              <w:t>7340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snapToGrid w:val="false"/>
              <w:rPr>
                <w:lang w:val="uk-UA"/>
              </w:rPr>
            </w:pPr>
            <w:r>
              <w:rPr>
                <w:lang w:val="uk-UA"/>
              </w:rPr>
            </w:r>
          </w:p>
          <w:p>
            <w:pPr>
              <w:pStyle w:val="Normal"/>
              <w:rPr/>
            </w:pPr>
            <w:r>
              <w:rPr/>
              <w:t>Проєктування, реєстрація та охорона памяток архітектури</w:t>
            </w:r>
          </w:p>
          <w:p>
            <w:pPr>
              <w:pStyle w:val="Normal"/>
              <w:rPr/>
            </w:pPr>
            <w:r>
              <w:rPr/>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200,0</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snapToGrid w:val="false"/>
              <w:rPr>
                <w:lang w:val="uk-UA"/>
              </w:rPr>
            </w:pPr>
            <w:r>
              <w:rPr>
                <w:lang w:val="uk-UA"/>
              </w:rPr>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snapToGrid w:val="false"/>
              <w:rPr>
                <w:lang w:val="uk-UA"/>
              </w:rPr>
            </w:pPr>
            <w:r>
              <w:rPr>
                <w:lang w:val="uk-UA"/>
              </w:rPr>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lang w:val="uk-UA"/>
              </w:rPr>
            </w:pPr>
            <w:r>
              <w:rPr>
                <w:lang w:val="uk-UA"/>
              </w:rPr>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napToGrid w:val="false"/>
              <w:jc w:val="right"/>
              <w:rPr/>
            </w:pPr>
            <w:r>
              <w:rPr/>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t>7350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Розроблення містобудівної документації</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pPr>
            <w:r>
              <w:rPr/>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snapToGrid w:val="false"/>
              <w:rPr>
                <w:lang w:val="uk-UA"/>
              </w:rPr>
            </w:pPr>
            <w:r>
              <w:rPr>
                <w:lang w:val="uk-UA"/>
              </w:rPr>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snapToGrid w:val="false"/>
              <w:rPr>
                <w:lang w:val="uk-UA"/>
              </w:rPr>
            </w:pPr>
            <w:r>
              <w:rPr>
                <w:lang w:val="uk-UA"/>
              </w:rPr>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180,0</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-180,0</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t>7366</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Реалізація проектів в рамках надзвичайної кредитної програми для відновлення України</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50,0</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snapToGrid w:val="false"/>
              <w:rPr>
                <w:lang w:val="uk-UA"/>
              </w:rPr>
            </w:pPr>
            <w:r>
              <w:rPr>
                <w:lang w:val="uk-UA"/>
              </w:rPr>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snapToGrid w:val="false"/>
              <w:rPr>
                <w:lang w:val="uk-UA"/>
              </w:rPr>
            </w:pPr>
            <w:r>
              <w:rPr>
                <w:lang w:val="uk-UA"/>
              </w:rPr>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pPr>
            <w:r>
              <w:rPr/>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napToGrid w:val="false"/>
              <w:jc w:val="right"/>
              <w:rPr/>
            </w:pPr>
            <w:r>
              <w:rPr/>
            </w:r>
          </w:p>
        </w:tc>
      </w:tr>
      <w:tr>
        <w:trPr>
          <w:trHeight w:val="637"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t>7421</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Утримання та розвиток наземного  електротранспорту</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189,4</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snapToGrid w:val="false"/>
              <w:rPr>
                <w:lang w:val="uk-UA"/>
              </w:rPr>
            </w:pPr>
            <w:r>
              <w:rPr>
                <w:lang w:val="uk-UA"/>
              </w:rPr>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snapToGrid w:val="false"/>
              <w:rPr>
                <w:lang w:val="uk-UA"/>
              </w:rPr>
            </w:pPr>
            <w:r>
              <w:rPr>
                <w:lang w:val="uk-UA"/>
              </w:rPr>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pPr>
            <w:r>
              <w:rPr/>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napToGrid w:val="false"/>
              <w:jc w:val="right"/>
              <w:rPr/>
            </w:pPr>
            <w:r>
              <w:rPr/>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t>7426</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Оплату послуг електротранспорту</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75 682,0</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75 504,5</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99,8</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58 709,0</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16 795,5</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t>7450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Програма  автоматизованої системи обліку оплати проїзду</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740,0</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701,8</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94,8</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2 482,2</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-1 780,4</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t>7461</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Будівництво, реконструкція, утримання автодоріг</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118 650,0</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109 814,3</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92,6</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140 555,7</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-30 741,4</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t>7610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Підтримка малого і середнього підприємництва</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360,0</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323,0</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89,7</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1 961,8</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-1 638,8</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t>7622</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Реалізація заходів в галузі туризму</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4700,0</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4 280,2</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91,1</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3 233,5</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1 046,7</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t>7680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Членські внески до асоціацій органів місцевого самоврядування</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355,0</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352,5</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99,3</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286,3</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66,2</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t>7693</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Відшкодування відсотків ОСББ</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8 645,0</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8 388,1</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97,0</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12 075,4</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-3 687,3</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t>7693</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 xml:space="preserve">Фінпідтимка </w:t>
            </w:r>
            <w:r>
              <w:rPr>
                <w:lang w:val="en-US"/>
              </w:rPr>
              <w:t xml:space="preserve"> комунальних підприємств</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6 708,4</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6 420,3</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95,7</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5 185,7</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1 234,6</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t>7700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Реалізація програм допомоги і грантів ЄС</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700,0</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472,6</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67,5</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405,5</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67,1</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t>8110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Заходи з цивільного захисту</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925,0</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787,2</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85,1</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5 119,3</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-4 332,1</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t>8120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Заходи з організації рятування на водах</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735,0</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714,7</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97,2</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555,0</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159,7</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iCs/>
              </w:rPr>
              <w:t>8230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iCs/>
              </w:rPr>
              <w:t>Заходи громадського порядоку  та безпеки</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1 140,0</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1 100,5</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96,5</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3 275,5</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-2 175,0</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iCs/>
              </w:rPr>
              <w:t>8240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iCs/>
              </w:rPr>
              <w:t>Заходи з територіальної оборони</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39 763,7</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37 642,2</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94,7</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22 410,5</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15 231,7</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iCs/>
              </w:rPr>
              <w:t>8330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iCs/>
              </w:rPr>
              <w:t>Діяльність у сфері екології</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700,0</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lang w:val="uk-UA"/>
              </w:rPr>
            </w:pPr>
            <w:r>
              <w:rPr>
                <w:lang w:val="uk-UA"/>
              </w:rPr>
              <w:t>462,2</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66,0</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lang w:val="uk-UA"/>
              </w:rPr>
            </w:pPr>
            <w:r>
              <w:rPr>
                <w:lang w:val="uk-UA"/>
              </w:rPr>
              <w:t>422,1</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40,1</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iCs/>
              </w:rPr>
              <w:t>8420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iCs/>
              </w:rPr>
              <w:t>Фінансова підтримка засобів масової інформації</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r>
          </w:p>
          <w:p>
            <w:pPr>
              <w:pStyle w:val="Normal"/>
              <w:jc w:val="right"/>
              <w:rPr>
                <w:lang w:val="uk-UA"/>
              </w:rPr>
            </w:pPr>
            <w:r>
              <w:rPr>
                <w:lang w:val="uk-UA"/>
              </w:rPr>
              <w:t>360,0</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360,0</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100,0</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1 045,4</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-685,4</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iCs/>
              </w:rPr>
              <w:t>8600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iCs/>
              </w:rPr>
              <w:t>Обслуговування боргу</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7 647,1</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6 915,3</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90,4</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16 712,6</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-9 797,3</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iCs/>
              </w:rPr>
              <w:t>8710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iCs/>
              </w:rPr>
              <w:t>Резервний фонд</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2 731,2</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lang w:val="uk-UA"/>
              </w:rPr>
            </w:pPr>
            <w:r>
              <w:rPr>
                <w:lang w:val="uk-UA"/>
              </w:rPr>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lang w:val="uk-UA"/>
              </w:rPr>
            </w:pPr>
            <w:r>
              <w:rPr>
                <w:lang w:val="uk-UA"/>
              </w:rPr>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pPr>
            <w:r>
              <w:rPr/>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napToGrid w:val="false"/>
              <w:jc w:val="right"/>
              <w:rPr/>
            </w:pPr>
            <w:r>
              <w:rPr/>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iCs/>
                <w:lang w:val="uk-UA"/>
              </w:rPr>
              <w:t>8710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iCs/>
                <w:lang w:val="uk-UA"/>
              </w:rPr>
              <w:t>Бюджет участі</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50,3</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lang w:val="uk-UA"/>
              </w:rPr>
            </w:pPr>
            <w:r>
              <w:rPr>
                <w:lang w:val="uk-UA"/>
              </w:rPr>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lang w:val="uk-UA"/>
              </w:rPr>
            </w:pPr>
            <w:r>
              <w:rPr>
                <w:lang w:val="uk-UA"/>
              </w:rPr>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pPr>
            <w:r>
              <w:rPr/>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napToGrid w:val="false"/>
              <w:jc w:val="right"/>
              <w:rPr/>
            </w:pPr>
            <w:r>
              <w:rPr/>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iCs/>
                <w:lang w:val="uk-UA"/>
              </w:rPr>
              <w:t>8741</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iCs/>
                <w:lang w:val="uk-UA"/>
              </w:rPr>
              <w:t>Заходи із запобігання та ліквідації наслідків надзвичайної ситуації за рахунок резервного фонду</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3 000,0</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lang w:val="uk-UA"/>
              </w:rPr>
            </w:pPr>
            <w:r>
              <w:rPr>
                <w:lang w:val="uk-UA"/>
              </w:rPr>
              <w:t>450,2</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lang w:val="uk-UA"/>
              </w:rPr>
            </w:pPr>
            <w:r>
              <w:rPr>
                <w:lang w:val="uk-UA"/>
              </w:rPr>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lang w:val="uk-UA"/>
              </w:rPr>
            </w:pPr>
            <w:r>
              <w:rPr>
                <w:lang w:val="uk-UA"/>
              </w:rPr>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napToGrid w:val="false"/>
              <w:jc w:val="right"/>
              <w:rPr>
                <w:lang w:val="uk-UA"/>
              </w:rPr>
            </w:pPr>
            <w:r>
              <w:rPr>
                <w:lang w:val="uk-UA"/>
              </w:rPr>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iCs/>
                <w:lang w:val="uk-UA"/>
              </w:rPr>
              <w:t>8751</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iCs/>
                <w:lang w:val="uk-UA"/>
              </w:rPr>
              <w:t>Допомога населенню, що постраждало внаслідок надзвичайної ситуації</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2 050,0</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1 846,2</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90,1</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lang w:val="uk-UA"/>
              </w:rPr>
            </w:pPr>
            <w:r>
              <w:rPr>
                <w:lang w:val="uk-UA"/>
              </w:rPr>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napToGrid w:val="false"/>
              <w:jc w:val="right"/>
              <w:rPr>
                <w:lang w:val="uk-UA"/>
              </w:rPr>
            </w:pPr>
            <w:r>
              <w:rPr>
                <w:lang w:val="uk-UA"/>
              </w:rPr>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iCs/>
                <w:lang w:val="uk-UA"/>
              </w:rPr>
              <w:t>8752</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iCs/>
                <w:lang w:val="uk-UA"/>
              </w:rPr>
              <w:t>Допомога у вирішенні житлового питання особам, що постраждали внаслідок надзвичайної ситуації</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500,0</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406,0</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81,2</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lang w:val="uk-UA"/>
              </w:rPr>
            </w:pPr>
            <w:r>
              <w:rPr>
                <w:lang w:val="uk-UA"/>
              </w:rPr>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napToGrid w:val="false"/>
              <w:jc w:val="right"/>
              <w:rPr>
                <w:lang w:val="uk-UA"/>
              </w:rPr>
            </w:pPr>
            <w:r>
              <w:rPr>
                <w:lang w:val="uk-UA"/>
              </w:rPr>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iCs/>
                <w:lang w:val="uk-UA"/>
              </w:rPr>
              <w:t>8775</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iCs/>
                <w:lang w:val="uk-UA"/>
              </w:rPr>
              <w:t>Інші заходи за рахунок резервного фонду</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300,0</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253,5</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84,5</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lang w:val="uk-UA"/>
              </w:rPr>
            </w:pPr>
            <w:r>
              <w:rPr>
                <w:lang w:val="uk-UA"/>
              </w:rPr>
              <w:t>1 928,3</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napToGrid w:val="false"/>
              <w:jc w:val="right"/>
              <w:rPr>
                <w:lang w:val="uk-UA"/>
              </w:rPr>
            </w:pPr>
            <w:r>
              <w:rPr>
                <w:lang w:val="uk-UA"/>
              </w:rPr>
              <w:t>-1 674,8</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iCs/>
                <w:lang w:val="uk-UA"/>
              </w:rPr>
            </w:pPr>
            <w:r>
              <w:rPr>
                <w:iCs/>
                <w:lang w:val="uk-UA"/>
              </w:rPr>
              <w:t>9730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iCs/>
                <w:lang w:val="uk-UA"/>
              </w:rPr>
            </w:pPr>
            <w:r>
              <w:rPr>
                <w:iCs/>
                <w:lang w:val="uk-UA"/>
              </w:rPr>
              <w:t>Субвенція з обласного бюджету на дороги</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3500,0</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3 500,0</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100,0</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pPr>
            <w:r>
              <w:rPr/>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ind w:left="360"/>
              <w:jc w:val="right"/>
              <w:rPr/>
            </w:pPr>
            <w:r>
              <w:rPr/>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iCs/>
              </w:rPr>
              <w:t>9770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iCs/>
              </w:rPr>
              <w:t>Інші субвенції з місцевого бюджету</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5 624,6</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5 206,9</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92,6</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6 296,0</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ind w:left="360"/>
              <w:jc w:val="right"/>
              <w:rPr>
                <w:lang w:val="uk-UA"/>
              </w:rPr>
            </w:pPr>
            <w:r>
              <w:rPr>
                <w:lang w:val="uk-UA"/>
              </w:rPr>
              <w:t>-1 089,1</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iCs/>
              </w:rPr>
              <w:t>9800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iCs/>
              </w:rPr>
              <w:t>Субвенція державному бюджету</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20 227,4</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19 935,3</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98,6</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21 544,8</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-1 609,5</w:t>
            </w:r>
          </w:p>
        </w:tc>
      </w:tr>
      <w:tr>
        <w:trPr>
          <w:trHeight w:val="321"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iCs/>
              </w:rPr>
              <w:t>9110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iCs/>
              </w:rPr>
              <w:t>Реверсна дотація</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pPr>
            <w:r>
              <w:rPr/>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pPr>
            <w:r>
              <w:rPr/>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pPr>
            <w:r>
              <w:rPr/>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133 591,6</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-133 591,6</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b/>
                <w:bCs/>
              </w:rPr>
              <w:t>2.Субвенції, що надійшли з державного бюджету</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b/>
                <w:lang w:val="uk-UA"/>
              </w:rPr>
            </w:pPr>
            <w:r>
              <w:rPr>
                <w:b/>
                <w:lang w:val="uk-UA"/>
              </w:rPr>
              <w:t>663 546,1</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b/>
                <w:lang w:val="uk-UA"/>
              </w:rPr>
            </w:pPr>
            <w:r>
              <w:rPr>
                <w:b/>
                <w:lang w:val="uk-UA"/>
              </w:rPr>
              <w:t>656 139,2</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b/>
                <w:lang w:val="uk-UA"/>
              </w:rPr>
            </w:pPr>
            <w:r>
              <w:rPr>
                <w:b/>
                <w:lang w:val="uk-UA"/>
              </w:rPr>
              <w:t>98,9</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b/>
                <w:lang w:val="uk-UA"/>
              </w:rPr>
            </w:pPr>
            <w:r>
              <w:rPr>
                <w:b/>
                <w:lang w:val="uk-UA"/>
              </w:rPr>
              <w:t>537 028,9</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b/>
                <w:lang w:val="uk-UA"/>
              </w:rPr>
            </w:pPr>
            <w:r>
              <w:rPr>
                <w:b/>
                <w:lang w:val="uk-UA"/>
              </w:rPr>
              <w:t>119 110,3</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t>1000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Освітня субв</w:t>
            </w:r>
            <w:r>
              <w:rPr>
                <w:lang w:val="uk-UA"/>
              </w:rPr>
              <w:t>енція з Державного бюджету</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624 659,6</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623 924,7</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99,9</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527 900,0</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96 024,7</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t>1100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Освітня субв</w:t>
            </w:r>
            <w:r>
              <w:rPr>
                <w:lang w:val="uk-UA"/>
              </w:rPr>
              <w:t>енція з обласного бюджету</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8 728,2</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8 687,9</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99,5</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5 706,3</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2 981,6</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t>1100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Субвенція з Державного бюджету для дітей з особливими освітніми потребами</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2 747,3</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2 747,0</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100,0</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1 461,1</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1 285,9</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center"/>
          </w:tcPr>
          <w:p>
            <w:pPr>
              <w:pStyle w:val="Normal"/>
              <w:jc w:val="center"/>
              <w:rPr>
                <w:lang w:val="uk-UA"/>
              </w:rPr>
            </w:pPr>
            <w:r>
              <w:rPr>
                <w:lang w:val="uk-UA"/>
              </w:rPr>
              <w:t>1000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jc w:val="both"/>
              <w:rPr>
                <w:lang w:val="uk-UA"/>
              </w:rPr>
            </w:pPr>
            <w:r>
              <w:rPr>
                <w:lang w:val="uk-UA"/>
              </w:rPr>
              <w:t>Субвенція на харчування початкових класів</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18 485,0</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11 991,6</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64,9</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pPr>
            <w:r>
              <w:rPr/>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11 991,6</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center"/>
          </w:tcPr>
          <w:p>
            <w:pPr>
              <w:pStyle w:val="Normal"/>
              <w:jc w:val="center"/>
              <w:rPr>
                <w:lang w:val="uk-UA"/>
              </w:rPr>
            </w:pPr>
            <w:r>
              <w:rPr>
                <w:lang w:val="uk-UA"/>
              </w:rPr>
              <w:t>1000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jc w:val="both"/>
              <w:rPr>
                <w:lang w:val="uk-UA"/>
              </w:rPr>
            </w:pPr>
            <w:r>
              <w:rPr>
                <w:lang w:val="uk-UA"/>
              </w:rPr>
              <w:t>Субвенція з МБ «Нова українська школа»</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558,8</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558,8</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100,0</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pPr>
            <w:r>
              <w:rPr/>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558,8</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lang w:val="uk-UA"/>
              </w:rPr>
              <w:t>3000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jc w:val="both"/>
              <w:rPr/>
            </w:pPr>
            <w:r>
              <w:rPr/>
              <w:t>Інша субвенція (з обласного бюджету)</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1 458,9</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1 458,3</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100,0</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1 420,4</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37,9</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center"/>
          </w:tcPr>
          <w:p>
            <w:pPr>
              <w:pStyle w:val="Normal"/>
              <w:snapToGrid w:val="false"/>
              <w:jc w:val="center"/>
              <w:rPr>
                <w:lang w:val="uk-UA"/>
              </w:rPr>
            </w:pPr>
            <w:r>
              <w:rPr>
                <w:lang w:val="uk-UA"/>
              </w:rPr>
              <w:t>6020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jc w:val="both"/>
              <w:rPr>
                <w:lang w:val="uk-UA"/>
              </w:rPr>
            </w:pPr>
            <w:r>
              <w:rPr>
                <w:lang w:val="uk-UA"/>
              </w:rPr>
              <w:t>Субвенція       з Боратинської СТГ</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6 500,0</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6 404,5</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lang w:val="uk-UA"/>
              </w:rPr>
            </w:pPr>
            <w:r>
              <w:rPr>
                <w:lang w:val="uk-UA"/>
              </w:rPr>
              <w:t>98,5</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snapToGrid w:val="false"/>
              <w:rPr>
                <w:lang w:val="uk-UA"/>
              </w:rPr>
            </w:pPr>
            <w:r>
              <w:rPr>
                <w:lang w:val="uk-UA"/>
              </w:rPr>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6 404,5</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center"/>
          </w:tcPr>
          <w:p>
            <w:pPr>
              <w:pStyle w:val="Normal"/>
              <w:snapToGrid w:val="false"/>
              <w:jc w:val="center"/>
              <w:rPr/>
            </w:pPr>
            <w:r>
              <w:rPr>
                <w:lang w:val="uk-UA"/>
              </w:rPr>
              <w:t>7110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jc w:val="both"/>
              <w:rPr/>
            </w:pPr>
            <w:r>
              <w:rPr>
                <w:lang w:val="uk-UA"/>
              </w:rPr>
              <w:t>Реалізація програми в сфері с/г</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7,9</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7,9</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lang w:val="uk-UA"/>
              </w:rPr>
            </w:pPr>
            <w:r>
              <w:rPr>
                <w:lang w:val="uk-UA"/>
              </w:rPr>
              <w:t>100,0</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snapToGrid w:val="false"/>
              <w:rPr>
                <w:lang w:val="uk-UA"/>
              </w:rPr>
            </w:pPr>
            <w:r>
              <w:rPr>
                <w:lang w:val="uk-UA"/>
              </w:rPr>
              <w:t>41,7</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-33,8</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center"/>
          </w:tcPr>
          <w:p>
            <w:pPr>
              <w:pStyle w:val="Normal"/>
              <w:snapToGrid w:val="false"/>
              <w:jc w:val="center"/>
              <w:rPr>
                <w:lang w:val="uk-UA"/>
              </w:rPr>
            </w:pPr>
            <w:r>
              <w:rPr>
                <w:lang w:val="uk-UA"/>
              </w:rPr>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jc w:val="both"/>
              <w:rPr/>
            </w:pPr>
            <w:r>
              <w:rPr>
                <w:lang w:val="uk-UA"/>
              </w:rPr>
              <w:t>Дотація на відшкодування коштів за енергоносії</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400,4</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358,5</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lang w:val="uk-UA"/>
              </w:rPr>
            </w:pPr>
            <w:r>
              <w:rPr>
                <w:lang w:val="uk-UA"/>
              </w:rPr>
              <w:t>89,5</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highlight w:val="yellow"/>
                <w:lang w:val="uk-UA"/>
              </w:rPr>
            </w:pPr>
            <w:r>
              <w:rPr>
                <w:lang w:val="uk-UA"/>
              </w:rPr>
              <w:t>499,2</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-140,7</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rPr/>
            </w:pPr>
            <w:r>
              <w:rPr/>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b/>
                <w:bCs/>
              </w:rPr>
              <w:t>3. РАЗОМ видатків загального фонду (1+2)</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b/>
                <w:lang w:val="uk-UA"/>
              </w:rPr>
            </w:pPr>
            <w:r>
              <w:rPr>
                <w:b/>
                <w:lang w:val="uk-UA"/>
              </w:rPr>
              <w:t>3 404 751,7</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b/>
                <w:lang w:val="uk-UA"/>
              </w:rPr>
            </w:pPr>
            <w:r>
              <w:rPr>
                <w:b/>
                <w:lang w:val="uk-UA"/>
              </w:rPr>
              <w:t>3 290 104,9</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b/>
                <w:lang w:val="uk-UA"/>
              </w:rPr>
            </w:pPr>
            <w:r>
              <w:rPr>
                <w:b/>
                <w:lang w:val="uk-UA"/>
              </w:rPr>
              <w:t>96,6</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b/>
                <w:lang w:val="uk-UA"/>
              </w:rPr>
            </w:pPr>
            <w:r>
              <w:rPr>
                <w:b/>
                <w:lang w:val="uk-UA"/>
              </w:rPr>
              <w:t>2 970 750,1</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b/>
                <w:lang w:val="uk-UA"/>
              </w:rPr>
            </w:pPr>
            <w:r>
              <w:rPr>
                <w:b/>
                <w:lang w:val="uk-UA"/>
              </w:rPr>
              <w:t>319 354,8</w:t>
            </w:r>
          </w:p>
        </w:tc>
      </w:tr>
      <w:tr>
        <w:trPr>
          <w:trHeight w:val="517"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rPr/>
            </w:pPr>
            <w:r>
              <w:rPr/>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b/>
                <w:bCs/>
              </w:rPr>
              <w:t>4. Бюджет розвитку, в т.ч.</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b/>
                <w:lang w:val="uk-UA"/>
              </w:rPr>
            </w:pPr>
            <w:r>
              <w:rPr>
                <w:b/>
                <w:lang w:val="uk-UA"/>
              </w:rPr>
              <w:t>1 431 213,4</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b/>
                <w:lang w:val="uk-UA"/>
              </w:rPr>
            </w:pPr>
            <w:r>
              <w:rPr>
                <w:b/>
                <w:lang w:val="uk-UA"/>
              </w:rPr>
              <w:t>1 124 689,6</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b/>
                <w:lang w:val="uk-UA"/>
              </w:rPr>
            </w:pPr>
            <w:r>
              <w:rPr>
                <w:b/>
                <w:lang w:val="uk-UA"/>
              </w:rPr>
              <w:t>78,6</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b/>
                <w:lang w:val="uk-UA"/>
              </w:rPr>
            </w:pPr>
            <w:r>
              <w:rPr>
                <w:b/>
                <w:lang w:val="uk-UA"/>
              </w:rPr>
              <w:t>550 417,6</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b/>
                <w:lang w:val="uk-UA"/>
              </w:rPr>
            </w:pPr>
            <w:r>
              <w:rPr>
                <w:b/>
                <w:lang w:val="uk-UA"/>
              </w:rPr>
              <w:t>574 272,0</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rPr/>
            </w:pPr>
            <w:r>
              <w:rPr/>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Капвидатки за рахунок доходів до бюджету розвитку</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106 276,3</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106 276,3</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100,0</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29 928,0</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76 348,3</w:t>
            </w:r>
          </w:p>
        </w:tc>
      </w:tr>
      <w:tr>
        <w:trPr>
          <w:trHeight w:val="481"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rPr/>
            </w:pPr>
            <w:r>
              <w:rPr/>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lang w:val="uk-UA"/>
              </w:rPr>
              <w:t>Капвидатки з</w:t>
            </w:r>
            <w:r>
              <w:rPr/>
              <w:t>а рахунок</w:t>
            </w:r>
            <w:r>
              <w:rPr>
                <w:lang w:val="uk-UA"/>
              </w:rPr>
              <w:t xml:space="preserve"> переданихсубвенцій із загального фонду</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131 686,3</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lang w:val="uk-UA"/>
              </w:rPr>
            </w:pPr>
            <w:r>
              <w:rPr>
                <w:lang w:val="uk-UA"/>
              </w:rPr>
              <w:t>129 866,0</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lang w:val="uk-UA"/>
              </w:rPr>
            </w:pPr>
            <w:r>
              <w:rPr>
                <w:lang w:val="uk-UA"/>
              </w:rPr>
              <w:t>98,6</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28 306,9</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101 559,1</w:t>
            </w:r>
          </w:p>
        </w:tc>
      </w:tr>
      <w:tr>
        <w:trPr>
          <w:trHeight w:val="332"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snapToGrid w:val="false"/>
              <w:rPr>
                <w:lang w:val="uk-UA"/>
              </w:rPr>
            </w:pPr>
            <w:r>
              <w:rPr>
                <w:lang w:val="uk-UA"/>
              </w:rPr>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lang w:val="uk-UA"/>
              </w:rPr>
              <w:t>Капвидатки з</w:t>
            </w:r>
            <w:r>
              <w:rPr/>
              <w:t>а рахунок</w:t>
            </w:r>
            <w:r>
              <w:rPr>
                <w:lang w:val="uk-UA"/>
              </w:rPr>
              <w:t xml:space="preserve"> переданих</w:t>
            </w:r>
            <w:r>
              <w:rPr/>
              <w:t xml:space="preserve"> коштів із </w:t>
            </w:r>
            <w:r>
              <w:rPr>
                <w:lang w:val="uk-UA"/>
              </w:rPr>
              <w:t>загального фонду</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623 471,6</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570 088,9</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91,4</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486 472,3</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83 616,6</w:t>
            </w:r>
          </w:p>
        </w:tc>
      </w:tr>
      <w:tr>
        <w:trPr>
          <w:trHeight w:val="332"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rPr/>
            </w:pPr>
            <w:r>
              <w:rPr/>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Реалізація інфраструктурних про</w:t>
            </w:r>
            <w:r>
              <w:rPr>
                <w:lang w:val="uk-UA"/>
              </w:rPr>
              <w:t>є</w:t>
            </w:r>
            <w:r>
              <w:rPr/>
              <w:t>ктів у сфері водопостачання та водовідведення (к</w:t>
            </w:r>
            <w:r>
              <w:rPr>
                <w:lang w:val="uk-UA"/>
              </w:rPr>
              <w:t>о</w:t>
            </w:r>
            <w:r>
              <w:rPr/>
              <w:t>шти позики)</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378 900,0</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311 444,8</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82,2</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lang w:val="uk-UA"/>
              </w:rPr>
            </w:pPr>
            <w:r>
              <w:rPr>
                <w:lang w:val="uk-UA"/>
              </w:rPr>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311 444,8</w:t>
            </w:r>
          </w:p>
        </w:tc>
      </w:tr>
      <w:tr>
        <w:trPr>
          <w:trHeight w:val="1010"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snapToGrid w:val="false"/>
              <w:rPr>
                <w:lang w:val="uk-UA"/>
              </w:rPr>
            </w:pPr>
            <w:r>
              <w:rPr>
                <w:lang w:val="uk-UA"/>
              </w:rPr>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lang w:val="uk-UA"/>
              </w:rPr>
              <w:t>Підвищення енергоефективності та надійності системи водопостачання та водовідведення (кошти позики НЕФКО 2 )</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1 519,2</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lang w:val="uk-UA"/>
              </w:rPr>
            </w:pPr>
            <w:r>
              <w:rPr>
                <w:lang w:val="uk-UA"/>
              </w:rPr>
              <w:t>1 519,2</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lang w:val="uk-UA"/>
              </w:rPr>
            </w:pPr>
            <w:r>
              <w:rPr>
                <w:lang w:val="uk-UA"/>
              </w:rPr>
              <w:t>100,0</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lang w:val="uk-UA"/>
              </w:rPr>
            </w:pPr>
            <w:r>
              <w:rPr>
                <w:lang w:val="uk-UA"/>
              </w:rPr>
              <w:t>262,1</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napToGrid w:val="false"/>
              <w:jc w:val="right"/>
              <w:rPr>
                <w:lang w:val="uk-UA"/>
              </w:rPr>
            </w:pPr>
            <w:r>
              <w:rPr>
                <w:lang w:val="uk-UA"/>
              </w:rPr>
              <w:t>1 257,1</w:t>
            </w:r>
          </w:p>
        </w:tc>
      </w:tr>
      <w:tr>
        <w:trPr>
          <w:trHeight w:val="223"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rPr/>
            </w:pPr>
            <w:r>
              <w:rPr/>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lang w:val="uk-UA"/>
              </w:rPr>
              <w:t>Оновлення інфраструктури електротранспорту  м.Луцька (</w:t>
            </w:r>
            <w:r>
              <w:rPr/>
              <w:t xml:space="preserve"> кошти </w:t>
            </w:r>
            <w:r>
              <w:rPr>
                <w:lang w:val="uk-UA"/>
              </w:rPr>
              <w:t>позики)</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189 360,0</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5 494,41</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2,9</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5 448,3</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46,1</w:t>
            </w:r>
          </w:p>
        </w:tc>
      </w:tr>
      <w:tr>
        <w:trPr>
          <w:trHeight w:val="589"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rPr/>
            </w:pPr>
            <w:r>
              <w:rPr/>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b/>
                <w:bCs/>
              </w:rPr>
              <w:t>5. Інші спеціальні видатки, в т.ч.</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b/>
                <w:lang w:val="uk-UA"/>
              </w:rPr>
            </w:pPr>
            <w:r>
              <w:rPr>
                <w:b/>
                <w:lang w:val="uk-UA"/>
              </w:rPr>
              <w:t>164 847,4</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b/>
                <w:lang w:val="uk-UA"/>
              </w:rPr>
            </w:pPr>
            <w:r>
              <w:rPr>
                <w:b/>
                <w:lang w:val="uk-UA"/>
              </w:rPr>
              <w:t>121 191,9</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b/>
                <w:lang w:val="uk-UA"/>
              </w:rPr>
            </w:pPr>
            <w:r>
              <w:rPr>
                <w:b/>
                <w:lang w:val="uk-UA"/>
              </w:rPr>
              <w:t>59,6</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b/>
                <w:lang w:val="uk-UA"/>
              </w:rPr>
            </w:pPr>
            <w:r>
              <w:rPr>
                <w:b/>
                <w:lang w:val="uk-UA"/>
              </w:rPr>
              <w:t>181 925,1</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b/>
                <w:lang w:val="uk-UA"/>
              </w:rPr>
            </w:pPr>
            <w:r>
              <w:rPr>
                <w:b/>
                <w:lang w:val="uk-UA"/>
              </w:rPr>
              <w:t>-60 733,2</w:t>
            </w:r>
          </w:p>
        </w:tc>
      </w:tr>
      <w:tr>
        <w:trPr>
          <w:trHeight w:val="361"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lang w:val="uk-UA"/>
              </w:rPr>
              <w:t>7366</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Субвенція з ДБ на реалізацію про</w:t>
            </w:r>
            <w:r>
              <w:rPr>
                <w:lang w:val="uk-UA"/>
              </w:rPr>
              <w:t>є</w:t>
            </w:r>
            <w:r>
              <w:rPr/>
              <w:t>ктів у рамках Надзвичайної кредитної програми для відновлення України</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80 000,0</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lang w:val="uk-UA"/>
              </w:rPr>
            </w:pPr>
            <w:r>
              <w:rPr>
                <w:lang w:val="uk-UA"/>
              </w:rPr>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lang w:val="uk-UA"/>
              </w:rPr>
            </w:pPr>
            <w:r>
              <w:rPr>
                <w:lang w:val="uk-UA"/>
              </w:rPr>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lang w:val="uk-UA"/>
              </w:rPr>
            </w:pPr>
            <w:r>
              <w:rPr>
                <w:lang w:val="uk-UA"/>
              </w:rPr>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napToGrid w:val="false"/>
              <w:jc w:val="right"/>
              <w:rPr/>
            </w:pPr>
            <w:r>
              <w:rPr/>
            </w:r>
          </w:p>
        </w:tc>
      </w:tr>
      <w:tr>
        <w:trPr>
          <w:trHeight w:val="691"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snapToGrid w:val="false"/>
              <w:rPr/>
            </w:pPr>
            <w:r>
              <w:rPr/>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lang w:val="uk-UA"/>
              </w:rPr>
              <w:t>Реалізація заходів за рахунок залишку коштів освітньої субвенції</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10 173,3</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lang w:val="uk-UA"/>
              </w:rPr>
            </w:pPr>
            <w:r>
              <w:rPr>
                <w:lang w:val="uk-UA"/>
              </w:rPr>
              <w:t>9 332,1</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lang w:val="uk-UA"/>
              </w:rPr>
            </w:pPr>
            <w:r>
              <w:rPr>
                <w:lang w:val="uk-UA"/>
              </w:rPr>
              <w:t>91,7</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lang w:val="uk-UA"/>
              </w:rPr>
            </w:pPr>
            <w:r>
              <w:rPr>
                <w:lang w:val="uk-UA"/>
              </w:rPr>
              <w:t>3 632,8</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napToGrid w:val="false"/>
              <w:jc w:val="right"/>
              <w:rPr>
                <w:lang w:val="uk-UA"/>
              </w:rPr>
            </w:pPr>
            <w:r>
              <w:rPr>
                <w:lang w:val="uk-UA"/>
              </w:rPr>
              <w:t>5 699,3</w:t>
            </w:r>
          </w:p>
        </w:tc>
      </w:tr>
      <w:tr>
        <w:trPr>
          <w:trHeight w:val="691"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snapToGrid w:val="false"/>
              <w:rPr/>
            </w:pPr>
            <w:r>
              <w:rPr/>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lang w:val="uk-UA"/>
              </w:rPr>
            </w:pPr>
            <w:r>
              <w:rPr>
                <w:lang w:val="uk-UA"/>
              </w:rPr>
              <w:t>Субвенція з Державного бюджету на утримання та розвиток автомобільних доріг та дорожньої інфраструктури</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lang w:val="uk-UA"/>
              </w:rPr>
            </w:pPr>
            <w:r>
              <w:rPr>
                <w:lang w:val="uk-UA"/>
              </w:rPr>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pPr>
            <w:r>
              <w:rPr/>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pPr>
            <w:r>
              <w:rPr/>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156,0</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napToGrid w:val="false"/>
              <w:jc w:val="right"/>
              <w:rPr>
                <w:lang w:val="uk-UA"/>
              </w:rPr>
            </w:pPr>
            <w:r>
              <w:rPr>
                <w:lang w:val="uk-UA"/>
              </w:rPr>
              <w:t>-156,0</w:t>
            </w:r>
          </w:p>
        </w:tc>
      </w:tr>
      <w:tr>
        <w:trPr>
          <w:trHeight w:val="691"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snapToGrid w:val="false"/>
              <w:rPr/>
            </w:pPr>
            <w:r>
              <w:rPr/>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lang w:val="uk-UA"/>
              </w:rPr>
              <w:t>Субвенція на здійснення правоохоронних заходів</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lang w:val="uk-UA"/>
              </w:rPr>
            </w:pPr>
            <w:r>
              <w:rPr>
                <w:lang w:val="uk-UA"/>
              </w:rPr>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pPr>
            <w:r>
              <w:rPr/>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pPr>
            <w:r>
              <w:rPr/>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545,8</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napToGrid w:val="false"/>
              <w:jc w:val="right"/>
              <w:rPr>
                <w:lang w:val="uk-UA"/>
              </w:rPr>
            </w:pPr>
            <w:r>
              <w:rPr>
                <w:lang w:val="uk-UA"/>
              </w:rPr>
              <w:t>-545,8</w:t>
            </w:r>
          </w:p>
        </w:tc>
      </w:tr>
      <w:tr>
        <w:trPr>
          <w:trHeight w:val="691"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rPr/>
            </w:pPr>
            <w:r>
              <w:rPr/>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Спецфонди бюджетних установ - платні послуги</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71 615,2</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58 624,4</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100,0</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50 509,2</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8 115,2</w:t>
            </w:r>
          </w:p>
        </w:tc>
      </w:tr>
      <w:tr>
        <w:trPr>
          <w:trHeight w:val="691"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rPr/>
            </w:pPr>
            <w:r>
              <w:rPr/>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Спецфонди бюджетних установ - гранти, дарунки</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pPr>
            <w:r>
              <w:rPr/>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51 630,0</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100,0</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124 120,1</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-72 490,1</w:t>
            </w:r>
          </w:p>
        </w:tc>
      </w:tr>
      <w:tr>
        <w:trPr>
          <w:trHeight w:val="691"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t>8340</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Фонд охорони природнього навк</w:t>
            </w:r>
            <w:r>
              <w:rPr>
                <w:lang w:val="uk-UA"/>
              </w:rPr>
              <w:t xml:space="preserve">олишнього </w:t>
            </w:r>
            <w:r>
              <w:rPr/>
              <w:t xml:space="preserve"> середовища</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1 900,0</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1 155,6</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100,0</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2 843,8</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-1 688,2</w:t>
            </w:r>
          </w:p>
        </w:tc>
      </w:tr>
      <w:tr>
        <w:trPr>
          <w:trHeight w:val="499"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t>7691</w:t>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t>Цільові фонди</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1 158,9</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449,8</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38,8</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lang w:val="uk-UA"/>
              </w:rPr>
            </w:pPr>
            <w:r>
              <w:rPr>
                <w:lang w:val="uk-UA"/>
              </w:rPr>
              <w:t>117,4</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lang w:val="uk-UA"/>
              </w:rPr>
            </w:pPr>
            <w:r>
              <w:rPr>
                <w:lang w:val="uk-UA"/>
              </w:rPr>
              <w:t>332,4</w:t>
            </w:r>
          </w:p>
        </w:tc>
      </w:tr>
      <w:tr>
        <w:trPr>
          <w:trHeight w:val="691"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rPr/>
            </w:pPr>
            <w:r>
              <w:rPr/>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b/>
                <w:bCs/>
              </w:rPr>
              <w:t>6. РАЗОМ видатків спеціального фонду (4+5)</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b/>
                <w:lang w:val="uk-UA"/>
              </w:rPr>
            </w:pPr>
            <w:r>
              <w:rPr>
                <w:b/>
                <w:lang w:val="uk-UA"/>
              </w:rPr>
              <w:t>1 596 060,8</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b/>
                <w:lang w:val="uk-UA"/>
              </w:rPr>
            </w:pPr>
            <w:r>
              <w:rPr>
                <w:b/>
                <w:lang w:val="uk-UA"/>
              </w:rPr>
              <w:t>1 245 881,5</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b/>
                <w:lang w:val="uk-UA"/>
              </w:rPr>
            </w:pPr>
            <w:r>
              <w:rPr>
                <w:b/>
                <w:lang w:val="uk-UA"/>
              </w:rPr>
              <w:t>76,2</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b/>
                <w:lang w:val="uk-UA"/>
              </w:rPr>
            </w:pPr>
            <w:r>
              <w:rPr>
                <w:b/>
                <w:lang w:val="uk-UA"/>
              </w:rPr>
              <w:t>732 342,7</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b/>
                <w:lang w:val="uk-UA"/>
              </w:rPr>
            </w:pPr>
            <w:r>
              <w:rPr>
                <w:b/>
                <w:lang w:val="uk-UA"/>
              </w:rPr>
              <w:t>513 538,8</w:t>
            </w:r>
          </w:p>
        </w:tc>
      </w:tr>
      <w:tr>
        <w:trPr>
          <w:trHeight w:val="691" w:hRule="atLeast"/>
        </w:trPr>
        <w:tc>
          <w:tcPr>
            <w:tcW w:w="992" w:type="dxa"/>
            <w:tcBorders>
              <w:top w:val="single" w:sz="4" w:space="0" w:color="000000"/>
              <w:left w:val="single" w:sz="4" w:space="0" w:color="000000"/>
              <w:bottom w:val="single" w:sz="4" w:space="0" w:color="000000"/>
            </w:tcBorders>
            <w:shd w:color="auto" w:fill="auto" w:val="clear"/>
            <w:vAlign w:val="bottom"/>
          </w:tcPr>
          <w:p>
            <w:pPr>
              <w:pStyle w:val="Normal"/>
              <w:rPr/>
            </w:pPr>
            <w:r>
              <w:rPr/>
            </w:r>
          </w:p>
        </w:tc>
        <w:tc>
          <w:tcPr>
            <w:tcW w:w="2270" w:type="dxa"/>
            <w:tcBorders>
              <w:top w:val="single" w:sz="4" w:space="0" w:color="000000"/>
              <w:left w:val="single" w:sz="4" w:space="0" w:color="000000"/>
              <w:bottom w:val="single" w:sz="4" w:space="0" w:color="000000"/>
            </w:tcBorders>
            <w:shd w:color="auto" w:fill="auto" w:val="clear"/>
            <w:vAlign w:val="bottom"/>
          </w:tcPr>
          <w:p>
            <w:pPr>
              <w:pStyle w:val="Normal"/>
              <w:rPr/>
            </w:pPr>
            <w:r>
              <w:rPr>
                <w:b/>
                <w:bCs/>
              </w:rPr>
              <w:t>7. ВСЬОГО видатків бюджету (3+6)</w:t>
            </w:r>
          </w:p>
        </w:tc>
        <w:tc>
          <w:tcPr>
            <w:tcW w:w="1274" w:type="dxa"/>
            <w:tcBorders>
              <w:top w:val="single" w:sz="4" w:space="0" w:color="000000"/>
              <w:left w:val="single" w:sz="4" w:space="0" w:color="000000"/>
              <w:bottom w:val="single" w:sz="4" w:space="0" w:color="000000"/>
            </w:tcBorders>
            <w:shd w:color="auto" w:fill="auto" w:val="clear"/>
            <w:vAlign w:val="bottom"/>
          </w:tcPr>
          <w:p>
            <w:pPr>
              <w:pStyle w:val="Normal"/>
              <w:jc w:val="right"/>
              <w:rPr>
                <w:b/>
                <w:lang w:val="uk-UA"/>
              </w:rPr>
            </w:pPr>
            <w:r>
              <w:rPr>
                <w:b/>
                <w:lang w:val="uk-UA"/>
              </w:rPr>
              <w:t>5 000 812,5</w:t>
            </w:r>
          </w:p>
        </w:tc>
        <w:tc>
          <w:tcPr>
            <w:tcW w:w="1420" w:type="dxa"/>
            <w:tcBorders>
              <w:top w:val="single" w:sz="4" w:space="0" w:color="000000"/>
              <w:left w:val="single" w:sz="4" w:space="0" w:color="000000"/>
              <w:bottom w:val="single" w:sz="4" w:space="0" w:color="000000"/>
            </w:tcBorders>
            <w:shd w:color="auto" w:fill="auto" w:val="clear"/>
            <w:vAlign w:val="bottom"/>
          </w:tcPr>
          <w:p>
            <w:pPr>
              <w:pStyle w:val="Normal"/>
              <w:jc w:val="right"/>
              <w:rPr>
                <w:b/>
                <w:lang w:val="uk-UA"/>
              </w:rPr>
            </w:pPr>
            <w:r>
              <w:rPr>
                <w:b/>
                <w:lang w:val="uk-UA"/>
              </w:rPr>
              <w:t>4 535 986,4</w:t>
            </w:r>
          </w:p>
        </w:tc>
        <w:tc>
          <w:tcPr>
            <w:tcW w:w="992" w:type="dxa"/>
            <w:tcBorders>
              <w:top w:val="single" w:sz="4" w:space="0" w:color="000000"/>
              <w:left w:val="single" w:sz="4" w:space="0" w:color="000000"/>
              <w:bottom w:val="single" w:sz="4" w:space="0" w:color="000000"/>
            </w:tcBorders>
            <w:shd w:color="auto" w:fill="auto" w:val="clear"/>
            <w:vAlign w:val="bottom"/>
          </w:tcPr>
          <w:p>
            <w:pPr>
              <w:pStyle w:val="Normal"/>
              <w:jc w:val="right"/>
              <w:rPr>
                <w:b/>
                <w:lang w:val="uk-UA"/>
              </w:rPr>
            </w:pPr>
            <w:r>
              <w:rPr>
                <w:b/>
                <w:lang w:val="uk-UA"/>
              </w:rPr>
              <w:t>90,0</w:t>
            </w:r>
          </w:p>
        </w:tc>
        <w:tc>
          <w:tcPr>
            <w:tcW w:w="1416" w:type="dxa"/>
            <w:tcBorders>
              <w:top w:val="single" w:sz="4" w:space="0" w:color="000000"/>
              <w:left w:val="single" w:sz="4" w:space="0" w:color="000000"/>
              <w:bottom w:val="single" w:sz="4" w:space="0" w:color="000000"/>
            </w:tcBorders>
            <w:shd w:color="auto" w:fill="auto" w:val="clear"/>
            <w:vAlign w:val="bottom"/>
          </w:tcPr>
          <w:p>
            <w:pPr>
              <w:pStyle w:val="Normal"/>
              <w:jc w:val="right"/>
              <w:rPr>
                <w:b/>
                <w:lang w:val="uk-UA"/>
              </w:rPr>
            </w:pPr>
            <w:r>
              <w:rPr>
                <w:b/>
                <w:lang w:val="uk-UA"/>
              </w:rPr>
              <w:t>3 703 092,8</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jc w:val="right"/>
              <w:rPr>
                <w:b/>
                <w:lang w:val="uk-UA"/>
              </w:rPr>
            </w:pPr>
            <w:r>
              <w:rPr>
                <w:b/>
                <w:lang w:val="uk-UA"/>
              </w:rPr>
              <w:t>832 893,6</w:t>
            </w:r>
          </w:p>
        </w:tc>
      </w:tr>
    </w:tbl>
    <w:p>
      <w:pPr>
        <w:pStyle w:val="Normal"/>
        <w:rPr/>
      </w:pPr>
      <w:r>
        <w:rPr/>
      </w:r>
    </w:p>
    <w:p>
      <w:pPr>
        <w:pStyle w:val="Normal"/>
        <w:jc w:val="center"/>
        <w:rPr>
          <w:sz w:val="28"/>
          <w:szCs w:val="28"/>
          <w:lang w:val="uk-UA"/>
        </w:rPr>
      </w:pPr>
      <w:r>
        <w:rPr>
          <w:sz w:val="28"/>
          <w:szCs w:val="28"/>
          <w:lang w:val="uk-UA"/>
        </w:rPr>
      </w:r>
    </w:p>
    <w:p>
      <w:pPr>
        <w:pStyle w:val="Normal"/>
        <w:jc w:val="center"/>
        <w:rPr>
          <w:sz w:val="28"/>
          <w:szCs w:val="28"/>
          <w:lang w:val="uk-UA"/>
        </w:rPr>
      </w:pPr>
      <w:r>
        <w:rPr>
          <w:sz w:val="28"/>
          <w:szCs w:val="28"/>
          <w:lang w:val="uk-UA"/>
        </w:rPr>
      </w:r>
    </w:p>
    <w:p>
      <w:pPr>
        <w:pStyle w:val="Normal"/>
        <w:jc w:val="center"/>
        <w:rPr/>
      </w:pPr>
      <w:r>
        <w:rPr>
          <w:sz w:val="28"/>
          <w:szCs w:val="28"/>
          <w:lang w:val="uk-UA"/>
        </w:rPr>
        <w:t>Кредитування бюджету за 2024 - 2023 роки:</w:t>
      </w:r>
    </w:p>
    <w:p>
      <w:pPr>
        <w:pStyle w:val="Normal"/>
        <w:jc w:val="center"/>
        <w:rPr/>
      </w:pPr>
      <w:r>
        <w:rPr>
          <w:sz w:val="28"/>
          <w:szCs w:val="28"/>
          <w:lang w:val="uk-UA"/>
        </w:rPr>
        <w:tab/>
        <w:tab/>
        <w:tab/>
        <w:tab/>
        <w:tab/>
        <w:tab/>
        <w:tab/>
        <w:tab/>
        <w:tab/>
        <w:tab/>
        <w:tab/>
        <w:tab/>
        <w:tab/>
        <w:tab/>
        <w:tab/>
        <w:tab/>
        <w:tab/>
        <w:tab/>
        <w:tab/>
      </w:r>
      <w:r>
        <w:rPr/>
        <w:t>тис.грн</w:t>
      </w:r>
    </w:p>
    <w:tbl>
      <w:tblPr>
        <w:tblW w:w="9659" w:type="dxa"/>
        <w:jc w:val="left"/>
        <w:tblInd w:w="201" w:type="dxa"/>
        <w:tblLayout w:type="fixed"/>
        <w:tblCellMar>
          <w:top w:w="0" w:type="dxa"/>
          <w:left w:w="108" w:type="dxa"/>
          <w:bottom w:w="0" w:type="dxa"/>
          <w:right w:w="108" w:type="dxa"/>
        </w:tblCellMar>
        <w:tblLook w:val="0000"/>
      </w:tblPr>
      <w:tblGrid>
        <w:gridCol w:w="1014"/>
        <w:gridCol w:w="3969"/>
        <w:gridCol w:w="1134"/>
        <w:gridCol w:w="1275"/>
        <w:gridCol w:w="1275"/>
        <w:gridCol w:w="991"/>
      </w:tblGrid>
      <w:tr>
        <w:trPr/>
        <w:tc>
          <w:tcPr>
            <w:tcW w:w="1014" w:type="dxa"/>
            <w:tcBorders>
              <w:top w:val="single" w:sz="4" w:space="0" w:color="000000"/>
              <w:left w:val="single" w:sz="4" w:space="0" w:color="000000"/>
              <w:bottom w:val="single" w:sz="4" w:space="0" w:color="000000"/>
            </w:tcBorders>
            <w:shd w:color="auto" w:fill="auto" w:val="clear"/>
            <w:vAlign w:val="center"/>
          </w:tcPr>
          <w:p>
            <w:pPr>
              <w:pStyle w:val="Normal"/>
              <w:snapToGrid w:val="false"/>
              <w:rPr>
                <w:b/>
                <w:bCs/>
                <w:sz w:val="18"/>
                <w:szCs w:val="18"/>
                <w:lang w:eastAsia="ru-RU"/>
              </w:rPr>
            </w:pPr>
            <w:r>
              <w:rPr>
                <w:b/>
                <w:bCs/>
                <w:sz w:val="18"/>
                <w:szCs w:val="18"/>
                <w:lang w:eastAsia="ru-RU"/>
              </w:rPr>
            </w:r>
          </w:p>
        </w:tc>
        <w:tc>
          <w:tcPr>
            <w:tcW w:w="3969" w:type="dxa"/>
            <w:tcBorders>
              <w:top w:val="single" w:sz="4" w:space="0" w:color="000000"/>
              <w:left w:val="single" w:sz="4" w:space="0" w:color="000000"/>
              <w:bottom w:val="single" w:sz="4" w:space="0" w:color="000000"/>
            </w:tcBorders>
            <w:shd w:color="auto" w:fill="auto" w:val="clear"/>
            <w:vAlign w:val="center"/>
          </w:tcPr>
          <w:p>
            <w:pPr>
              <w:pStyle w:val="Normal"/>
              <w:rPr/>
            </w:pPr>
            <w:r>
              <w:rPr>
                <w:b/>
                <w:bCs/>
                <w:sz w:val="18"/>
                <w:szCs w:val="18"/>
                <w:lang w:eastAsia="ru-RU"/>
              </w:rPr>
              <w:t>Найменування</w:t>
            </w:r>
          </w:p>
        </w:tc>
        <w:tc>
          <w:tcPr>
            <w:tcW w:w="1134"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b/>
                <w:sz w:val="18"/>
                <w:szCs w:val="18"/>
                <w:lang w:eastAsia="ru-RU"/>
              </w:rPr>
              <w:t>Уточнений бюджет на 20</w:t>
            </w:r>
            <w:r>
              <w:rPr>
                <w:b/>
                <w:sz w:val="18"/>
                <w:szCs w:val="18"/>
                <w:lang w:val="uk-UA" w:eastAsia="ru-RU"/>
              </w:rPr>
              <w:t>24</w:t>
            </w:r>
            <w:r>
              <w:rPr>
                <w:b/>
                <w:sz w:val="18"/>
                <w:szCs w:val="18"/>
                <w:lang w:eastAsia="ru-RU"/>
              </w:rPr>
              <w:t xml:space="preserve"> рік</w:t>
            </w:r>
          </w:p>
        </w:tc>
        <w:tc>
          <w:tcPr>
            <w:tcW w:w="1275"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b/>
                <w:lang w:eastAsia="ru-RU"/>
              </w:rPr>
              <w:t>Касові видатки за 20</w:t>
            </w:r>
            <w:r>
              <w:rPr>
                <w:b/>
                <w:lang w:val="uk-UA" w:eastAsia="ru-RU"/>
              </w:rPr>
              <w:t>24</w:t>
            </w:r>
            <w:r>
              <w:rPr>
                <w:b/>
                <w:lang w:eastAsia="ru-RU"/>
              </w:rPr>
              <w:t xml:space="preserve"> р</w:t>
            </w:r>
            <w:r>
              <w:rPr>
                <w:b/>
                <w:lang w:val="uk-UA" w:eastAsia="ru-RU"/>
              </w:rPr>
              <w:t>ік</w:t>
            </w:r>
          </w:p>
        </w:tc>
        <w:tc>
          <w:tcPr>
            <w:tcW w:w="1275"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b/>
                <w:lang w:eastAsia="ru-RU"/>
              </w:rPr>
              <w:t>Касові ви</w:t>
            </w:r>
            <w:r>
              <w:rPr>
                <w:b/>
                <w:lang w:val="uk-UA" w:eastAsia="ru-RU"/>
              </w:rPr>
              <w:t>да</w:t>
            </w:r>
            <w:r>
              <w:rPr>
                <w:b/>
                <w:lang w:eastAsia="ru-RU"/>
              </w:rPr>
              <w:t>тки за20</w:t>
            </w:r>
            <w:r>
              <w:rPr>
                <w:b/>
                <w:lang w:val="uk-UA" w:eastAsia="ru-RU"/>
              </w:rPr>
              <w:t xml:space="preserve">23 </w:t>
            </w:r>
            <w:r>
              <w:rPr>
                <w:b/>
                <w:lang w:eastAsia="ru-RU"/>
              </w:rPr>
              <w:t>р</w:t>
            </w:r>
            <w:r>
              <w:rPr>
                <w:b/>
                <w:lang w:val="uk-UA" w:eastAsia="ru-RU"/>
              </w:rPr>
              <w:t>ік</w:t>
            </w:r>
          </w:p>
        </w:tc>
        <w:tc>
          <w:tcPr>
            <w:tcW w:w="9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pPr>
            <w:r>
              <w:rPr>
                <w:b/>
                <w:sz w:val="18"/>
                <w:szCs w:val="18"/>
                <w:lang w:eastAsia="ru-RU"/>
              </w:rPr>
              <w:t>+,-</w:t>
            </w:r>
          </w:p>
        </w:tc>
      </w:tr>
      <w:tr>
        <w:trPr/>
        <w:tc>
          <w:tcPr>
            <w:tcW w:w="1014" w:type="dxa"/>
            <w:tcBorders>
              <w:top w:val="single" w:sz="4" w:space="0" w:color="000000"/>
              <w:left w:val="single" w:sz="4" w:space="0" w:color="000000"/>
              <w:bottom w:val="single" w:sz="4" w:space="0" w:color="000000"/>
            </w:tcBorders>
            <w:shd w:color="auto" w:fill="auto" w:val="clear"/>
            <w:vAlign w:val="center"/>
          </w:tcPr>
          <w:p>
            <w:pPr>
              <w:pStyle w:val="Normal"/>
              <w:snapToGrid w:val="false"/>
              <w:rPr>
                <w:b/>
                <w:bCs/>
                <w:sz w:val="18"/>
                <w:szCs w:val="18"/>
                <w:lang w:val="uk-UA" w:eastAsia="ru-RU"/>
              </w:rPr>
            </w:pPr>
            <w:r>
              <w:rPr>
                <w:b/>
                <w:bCs/>
                <w:sz w:val="18"/>
                <w:szCs w:val="18"/>
                <w:lang w:val="uk-UA" w:eastAsia="ru-RU"/>
              </w:rPr>
            </w:r>
          </w:p>
        </w:tc>
        <w:tc>
          <w:tcPr>
            <w:tcW w:w="3969" w:type="dxa"/>
            <w:tcBorders>
              <w:top w:val="single" w:sz="4" w:space="0" w:color="000000"/>
              <w:left w:val="single" w:sz="4" w:space="0" w:color="000000"/>
              <w:bottom w:val="single" w:sz="4" w:space="0" w:color="000000"/>
            </w:tcBorders>
            <w:shd w:color="auto" w:fill="auto" w:val="clear"/>
            <w:vAlign w:val="center"/>
          </w:tcPr>
          <w:p>
            <w:pPr>
              <w:pStyle w:val="Normal"/>
              <w:rPr/>
            </w:pPr>
            <w:r>
              <w:rPr>
                <w:b/>
                <w:bCs/>
                <w:sz w:val="18"/>
                <w:szCs w:val="18"/>
                <w:lang w:val="uk-UA" w:eastAsia="ru-RU"/>
              </w:rPr>
              <w:t>ЗАГАЛЬНИЙ ФОНД</w:t>
            </w:r>
          </w:p>
        </w:tc>
        <w:tc>
          <w:tcPr>
            <w:tcW w:w="1134"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b/>
                <w:sz w:val="18"/>
                <w:szCs w:val="18"/>
                <w:lang w:val="uk-UA" w:eastAsia="ru-RU"/>
              </w:rPr>
              <w:t>4 600,0</w:t>
            </w:r>
          </w:p>
        </w:tc>
        <w:tc>
          <w:tcPr>
            <w:tcW w:w="1275"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b/>
                <w:lang w:val="uk-UA" w:eastAsia="ru-RU"/>
              </w:rPr>
              <w:t>4 600,0</w:t>
            </w:r>
          </w:p>
        </w:tc>
        <w:tc>
          <w:tcPr>
            <w:tcW w:w="1275" w:type="dxa"/>
            <w:tcBorders>
              <w:top w:val="single" w:sz="4" w:space="0" w:color="000000"/>
              <w:left w:val="single" w:sz="4" w:space="0" w:color="000000"/>
              <w:bottom w:val="single" w:sz="4" w:space="0" w:color="000000"/>
            </w:tcBorders>
            <w:shd w:color="auto" w:fill="auto" w:val="clear"/>
            <w:vAlign w:val="center"/>
          </w:tcPr>
          <w:p>
            <w:pPr>
              <w:pStyle w:val="Normal"/>
              <w:snapToGrid w:val="false"/>
              <w:jc w:val="center"/>
              <w:rPr>
                <w:b/>
                <w:lang w:val="uk-UA" w:eastAsia="ru-RU"/>
              </w:rPr>
            </w:pPr>
            <w:r>
              <w:rPr>
                <w:b/>
                <w:lang w:val="uk-UA" w:eastAsia="ru-RU"/>
              </w:rPr>
              <w:t>600,0</w:t>
            </w:r>
          </w:p>
        </w:tc>
        <w:tc>
          <w:tcPr>
            <w:tcW w:w="9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napToGrid w:val="false"/>
              <w:jc w:val="center"/>
              <w:rPr>
                <w:b/>
                <w:sz w:val="18"/>
                <w:szCs w:val="18"/>
                <w:lang w:val="uk-UA" w:eastAsia="ru-RU"/>
              </w:rPr>
            </w:pPr>
            <w:r>
              <w:rPr>
                <w:b/>
                <w:sz w:val="18"/>
                <w:szCs w:val="18"/>
                <w:lang w:val="uk-UA" w:eastAsia="ru-RU"/>
              </w:rPr>
              <w:t>4 000,0</w:t>
            </w:r>
          </w:p>
        </w:tc>
      </w:tr>
      <w:tr>
        <w:trPr/>
        <w:tc>
          <w:tcPr>
            <w:tcW w:w="1014" w:type="dxa"/>
            <w:tcBorders>
              <w:top w:val="single" w:sz="4" w:space="0" w:color="000000"/>
              <w:left w:val="single" w:sz="4" w:space="0" w:color="000000"/>
              <w:bottom w:val="single" w:sz="4" w:space="0" w:color="000000"/>
            </w:tcBorders>
            <w:shd w:color="auto" w:fill="auto" w:val="clear"/>
            <w:vAlign w:val="center"/>
          </w:tcPr>
          <w:p>
            <w:pPr>
              <w:pStyle w:val="Normal"/>
              <w:snapToGrid w:val="false"/>
              <w:rPr>
                <w:b/>
                <w:bCs/>
                <w:sz w:val="18"/>
                <w:szCs w:val="18"/>
                <w:lang w:val="uk-UA" w:eastAsia="ru-RU"/>
              </w:rPr>
            </w:pPr>
            <w:r>
              <w:rPr>
                <w:b/>
                <w:bCs/>
                <w:sz w:val="18"/>
                <w:szCs w:val="18"/>
                <w:lang w:val="uk-UA" w:eastAsia="ru-RU"/>
              </w:rPr>
            </w:r>
          </w:p>
        </w:tc>
        <w:tc>
          <w:tcPr>
            <w:tcW w:w="3969" w:type="dxa"/>
            <w:tcBorders>
              <w:top w:val="single" w:sz="4" w:space="0" w:color="000000"/>
              <w:left w:val="single" w:sz="4" w:space="0" w:color="000000"/>
              <w:bottom w:val="single" w:sz="4" w:space="0" w:color="000000"/>
            </w:tcBorders>
            <w:shd w:color="auto" w:fill="auto" w:val="clear"/>
            <w:vAlign w:val="center"/>
          </w:tcPr>
          <w:p>
            <w:pPr>
              <w:pStyle w:val="Normal"/>
              <w:rPr/>
            </w:pPr>
            <w:r>
              <w:rPr>
                <w:b/>
                <w:bCs/>
                <w:sz w:val="18"/>
                <w:szCs w:val="18"/>
                <w:lang w:val="uk-UA" w:eastAsia="ru-RU"/>
              </w:rPr>
              <w:t>Бюджетні позички суб'єктам господарювання та їх повернення</w:t>
            </w:r>
          </w:p>
        </w:tc>
        <w:tc>
          <w:tcPr>
            <w:tcW w:w="1134"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b/>
                <w:sz w:val="18"/>
                <w:szCs w:val="18"/>
                <w:lang w:val="uk-UA" w:eastAsia="ru-RU"/>
              </w:rPr>
              <w:t>4 600,0</w:t>
            </w:r>
          </w:p>
        </w:tc>
        <w:tc>
          <w:tcPr>
            <w:tcW w:w="1275"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b/>
                <w:lang w:val="uk-UA" w:eastAsia="ru-RU"/>
              </w:rPr>
              <w:t>4 600,0</w:t>
            </w:r>
          </w:p>
        </w:tc>
        <w:tc>
          <w:tcPr>
            <w:tcW w:w="1275" w:type="dxa"/>
            <w:tcBorders>
              <w:top w:val="single" w:sz="4" w:space="0" w:color="000000"/>
              <w:left w:val="single" w:sz="4" w:space="0" w:color="000000"/>
              <w:bottom w:val="single" w:sz="4" w:space="0" w:color="000000"/>
            </w:tcBorders>
            <w:shd w:color="auto" w:fill="auto" w:val="clear"/>
            <w:vAlign w:val="center"/>
          </w:tcPr>
          <w:p>
            <w:pPr>
              <w:pStyle w:val="Normal"/>
              <w:snapToGrid w:val="false"/>
              <w:jc w:val="center"/>
              <w:rPr>
                <w:b/>
                <w:lang w:val="uk-UA" w:eastAsia="ru-RU"/>
              </w:rPr>
            </w:pPr>
            <w:r>
              <w:rPr>
                <w:b/>
                <w:lang w:val="uk-UA" w:eastAsia="ru-RU"/>
              </w:rPr>
              <w:t>600,0</w:t>
            </w:r>
          </w:p>
        </w:tc>
        <w:tc>
          <w:tcPr>
            <w:tcW w:w="9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napToGrid w:val="false"/>
              <w:jc w:val="center"/>
              <w:rPr>
                <w:b/>
                <w:sz w:val="18"/>
                <w:szCs w:val="18"/>
                <w:lang w:val="uk-UA" w:eastAsia="ru-RU"/>
              </w:rPr>
            </w:pPr>
            <w:r>
              <w:rPr>
                <w:b/>
                <w:sz w:val="18"/>
                <w:szCs w:val="18"/>
                <w:lang w:val="uk-UA" w:eastAsia="ru-RU"/>
              </w:rPr>
              <w:t>4 000,0</w:t>
            </w:r>
          </w:p>
        </w:tc>
      </w:tr>
      <w:tr>
        <w:trPr/>
        <w:tc>
          <w:tcPr>
            <w:tcW w:w="1014" w:type="dxa"/>
            <w:tcBorders>
              <w:top w:val="single" w:sz="4" w:space="0" w:color="000000"/>
              <w:left w:val="single" w:sz="4" w:space="0" w:color="000000"/>
              <w:bottom w:val="single" w:sz="4" w:space="0" w:color="000000"/>
            </w:tcBorders>
            <w:shd w:color="auto" w:fill="auto" w:val="clear"/>
            <w:vAlign w:val="center"/>
          </w:tcPr>
          <w:p>
            <w:pPr>
              <w:pStyle w:val="Normal"/>
              <w:snapToGrid w:val="false"/>
              <w:jc w:val="center"/>
              <w:rPr/>
            </w:pPr>
            <w:r>
              <w:rPr>
                <w:bCs/>
                <w:sz w:val="18"/>
                <w:szCs w:val="18"/>
                <w:lang w:val="uk-UA" w:eastAsia="ru-RU"/>
              </w:rPr>
              <w:t>0490</w:t>
            </w:r>
          </w:p>
        </w:tc>
        <w:tc>
          <w:tcPr>
            <w:tcW w:w="3969" w:type="dxa"/>
            <w:tcBorders>
              <w:top w:val="single" w:sz="4" w:space="0" w:color="000000"/>
              <w:left w:val="single" w:sz="4" w:space="0" w:color="000000"/>
              <w:bottom w:val="single" w:sz="4" w:space="0" w:color="000000"/>
            </w:tcBorders>
            <w:shd w:color="auto" w:fill="auto" w:val="clear"/>
            <w:vAlign w:val="center"/>
          </w:tcPr>
          <w:p>
            <w:pPr>
              <w:pStyle w:val="Normal"/>
              <w:rPr/>
            </w:pPr>
            <w:r>
              <w:rPr>
                <w:bCs/>
                <w:sz w:val="18"/>
                <w:szCs w:val="18"/>
                <w:lang w:val="uk-UA" w:eastAsia="ru-RU"/>
              </w:rPr>
              <w:t>Надання  бюджетних позичок суб'єктам господарювання</w:t>
            </w:r>
          </w:p>
        </w:tc>
        <w:tc>
          <w:tcPr>
            <w:tcW w:w="1134"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sz w:val="18"/>
                <w:szCs w:val="18"/>
                <w:lang w:val="uk-UA" w:eastAsia="ru-RU"/>
              </w:rPr>
              <w:t>4 600,0</w:t>
            </w:r>
          </w:p>
        </w:tc>
        <w:tc>
          <w:tcPr>
            <w:tcW w:w="1275"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lang w:val="uk-UA" w:eastAsia="ru-RU"/>
              </w:rPr>
              <w:t>4 600,0</w:t>
            </w:r>
          </w:p>
        </w:tc>
        <w:tc>
          <w:tcPr>
            <w:tcW w:w="1275" w:type="dxa"/>
            <w:tcBorders>
              <w:top w:val="single" w:sz="4" w:space="0" w:color="000000"/>
              <w:left w:val="single" w:sz="4" w:space="0" w:color="000000"/>
              <w:bottom w:val="single" w:sz="4" w:space="0" w:color="000000"/>
            </w:tcBorders>
            <w:shd w:color="auto" w:fill="auto" w:val="clear"/>
            <w:vAlign w:val="center"/>
          </w:tcPr>
          <w:p>
            <w:pPr>
              <w:pStyle w:val="Normal"/>
              <w:snapToGrid w:val="false"/>
              <w:jc w:val="center"/>
              <w:rPr>
                <w:lang w:val="uk-UA" w:eastAsia="ru-RU"/>
              </w:rPr>
            </w:pPr>
            <w:r>
              <w:rPr>
                <w:lang w:val="uk-UA" w:eastAsia="ru-RU"/>
              </w:rPr>
              <w:t>600,0</w:t>
            </w:r>
          </w:p>
        </w:tc>
        <w:tc>
          <w:tcPr>
            <w:tcW w:w="9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napToGrid w:val="false"/>
              <w:jc w:val="center"/>
              <w:rPr>
                <w:sz w:val="18"/>
                <w:szCs w:val="18"/>
                <w:lang w:val="uk-UA" w:eastAsia="ru-RU"/>
              </w:rPr>
            </w:pPr>
            <w:r>
              <w:rPr>
                <w:sz w:val="18"/>
                <w:szCs w:val="18"/>
                <w:lang w:val="uk-UA" w:eastAsia="ru-RU"/>
              </w:rPr>
              <w:t>4 000,0</w:t>
            </w:r>
          </w:p>
        </w:tc>
      </w:tr>
      <w:tr>
        <w:trPr/>
        <w:tc>
          <w:tcPr>
            <w:tcW w:w="1014" w:type="dxa"/>
            <w:tcBorders>
              <w:top w:val="single" w:sz="4" w:space="0" w:color="000000"/>
              <w:left w:val="single" w:sz="4" w:space="0" w:color="000000"/>
              <w:bottom w:val="single" w:sz="4" w:space="0" w:color="000000"/>
            </w:tcBorders>
            <w:shd w:color="auto" w:fill="auto" w:val="clear"/>
            <w:vAlign w:val="center"/>
          </w:tcPr>
          <w:p>
            <w:pPr>
              <w:pStyle w:val="Normal"/>
              <w:snapToGrid w:val="false"/>
              <w:jc w:val="center"/>
              <w:rPr>
                <w:b/>
                <w:bCs/>
                <w:sz w:val="18"/>
                <w:szCs w:val="18"/>
                <w:lang w:val="uk-UA" w:eastAsia="ru-RU"/>
              </w:rPr>
            </w:pPr>
            <w:r>
              <w:rPr>
                <w:b/>
                <w:bCs/>
                <w:sz w:val="18"/>
                <w:szCs w:val="18"/>
                <w:lang w:val="uk-UA" w:eastAsia="ru-RU"/>
              </w:rPr>
            </w:r>
          </w:p>
        </w:tc>
        <w:tc>
          <w:tcPr>
            <w:tcW w:w="3969" w:type="dxa"/>
            <w:tcBorders>
              <w:top w:val="single" w:sz="4" w:space="0" w:color="000000"/>
              <w:left w:val="single" w:sz="4" w:space="0" w:color="000000"/>
              <w:bottom w:val="single" w:sz="4" w:space="0" w:color="000000"/>
            </w:tcBorders>
            <w:shd w:color="auto" w:fill="auto" w:val="clear"/>
            <w:vAlign w:val="center"/>
          </w:tcPr>
          <w:p>
            <w:pPr>
              <w:pStyle w:val="Normal"/>
              <w:rPr/>
            </w:pPr>
            <w:r>
              <w:rPr>
                <w:b/>
                <w:sz w:val="18"/>
                <w:szCs w:val="18"/>
                <w:lang w:val="uk-UA" w:eastAsia="ru-RU"/>
              </w:rPr>
              <w:t>СПЕЦІАЛЬНИЙ ФОНД</w:t>
            </w:r>
          </w:p>
        </w:tc>
        <w:tc>
          <w:tcPr>
            <w:tcW w:w="1134"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center"/>
              <w:rPr/>
            </w:pPr>
            <w:r>
              <w:rPr>
                <w:b/>
                <w:lang w:val="uk-UA"/>
              </w:rPr>
              <w:t>2,0</w:t>
            </w:r>
          </w:p>
        </w:tc>
        <w:tc>
          <w:tcPr>
            <w:tcW w:w="1275"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center"/>
              <w:rPr/>
            </w:pPr>
            <w:r>
              <w:rPr>
                <w:b/>
                <w:lang w:val="uk-UA"/>
              </w:rPr>
              <w:t>-36,2</w:t>
            </w:r>
          </w:p>
        </w:tc>
        <w:tc>
          <w:tcPr>
            <w:tcW w:w="1275"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center"/>
              <w:rPr/>
            </w:pPr>
            <w:r>
              <w:rPr>
                <w:b/>
                <w:sz w:val="18"/>
                <w:szCs w:val="18"/>
                <w:lang w:val="uk-UA" w:eastAsia="ru-RU"/>
              </w:rPr>
              <w:t>-39,4</w:t>
            </w:r>
          </w:p>
        </w:tc>
        <w:tc>
          <w:tcPr>
            <w:tcW w:w="991"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napToGrid w:val="false"/>
              <w:jc w:val="center"/>
              <w:rPr/>
            </w:pPr>
            <w:r>
              <w:rPr>
                <w:b/>
                <w:lang w:val="uk-UA"/>
              </w:rPr>
              <w:t>-3,2</w:t>
            </w:r>
          </w:p>
        </w:tc>
      </w:tr>
      <w:tr>
        <w:trPr/>
        <w:tc>
          <w:tcPr>
            <w:tcW w:w="1014" w:type="dxa"/>
            <w:tcBorders>
              <w:top w:val="single" w:sz="4" w:space="0" w:color="000000"/>
              <w:left w:val="single" w:sz="4" w:space="0" w:color="000000"/>
              <w:bottom w:val="single" w:sz="4" w:space="0" w:color="000000"/>
            </w:tcBorders>
            <w:shd w:color="auto" w:fill="auto" w:val="clear"/>
            <w:vAlign w:val="center"/>
          </w:tcPr>
          <w:p>
            <w:pPr>
              <w:pStyle w:val="Normal"/>
              <w:snapToGrid w:val="false"/>
              <w:jc w:val="center"/>
              <w:rPr>
                <w:b/>
                <w:sz w:val="18"/>
                <w:szCs w:val="18"/>
                <w:lang w:val="uk-UA" w:eastAsia="ru-RU"/>
              </w:rPr>
            </w:pPr>
            <w:r>
              <w:rPr>
                <w:b/>
                <w:sz w:val="18"/>
                <w:szCs w:val="18"/>
                <w:lang w:val="uk-UA" w:eastAsia="ru-RU"/>
              </w:rPr>
            </w:r>
          </w:p>
        </w:tc>
        <w:tc>
          <w:tcPr>
            <w:tcW w:w="3969" w:type="dxa"/>
            <w:tcBorders>
              <w:top w:val="single" w:sz="4" w:space="0" w:color="000000"/>
              <w:left w:val="single" w:sz="4" w:space="0" w:color="000000"/>
              <w:bottom w:val="single" w:sz="4" w:space="0" w:color="000000"/>
            </w:tcBorders>
            <w:shd w:color="auto" w:fill="auto" w:val="clear"/>
            <w:vAlign w:val="center"/>
          </w:tcPr>
          <w:p>
            <w:pPr>
              <w:pStyle w:val="Normal"/>
              <w:rPr/>
            </w:pPr>
            <w:r>
              <w:rPr>
                <w:b/>
                <w:sz w:val="18"/>
                <w:szCs w:val="18"/>
                <w:lang w:val="uk-UA"/>
              </w:rPr>
              <w:t>Пільгові довгострокові кредити молодим сім'ям та одиноким молодим громадянам на будівництво/реконструкцію/придбання житла та їх повернення</w:t>
            </w:r>
          </w:p>
        </w:tc>
        <w:tc>
          <w:tcPr>
            <w:tcW w:w="1134"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center"/>
              <w:rPr/>
            </w:pPr>
            <w:r>
              <w:rPr>
                <w:b/>
                <w:lang w:val="uk-UA"/>
              </w:rPr>
              <w:t>2,0</w:t>
            </w:r>
          </w:p>
        </w:tc>
        <w:tc>
          <w:tcPr>
            <w:tcW w:w="1275"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center"/>
              <w:rPr/>
            </w:pPr>
            <w:r>
              <w:rPr>
                <w:b/>
                <w:lang w:val="uk-UA"/>
              </w:rPr>
              <w:t>-36,2</w:t>
            </w:r>
          </w:p>
        </w:tc>
        <w:tc>
          <w:tcPr>
            <w:tcW w:w="1275"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center"/>
              <w:rPr/>
            </w:pPr>
            <w:r>
              <w:rPr>
                <w:b/>
                <w:lang w:val="uk-UA" w:eastAsia="ru-RU"/>
              </w:rPr>
              <w:t>-39,4</w:t>
            </w:r>
          </w:p>
        </w:tc>
        <w:tc>
          <w:tcPr>
            <w:tcW w:w="991"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napToGrid w:val="false"/>
              <w:jc w:val="center"/>
              <w:rPr/>
            </w:pPr>
            <w:r>
              <w:rPr>
                <w:b/>
                <w:lang w:val="uk-UA"/>
              </w:rPr>
              <w:t>-3,2</w:t>
            </w:r>
          </w:p>
        </w:tc>
      </w:tr>
      <w:tr>
        <w:trPr/>
        <w:tc>
          <w:tcPr>
            <w:tcW w:w="1014"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lang w:val="uk-UA" w:eastAsia="ru-RU"/>
              </w:rPr>
              <w:t>1060</w:t>
            </w:r>
          </w:p>
        </w:tc>
        <w:tc>
          <w:tcPr>
            <w:tcW w:w="3969" w:type="dxa"/>
            <w:tcBorders>
              <w:top w:val="single" w:sz="4" w:space="0" w:color="000000"/>
              <w:left w:val="single" w:sz="4" w:space="0" w:color="000000"/>
              <w:bottom w:val="single" w:sz="4" w:space="0" w:color="000000"/>
            </w:tcBorders>
            <w:shd w:color="auto" w:fill="auto" w:val="clear"/>
            <w:vAlign w:val="center"/>
          </w:tcPr>
          <w:p>
            <w:pPr>
              <w:pStyle w:val="Normal"/>
              <w:rPr/>
            </w:pPr>
            <w:r>
              <w:rPr>
                <w:sz w:val="18"/>
                <w:szCs w:val="18"/>
                <w:lang w:eastAsia="ru-RU"/>
              </w:rPr>
              <w:t>Надання пільгов</w:t>
            </w:r>
            <w:r>
              <w:rPr>
                <w:sz w:val="18"/>
                <w:szCs w:val="18"/>
                <w:lang w:val="uk-UA" w:eastAsia="ru-RU"/>
              </w:rPr>
              <w:t>их</w:t>
            </w:r>
            <w:r>
              <w:rPr>
                <w:sz w:val="18"/>
                <w:szCs w:val="18"/>
                <w:lang w:eastAsia="ru-RU"/>
              </w:rPr>
              <w:t xml:space="preserve"> довгостроков</w:t>
            </w:r>
            <w:r>
              <w:rPr>
                <w:sz w:val="18"/>
                <w:szCs w:val="18"/>
                <w:lang w:val="uk-UA" w:eastAsia="ru-RU"/>
              </w:rPr>
              <w:t>их</w:t>
            </w:r>
            <w:r>
              <w:rPr>
                <w:sz w:val="18"/>
                <w:szCs w:val="18"/>
                <w:lang w:eastAsia="ru-RU"/>
              </w:rPr>
              <w:t xml:space="preserve"> кредит</w:t>
            </w:r>
            <w:r>
              <w:rPr>
                <w:sz w:val="18"/>
                <w:szCs w:val="18"/>
                <w:lang w:val="uk-UA" w:eastAsia="ru-RU"/>
              </w:rPr>
              <w:t>ів молодим сім'ям та одиноким молодим</w:t>
            </w:r>
            <w:r>
              <w:rPr>
                <w:sz w:val="18"/>
                <w:szCs w:val="18"/>
                <w:lang w:eastAsia="ru-RU"/>
              </w:rPr>
              <w:t xml:space="preserve"> громадянам на будівництво</w:t>
            </w:r>
            <w:r>
              <w:rPr>
                <w:sz w:val="18"/>
                <w:szCs w:val="18"/>
                <w:lang w:val="uk-UA" w:eastAsia="ru-RU"/>
              </w:rPr>
              <w:t>/</w:t>
            </w:r>
            <w:r>
              <w:rPr>
                <w:sz w:val="18"/>
                <w:szCs w:val="18"/>
                <w:lang w:eastAsia="ru-RU"/>
              </w:rPr>
              <w:t xml:space="preserve"> реконструкцію</w:t>
            </w:r>
            <w:r>
              <w:rPr>
                <w:sz w:val="18"/>
                <w:szCs w:val="18"/>
                <w:lang w:val="uk-UA" w:eastAsia="ru-RU"/>
              </w:rPr>
              <w:t>/</w:t>
            </w:r>
            <w:r>
              <w:rPr>
                <w:sz w:val="18"/>
                <w:szCs w:val="18"/>
                <w:lang w:eastAsia="ru-RU"/>
              </w:rPr>
              <w:t>придбання ж</w:t>
            </w:r>
            <w:r>
              <w:rPr>
                <w:sz w:val="18"/>
                <w:szCs w:val="18"/>
                <w:lang w:val="uk-UA" w:eastAsia="ru-RU"/>
              </w:rPr>
              <w:t>итла</w:t>
            </w:r>
          </w:p>
        </w:tc>
        <w:tc>
          <w:tcPr>
            <w:tcW w:w="1134"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lang w:val="uk-UA"/>
              </w:rPr>
              <w:t>59,0</w:t>
            </w:r>
          </w:p>
        </w:tc>
        <w:tc>
          <w:tcPr>
            <w:tcW w:w="1275" w:type="dxa"/>
            <w:tcBorders>
              <w:top w:val="single" w:sz="4" w:space="0" w:color="000000"/>
              <w:left w:val="single" w:sz="4" w:space="0" w:color="000000"/>
              <w:bottom w:val="single" w:sz="4" w:space="0" w:color="000000"/>
            </w:tcBorders>
            <w:shd w:color="auto" w:fill="auto" w:val="clear"/>
            <w:vAlign w:val="center"/>
          </w:tcPr>
          <w:p>
            <w:pPr>
              <w:pStyle w:val="Normal"/>
              <w:snapToGrid w:val="false"/>
              <w:jc w:val="center"/>
              <w:rPr>
                <w:sz w:val="18"/>
                <w:szCs w:val="18"/>
                <w:lang w:val="uk-UA" w:eastAsia="ru-RU"/>
              </w:rPr>
            </w:pPr>
            <w:r>
              <w:rPr>
                <w:sz w:val="18"/>
                <w:szCs w:val="18"/>
                <w:lang w:val="uk-UA" w:eastAsia="ru-RU"/>
              </w:rPr>
            </w:r>
          </w:p>
        </w:tc>
        <w:tc>
          <w:tcPr>
            <w:tcW w:w="1275" w:type="dxa"/>
            <w:tcBorders>
              <w:top w:val="single" w:sz="4" w:space="0" w:color="000000"/>
              <w:left w:val="single" w:sz="4" w:space="0" w:color="000000"/>
              <w:bottom w:val="single" w:sz="4" w:space="0" w:color="000000"/>
            </w:tcBorders>
            <w:shd w:color="auto" w:fill="auto" w:val="clear"/>
            <w:vAlign w:val="center"/>
          </w:tcPr>
          <w:p>
            <w:pPr>
              <w:pStyle w:val="Normal"/>
              <w:snapToGrid w:val="false"/>
              <w:jc w:val="center"/>
              <w:rPr>
                <w:sz w:val="18"/>
                <w:szCs w:val="18"/>
                <w:lang w:val="uk-UA" w:eastAsia="ru-RU"/>
              </w:rPr>
            </w:pPr>
            <w:r>
              <w:rPr>
                <w:sz w:val="18"/>
                <w:szCs w:val="18"/>
                <w:lang w:val="uk-UA" w:eastAsia="ru-RU"/>
              </w:rPr>
            </w:r>
          </w:p>
        </w:tc>
        <w:tc>
          <w:tcPr>
            <w:tcW w:w="9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napToGrid w:val="false"/>
              <w:jc w:val="center"/>
              <w:rPr>
                <w:sz w:val="18"/>
                <w:szCs w:val="18"/>
                <w:lang w:val="uk-UA" w:eastAsia="ru-RU"/>
              </w:rPr>
            </w:pPr>
            <w:r>
              <w:rPr>
                <w:sz w:val="18"/>
                <w:szCs w:val="18"/>
                <w:lang w:val="uk-UA" w:eastAsia="ru-RU"/>
              </w:rPr>
            </w:r>
          </w:p>
        </w:tc>
      </w:tr>
      <w:tr>
        <w:trPr/>
        <w:tc>
          <w:tcPr>
            <w:tcW w:w="1014"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lang w:val="uk-UA" w:eastAsia="ru-RU"/>
              </w:rPr>
              <w:t>1060</w:t>
            </w:r>
          </w:p>
        </w:tc>
        <w:tc>
          <w:tcPr>
            <w:tcW w:w="3969" w:type="dxa"/>
            <w:tcBorders>
              <w:top w:val="single" w:sz="4" w:space="0" w:color="000000"/>
              <w:left w:val="single" w:sz="4" w:space="0" w:color="000000"/>
              <w:bottom w:val="single" w:sz="4" w:space="0" w:color="000000"/>
            </w:tcBorders>
            <w:shd w:color="auto" w:fill="auto" w:val="clear"/>
            <w:vAlign w:val="center"/>
          </w:tcPr>
          <w:p>
            <w:pPr>
              <w:pStyle w:val="Normal"/>
              <w:rPr>
                <w:sz w:val="18"/>
                <w:szCs w:val="18"/>
                <w:lang w:eastAsia="ru-RU"/>
              </w:rPr>
            </w:pPr>
            <w:r>
              <w:rPr>
                <w:sz w:val="18"/>
                <w:szCs w:val="18"/>
                <w:lang w:val="uk-UA" w:eastAsia="ru-RU"/>
              </w:rPr>
              <w:t xml:space="preserve">Повернення </w:t>
            </w:r>
            <w:r>
              <w:rPr>
                <w:sz w:val="18"/>
                <w:szCs w:val="18"/>
                <w:lang w:eastAsia="ru-RU"/>
              </w:rPr>
              <w:t xml:space="preserve"> пільгов</w:t>
            </w:r>
            <w:r>
              <w:rPr>
                <w:sz w:val="18"/>
                <w:szCs w:val="18"/>
                <w:lang w:val="uk-UA" w:eastAsia="ru-RU"/>
              </w:rPr>
              <w:t>их</w:t>
            </w:r>
            <w:r>
              <w:rPr>
                <w:sz w:val="18"/>
                <w:szCs w:val="18"/>
                <w:lang w:eastAsia="ru-RU"/>
              </w:rPr>
              <w:t xml:space="preserve"> довгостроков</w:t>
            </w:r>
            <w:r>
              <w:rPr>
                <w:sz w:val="18"/>
                <w:szCs w:val="18"/>
                <w:lang w:val="uk-UA" w:eastAsia="ru-RU"/>
              </w:rPr>
              <w:t>их</w:t>
            </w:r>
            <w:r>
              <w:rPr>
                <w:sz w:val="18"/>
                <w:szCs w:val="18"/>
                <w:lang w:eastAsia="ru-RU"/>
              </w:rPr>
              <w:t xml:space="preserve"> кредит</w:t>
            </w:r>
            <w:r>
              <w:rPr>
                <w:sz w:val="18"/>
                <w:szCs w:val="18"/>
                <w:lang w:val="uk-UA" w:eastAsia="ru-RU"/>
              </w:rPr>
              <w:t>ів молодим сім'ям та одиноким молодим</w:t>
            </w:r>
            <w:r>
              <w:rPr>
                <w:sz w:val="18"/>
                <w:szCs w:val="18"/>
                <w:lang w:eastAsia="ru-RU"/>
              </w:rPr>
              <w:t xml:space="preserve"> громадянам на будівництво</w:t>
            </w:r>
            <w:r>
              <w:rPr>
                <w:sz w:val="18"/>
                <w:szCs w:val="18"/>
                <w:lang w:val="uk-UA" w:eastAsia="ru-RU"/>
              </w:rPr>
              <w:t>/</w:t>
            </w:r>
            <w:r>
              <w:rPr>
                <w:sz w:val="18"/>
                <w:szCs w:val="18"/>
                <w:lang w:eastAsia="ru-RU"/>
              </w:rPr>
              <w:t xml:space="preserve"> реконструкцію</w:t>
            </w:r>
            <w:r>
              <w:rPr>
                <w:sz w:val="18"/>
                <w:szCs w:val="18"/>
                <w:lang w:val="uk-UA" w:eastAsia="ru-RU"/>
              </w:rPr>
              <w:t>/</w:t>
            </w:r>
            <w:r>
              <w:rPr>
                <w:sz w:val="18"/>
                <w:szCs w:val="18"/>
                <w:lang w:eastAsia="ru-RU"/>
              </w:rPr>
              <w:t>придбання ж</w:t>
            </w:r>
            <w:r>
              <w:rPr>
                <w:sz w:val="18"/>
                <w:szCs w:val="18"/>
                <w:lang w:val="uk-UA" w:eastAsia="ru-RU"/>
              </w:rPr>
              <w:t>итла</w:t>
            </w:r>
          </w:p>
        </w:tc>
        <w:tc>
          <w:tcPr>
            <w:tcW w:w="1134"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lang w:val="uk-UA"/>
              </w:rPr>
              <w:t>-57,0</w:t>
            </w:r>
          </w:p>
        </w:tc>
        <w:tc>
          <w:tcPr>
            <w:tcW w:w="1275"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lang w:val="uk-UA"/>
              </w:rPr>
              <w:t>-36,2</w:t>
            </w:r>
          </w:p>
        </w:tc>
        <w:tc>
          <w:tcPr>
            <w:tcW w:w="1275"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lang w:val="uk-UA"/>
              </w:rPr>
              <w:t>-39,4</w:t>
            </w:r>
          </w:p>
        </w:tc>
        <w:tc>
          <w:tcPr>
            <w:tcW w:w="9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pPr>
            <w:r>
              <w:rPr>
                <w:lang w:val="uk-UA"/>
              </w:rPr>
              <w:t>-3,2</w:t>
            </w:r>
          </w:p>
        </w:tc>
      </w:tr>
      <w:tr>
        <w:trPr/>
        <w:tc>
          <w:tcPr>
            <w:tcW w:w="1014" w:type="dxa"/>
            <w:tcBorders>
              <w:top w:val="single" w:sz="4" w:space="0" w:color="000000"/>
              <w:left w:val="single" w:sz="4" w:space="0" w:color="000000"/>
              <w:bottom w:val="single" w:sz="4" w:space="0" w:color="000000"/>
            </w:tcBorders>
            <w:shd w:color="auto" w:fill="auto" w:val="clear"/>
            <w:vAlign w:val="center"/>
          </w:tcPr>
          <w:p>
            <w:pPr>
              <w:pStyle w:val="Normal"/>
              <w:snapToGrid w:val="false"/>
              <w:jc w:val="center"/>
              <w:rPr>
                <w:lang w:val="uk-UA" w:eastAsia="ru-RU"/>
              </w:rPr>
            </w:pPr>
            <w:r>
              <w:rPr>
                <w:lang w:val="uk-UA" w:eastAsia="ru-RU"/>
              </w:rPr>
            </w:r>
          </w:p>
        </w:tc>
        <w:tc>
          <w:tcPr>
            <w:tcW w:w="3969" w:type="dxa"/>
            <w:tcBorders>
              <w:top w:val="single" w:sz="4" w:space="0" w:color="000000"/>
              <w:left w:val="single" w:sz="4" w:space="0" w:color="000000"/>
              <w:bottom w:val="single" w:sz="4" w:space="0" w:color="000000"/>
            </w:tcBorders>
            <w:shd w:color="auto" w:fill="auto" w:val="clear"/>
            <w:vAlign w:val="center"/>
          </w:tcPr>
          <w:p>
            <w:pPr>
              <w:pStyle w:val="Normal"/>
              <w:rPr/>
            </w:pPr>
            <w:r>
              <w:rPr>
                <w:b/>
                <w:sz w:val="18"/>
                <w:szCs w:val="18"/>
                <w:lang w:val="uk-UA" w:eastAsia="ru-RU"/>
              </w:rPr>
              <w:t>Виконання гарантійних зобов'язань за позичальників, що отримали кредити під місцеві гарантії</w:t>
            </w:r>
          </w:p>
        </w:tc>
        <w:tc>
          <w:tcPr>
            <w:tcW w:w="1134" w:type="dxa"/>
            <w:tcBorders>
              <w:top w:val="single" w:sz="4" w:space="0" w:color="000000"/>
              <w:left w:val="single" w:sz="4" w:space="0" w:color="000000"/>
              <w:bottom w:val="single" w:sz="4" w:space="0" w:color="000000"/>
            </w:tcBorders>
            <w:shd w:color="auto" w:fill="auto" w:val="clear"/>
            <w:vAlign w:val="center"/>
          </w:tcPr>
          <w:p>
            <w:pPr>
              <w:pStyle w:val="Normal"/>
              <w:snapToGrid w:val="false"/>
              <w:jc w:val="center"/>
              <w:rPr>
                <w:b/>
                <w:sz w:val="18"/>
                <w:szCs w:val="18"/>
                <w:lang w:val="uk-UA" w:eastAsia="ru-RU"/>
              </w:rPr>
            </w:pPr>
            <w:r>
              <w:rPr>
                <w:b/>
                <w:sz w:val="18"/>
                <w:szCs w:val="18"/>
                <w:lang w:val="uk-UA" w:eastAsia="ru-RU"/>
              </w:rPr>
            </w:r>
          </w:p>
        </w:tc>
        <w:tc>
          <w:tcPr>
            <w:tcW w:w="1275" w:type="dxa"/>
            <w:tcBorders>
              <w:top w:val="single" w:sz="4" w:space="0" w:color="000000"/>
              <w:left w:val="single" w:sz="4" w:space="0" w:color="000000"/>
              <w:bottom w:val="single" w:sz="4" w:space="0" w:color="000000"/>
            </w:tcBorders>
            <w:shd w:color="auto" w:fill="auto" w:val="clear"/>
            <w:vAlign w:val="center"/>
          </w:tcPr>
          <w:p>
            <w:pPr>
              <w:pStyle w:val="Normal"/>
              <w:snapToGrid w:val="false"/>
              <w:jc w:val="center"/>
              <w:rPr>
                <w:b/>
                <w:sz w:val="18"/>
                <w:szCs w:val="18"/>
                <w:lang w:val="uk-UA" w:eastAsia="ru-RU"/>
              </w:rPr>
            </w:pPr>
            <w:r>
              <w:rPr>
                <w:b/>
                <w:sz w:val="18"/>
                <w:szCs w:val="18"/>
                <w:lang w:val="uk-UA" w:eastAsia="ru-RU"/>
              </w:rPr>
            </w:r>
          </w:p>
        </w:tc>
        <w:tc>
          <w:tcPr>
            <w:tcW w:w="1275" w:type="dxa"/>
            <w:tcBorders>
              <w:top w:val="single" w:sz="4" w:space="0" w:color="000000"/>
              <w:left w:val="single" w:sz="4" w:space="0" w:color="000000"/>
              <w:bottom w:val="single" w:sz="4" w:space="0" w:color="000000"/>
            </w:tcBorders>
            <w:shd w:color="auto" w:fill="auto" w:val="clear"/>
            <w:vAlign w:val="center"/>
          </w:tcPr>
          <w:p>
            <w:pPr>
              <w:pStyle w:val="Normal"/>
              <w:snapToGrid w:val="false"/>
              <w:jc w:val="center"/>
              <w:rPr>
                <w:b/>
                <w:sz w:val="18"/>
                <w:szCs w:val="18"/>
                <w:lang w:val="uk-UA" w:eastAsia="ru-RU"/>
              </w:rPr>
            </w:pPr>
            <w:r>
              <w:rPr>
                <w:b/>
                <w:sz w:val="18"/>
                <w:szCs w:val="18"/>
                <w:lang w:val="uk-UA" w:eastAsia="ru-RU"/>
              </w:rPr>
            </w:r>
          </w:p>
        </w:tc>
        <w:tc>
          <w:tcPr>
            <w:tcW w:w="9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napToGrid w:val="false"/>
              <w:jc w:val="center"/>
              <w:rPr>
                <w:b/>
                <w:sz w:val="18"/>
                <w:szCs w:val="18"/>
                <w:lang w:val="uk-UA" w:eastAsia="ru-RU"/>
              </w:rPr>
            </w:pPr>
            <w:r>
              <w:rPr>
                <w:b/>
                <w:sz w:val="18"/>
                <w:szCs w:val="18"/>
                <w:lang w:val="uk-UA" w:eastAsia="ru-RU"/>
              </w:rPr>
            </w:r>
          </w:p>
        </w:tc>
      </w:tr>
      <w:tr>
        <w:trPr>
          <w:trHeight w:val="888" w:hRule="atLeast"/>
        </w:trPr>
        <w:tc>
          <w:tcPr>
            <w:tcW w:w="1014"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lang w:val="uk-UA" w:eastAsia="ru-RU"/>
              </w:rPr>
              <w:t>0490</w:t>
            </w:r>
          </w:p>
        </w:tc>
        <w:tc>
          <w:tcPr>
            <w:tcW w:w="3969" w:type="dxa"/>
            <w:tcBorders>
              <w:top w:val="single" w:sz="4" w:space="0" w:color="000000"/>
              <w:left w:val="single" w:sz="4" w:space="0" w:color="000000"/>
              <w:bottom w:val="single" w:sz="4" w:space="0" w:color="000000"/>
            </w:tcBorders>
            <w:shd w:color="auto" w:fill="auto" w:val="clear"/>
            <w:vAlign w:val="center"/>
          </w:tcPr>
          <w:p>
            <w:pPr>
              <w:pStyle w:val="Normal"/>
              <w:rPr/>
            </w:pPr>
            <w:r>
              <w:rPr>
                <w:sz w:val="18"/>
                <w:szCs w:val="18"/>
              </w:rPr>
              <w:t>Виконання Автономною Республікою Крим чи територіальною громадою міста гарантійних зобов'язань за позичальників, що отримали кредити під місцеві гарантії</w:t>
            </w:r>
          </w:p>
        </w:tc>
        <w:tc>
          <w:tcPr>
            <w:tcW w:w="1134"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lang w:val="uk-UA"/>
              </w:rPr>
              <w:t>6 400,0</w:t>
            </w:r>
          </w:p>
        </w:tc>
        <w:tc>
          <w:tcPr>
            <w:tcW w:w="1275"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sz w:val="18"/>
                <w:szCs w:val="18"/>
                <w:lang w:val="uk-UA" w:eastAsia="ru-RU"/>
              </w:rPr>
            </w:pPr>
            <w:r>
              <w:rPr>
                <w:sz w:val="18"/>
                <w:szCs w:val="18"/>
                <w:lang w:val="uk-UA" w:eastAsia="ru-RU"/>
              </w:rPr>
            </w:r>
          </w:p>
        </w:tc>
        <w:tc>
          <w:tcPr>
            <w:tcW w:w="1275"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sz w:val="18"/>
                <w:szCs w:val="18"/>
                <w:lang w:val="uk-UA" w:eastAsia="ru-RU"/>
              </w:rPr>
            </w:pPr>
            <w:r>
              <w:rPr>
                <w:sz w:val="18"/>
                <w:szCs w:val="18"/>
                <w:lang w:val="uk-UA" w:eastAsia="ru-RU"/>
              </w:rPr>
            </w:r>
          </w:p>
        </w:tc>
        <w:tc>
          <w:tcPr>
            <w:tcW w:w="991"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napToGrid w:val="false"/>
              <w:jc w:val="right"/>
              <w:rPr>
                <w:sz w:val="18"/>
                <w:szCs w:val="18"/>
                <w:lang w:val="uk-UA" w:eastAsia="ru-RU"/>
              </w:rPr>
            </w:pPr>
            <w:r>
              <w:rPr>
                <w:sz w:val="18"/>
                <w:szCs w:val="18"/>
                <w:lang w:val="uk-UA" w:eastAsia="ru-RU"/>
              </w:rPr>
            </w:r>
          </w:p>
        </w:tc>
      </w:tr>
      <w:tr>
        <w:trPr>
          <w:trHeight w:val="1108" w:hRule="atLeast"/>
        </w:trPr>
        <w:tc>
          <w:tcPr>
            <w:tcW w:w="1014"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lang w:val="uk-UA" w:eastAsia="ru-RU"/>
              </w:rPr>
              <w:t>0490</w:t>
            </w:r>
          </w:p>
        </w:tc>
        <w:tc>
          <w:tcPr>
            <w:tcW w:w="3969" w:type="dxa"/>
            <w:tcBorders>
              <w:top w:val="single" w:sz="4" w:space="0" w:color="000000"/>
              <w:left w:val="single" w:sz="4" w:space="0" w:color="000000"/>
              <w:bottom w:val="single" w:sz="4" w:space="0" w:color="000000"/>
            </w:tcBorders>
            <w:shd w:color="auto" w:fill="auto" w:val="clear"/>
            <w:vAlign w:val="center"/>
          </w:tcPr>
          <w:p>
            <w:pPr>
              <w:pStyle w:val="Normal"/>
              <w:rPr/>
            </w:pPr>
            <w:r>
              <w:rPr>
                <w:sz w:val="18"/>
                <w:szCs w:val="18"/>
              </w:rPr>
              <w:t>Повернення коштів, наданих із бюджету Автономної Республіки Крим чи місцевого самоврядування для виконання Автономною Республікою Крим чи територіальною громадою міста гарантійних зобов'язань за позичальників, що отримали кредити під місцеві гарантії</w:t>
            </w:r>
          </w:p>
        </w:tc>
        <w:tc>
          <w:tcPr>
            <w:tcW w:w="1134" w:type="dxa"/>
            <w:tcBorders>
              <w:top w:val="single" w:sz="4" w:space="0" w:color="000000"/>
              <w:left w:val="single" w:sz="4" w:space="0" w:color="000000"/>
              <w:bottom w:val="single" w:sz="4" w:space="0" w:color="000000"/>
            </w:tcBorders>
            <w:shd w:color="auto" w:fill="auto" w:val="clear"/>
            <w:vAlign w:val="bottom"/>
          </w:tcPr>
          <w:p>
            <w:pPr>
              <w:pStyle w:val="Normal"/>
              <w:jc w:val="center"/>
              <w:rPr/>
            </w:pPr>
            <w:r>
              <w:rPr>
                <w:lang w:val="uk-UA"/>
              </w:rPr>
              <w:t>-6 400,0</w:t>
            </w:r>
          </w:p>
        </w:tc>
        <w:tc>
          <w:tcPr>
            <w:tcW w:w="1275"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sz w:val="18"/>
                <w:szCs w:val="18"/>
                <w:lang w:val="uk-UA" w:eastAsia="ru-RU"/>
              </w:rPr>
            </w:pPr>
            <w:r>
              <w:rPr>
                <w:sz w:val="18"/>
                <w:szCs w:val="18"/>
                <w:lang w:val="uk-UA" w:eastAsia="ru-RU"/>
              </w:rPr>
            </w:r>
          </w:p>
        </w:tc>
        <w:tc>
          <w:tcPr>
            <w:tcW w:w="1275" w:type="dxa"/>
            <w:tcBorders>
              <w:top w:val="single" w:sz="4" w:space="0" w:color="000000"/>
              <w:left w:val="single" w:sz="4" w:space="0" w:color="000000"/>
              <w:bottom w:val="single" w:sz="4" w:space="0" w:color="000000"/>
            </w:tcBorders>
            <w:shd w:color="auto" w:fill="auto" w:val="clear"/>
            <w:vAlign w:val="bottom"/>
          </w:tcPr>
          <w:p>
            <w:pPr>
              <w:pStyle w:val="Normal"/>
              <w:snapToGrid w:val="false"/>
              <w:jc w:val="right"/>
              <w:rPr>
                <w:sz w:val="18"/>
                <w:szCs w:val="18"/>
                <w:lang w:val="uk-UA" w:eastAsia="ru-RU"/>
              </w:rPr>
            </w:pPr>
            <w:r>
              <w:rPr>
                <w:sz w:val="18"/>
                <w:szCs w:val="18"/>
                <w:lang w:val="uk-UA" w:eastAsia="ru-RU"/>
              </w:rPr>
            </w:r>
          </w:p>
        </w:tc>
        <w:tc>
          <w:tcPr>
            <w:tcW w:w="991"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napToGrid w:val="false"/>
              <w:jc w:val="right"/>
              <w:rPr>
                <w:sz w:val="18"/>
                <w:szCs w:val="18"/>
                <w:lang w:val="uk-UA" w:eastAsia="ru-RU"/>
              </w:rPr>
            </w:pPr>
            <w:r>
              <w:rPr>
                <w:sz w:val="18"/>
                <w:szCs w:val="18"/>
                <w:lang w:val="uk-UA" w:eastAsia="ru-RU"/>
              </w:rPr>
            </w:r>
          </w:p>
        </w:tc>
      </w:tr>
    </w:tbl>
    <w:p>
      <w:pPr>
        <w:pStyle w:val="Heading1"/>
        <w:tabs>
          <w:tab w:val="clear" w:pos="0"/>
        </w:tabs>
        <w:ind w:left="-142"/>
        <w:jc w:val="center"/>
        <w:rPr>
          <w:b w:val="false"/>
          <w:sz w:val="28"/>
          <w:szCs w:val="28"/>
        </w:rPr>
      </w:pPr>
      <w:r>
        <w:rPr>
          <w:b w:val="false"/>
          <w:sz w:val="28"/>
          <w:szCs w:val="28"/>
        </w:rPr>
      </w:r>
    </w:p>
    <w:p>
      <w:pPr>
        <w:pStyle w:val="Heading1"/>
        <w:tabs>
          <w:tab w:val="clear" w:pos="0"/>
        </w:tabs>
        <w:ind w:left="-142"/>
        <w:jc w:val="center"/>
        <w:rPr/>
      </w:pPr>
      <w:r>
        <w:rPr>
          <w:b w:val="false"/>
          <w:sz w:val="28"/>
          <w:szCs w:val="28"/>
        </w:rPr>
        <w:t>Фінансування бюджету за 2024 - 2023 роки:</w:t>
      </w:r>
    </w:p>
    <w:p>
      <w:pPr>
        <w:pStyle w:val="Heading1"/>
        <w:tabs>
          <w:tab w:val="clear" w:pos="0"/>
        </w:tabs>
        <w:ind w:left="-142"/>
        <w:jc w:val="center"/>
        <w:rPr/>
      </w:pPr>
      <w:r>
        <w:rPr>
          <w:b w:val="false"/>
          <w:sz w:val="14"/>
          <w:szCs w:val="14"/>
        </w:rPr>
        <w:t xml:space="preserve">                                                                                                                                                                                                   </w:t>
      </w:r>
      <w:r>
        <w:rPr>
          <w:b w:val="false"/>
          <w:sz w:val="14"/>
          <w:szCs w:val="14"/>
        </w:rPr>
        <w:t>тис. грн</w:t>
      </w:r>
    </w:p>
    <w:tbl>
      <w:tblPr>
        <w:tblW w:w="9781" w:type="dxa"/>
        <w:jc w:val="left"/>
        <w:tblInd w:w="222" w:type="dxa"/>
        <w:tblLayout w:type="fixed"/>
        <w:tblCellMar>
          <w:top w:w="0" w:type="dxa"/>
          <w:left w:w="108" w:type="dxa"/>
          <w:bottom w:w="0" w:type="dxa"/>
          <w:right w:w="108" w:type="dxa"/>
        </w:tblCellMar>
        <w:tblLook w:val="0000"/>
      </w:tblPr>
      <w:tblGrid>
        <w:gridCol w:w="674"/>
        <w:gridCol w:w="1311"/>
        <w:gridCol w:w="850"/>
        <w:gridCol w:w="853"/>
        <w:gridCol w:w="992"/>
        <w:gridCol w:w="851"/>
        <w:gridCol w:w="850"/>
        <w:gridCol w:w="851"/>
        <w:gridCol w:w="850"/>
        <w:gridCol w:w="850"/>
        <w:gridCol w:w="847"/>
      </w:tblGrid>
      <w:tr>
        <w:trPr>
          <w:trHeight w:val="430" w:hRule="atLeast"/>
        </w:trPr>
        <w:tc>
          <w:tcPr>
            <w:tcW w:w="1985" w:type="dxa"/>
            <w:gridSpan w:val="2"/>
            <w:vMerge w:val="restart"/>
            <w:tcBorders>
              <w:top w:val="single" w:sz="4" w:space="0" w:color="000000"/>
              <w:left w:val="single" w:sz="4" w:space="0" w:color="000000"/>
              <w:bottom w:val="single" w:sz="4" w:space="0" w:color="000000"/>
            </w:tcBorders>
            <w:shd w:color="auto" w:fill="auto" w:val="clear"/>
          </w:tcPr>
          <w:p>
            <w:pPr>
              <w:pStyle w:val="Normal"/>
              <w:snapToGrid w:val="false"/>
              <w:ind w:hanging="223" w:left="223"/>
              <w:rPr>
                <w:sz w:val="14"/>
                <w:szCs w:val="14"/>
                <w:lang w:val="uk-UA"/>
              </w:rPr>
            </w:pPr>
            <w:r>
              <w:rPr>
                <w:sz w:val="14"/>
                <w:szCs w:val="14"/>
                <w:lang w:val="uk-UA"/>
              </w:rPr>
            </w:r>
          </w:p>
        </w:tc>
        <w:tc>
          <w:tcPr>
            <w:tcW w:w="269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pPr>
            <w:r>
              <w:rPr>
                <w:b/>
                <w:lang w:val="uk-UA"/>
              </w:rPr>
              <w:t>Загальний фонд</w:t>
            </w:r>
          </w:p>
        </w:tc>
        <w:tc>
          <w:tcPr>
            <w:tcW w:w="2552"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pPr>
            <w:r>
              <w:rPr>
                <w:b/>
                <w:lang w:val="uk-UA"/>
              </w:rPr>
              <w:t>Спеціальний фонд</w:t>
            </w:r>
          </w:p>
        </w:tc>
        <w:tc>
          <w:tcPr>
            <w:tcW w:w="254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pPr>
            <w:r>
              <w:rPr>
                <w:b/>
                <w:lang w:val="uk-UA"/>
              </w:rPr>
              <w:t>Разом</w:t>
            </w:r>
          </w:p>
        </w:tc>
      </w:tr>
      <w:tr>
        <w:trPr/>
        <w:tc>
          <w:tcPr>
            <w:tcW w:w="1985" w:type="dxa"/>
            <w:gridSpan w:val="2"/>
            <w:vMerge w:val="continue"/>
            <w:tcBorders>
              <w:top w:val="single" w:sz="4" w:space="0" w:color="000000"/>
              <w:left w:val="single" w:sz="4" w:space="0" w:color="000000"/>
              <w:bottom w:val="single" w:sz="4" w:space="0" w:color="000000"/>
            </w:tcBorders>
            <w:shd w:color="auto" w:fill="auto" w:val="clear"/>
          </w:tcPr>
          <w:p>
            <w:pPr>
              <w:pStyle w:val="Normal"/>
              <w:snapToGrid w:val="false"/>
              <w:rPr>
                <w:b/>
                <w:sz w:val="14"/>
                <w:szCs w:val="14"/>
                <w:lang w:val="uk-UA" w:eastAsia="ru-RU"/>
              </w:rPr>
            </w:pPr>
            <w:r>
              <w:rPr>
                <w:b/>
                <w:sz w:val="14"/>
                <w:szCs w:val="14"/>
                <w:lang w:val="uk-UA" w:eastAsia="ru-RU"/>
              </w:rPr>
            </w:r>
          </w:p>
        </w:tc>
        <w:tc>
          <w:tcPr>
            <w:tcW w:w="850" w:type="dxa"/>
            <w:tcBorders>
              <w:top w:val="single" w:sz="4" w:space="0" w:color="000000"/>
              <w:left w:val="single" w:sz="4" w:space="0" w:color="000000"/>
              <w:bottom w:val="single" w:sz="4" w:space="0" w:color="000000"/>
            </w:tcBorders>
            <w:shd w:color="auto" w:fill="auto" w:val="clear"/>
          </w:tcPr>
          <w:p>
            <w:pPr>
              <w:pStyle w:val="Normal"/>
              <w:jc w:val="center"/>
              <w:rPr>
                <w:sz w:val="14"/>
                <w:szCs w:val="14"/>
              </w:rPr>
            </w:pPr>
            <w:r>
              <w:rPr>
                <w:sz w:val="14"/>
                <w:szCs w:val="14"/>
              </w:rPr>
              <w:t>Виконано за        2024 рік</w:t>
            </w:r>
          </w:p>
        </w:tc>
        <w:tc>
          <w:tcPr>
            <w:tcW w:w="853" w:type="dxa"/>
            <w:tcBorders>
              <w:top w:val="single" w:sz="4" w:space="0" w:color="000000"/>
              <w:left w:val="single" w:sz="4" w:space="0" w:color="000000"/>
              <w:bottom w:val="single" w:sz="4" w:space="0" w:color="000000"/>
            </w:tcBorders>
            <w:shd w:color="auto" w:fill="auto" w:val="clear"/>
          </w:tcPr>
          <w:p>
            <w:pPr>
              <w:pStyle w:val="Normal"/>
              <w:jc w:val="center"/>
              <w:rPr>
                <w:sz w:val="14"/>
                <w:szCs w:val="14"/>
              </w:rPr>
            </w:pPr>
            <w:r>
              <w:rPr>
                <w:sz w:val="14"/>
                <w:szCs w:val="14"/>
              </w:rPr>
              <w:t>Виконано за        2023 рік</w:t>
            </w:r>
          </w:p>
        </w:tc>
        <w:tc>
          <w:tcPr>
            <w:tcW w:w="992" w:type="dxa"/>
            <w:tcBorders>
              <w:top w:val="single" w:sz="4" w:space="0" w:color="000000"/>
              <w:left w:val="single" w:sz="4" w:space="0" w:color="000000"/>
              <w:bottom w:val="single" w:sz="4" w:space="0" w:color="000000"/>
            </w:tcBorders>
            <w:shd w:color="auto" w:fill="auto" w:val="clear"/>
          </w:tcPr>
          <w:p>
            <w:pPr>
              <w:pStyle w:val="Normal"/>
              <w:jc w:val="center"/>
              <w:rPr>
                <w:sz w:val="14"/>
                <w:szCs w:val="14"/>
              </w:rPr>
            </w:pPr>
            <w:r>
              <w:rPr>
                <w:sz w:val="14"/>
                <w:szCs w:val="14"/>
              </w:rPr>
              <w:t>+,-</w:t>
            </w:r>
          </w:p>
        </w:tc>
        <w:tc>
          <w:tcPr>
            <w:tcW w:w="851" w:type="dxa"/>
            <w:tcBorders>
              <w:top w:val="single" w:sz="4" w:space="0" w:color="000000"/>
              <w:left w:val="single" w:sz="4" w:space="0" w:color="000000"/>
              <w:bottom w:val="single" w:sz="4" w:space="0" w:color="000000"/>
            </w:tcBorders>
            <w:shd w:color="auto" w:fill="auto" w:val="clear"/>
          </w:tcPr>
          <w:p>
            <w:pPr>
              <w:pStyle w:val="Normal"/>
              <w:jc w:val="center"/>
              <w:rPr>
                <w:sz w:val="14"/>
                <w:szCs w:val="14"/>
              </w:rPr>
            </w:pPr>
            <w:r>
              <w:rPr>
                <w:sz w:val="14"/>
                <w:szCs w:val="14"/>
              </w:rPr>
              <w:t>Виконано за        2024 рік</w:t>
            </w:r>
          </w:p>
        </w:tc>
        <w:tc>
          <w:tcPr>
            <w:tcW w:w="850" w:type="dxa"/>
            <w:tcBorders>
              <w:top w:val="single" w:sz="4" w:space="0" w:color="000000"/>
              <w:left w:val="single" w:sz="4" w:space="0" w:color="000000"/>
              <w:bottom w:val="single" w:sz="4" w:space="0" w:color="000000"/>
            </w:tcBorders>
            <w:shd w:color="auto" w:fill="auto" w:val="clear"/>
          </w:tcPr>
          <w:p>
            <w:pPr>
              <w:pStyle w:val="Normal"/>
              <w:jc w:val="center"/>
              <w:rPr>
                <w:sz w:val="14"/>
                <w:szCs w:val="14"/>
              </w:rPr>
            </w:pPr>
            <w:r>
              <w:rPr>
                <w:sz w:val="14"/>
                <w:szCs w:val="14"/>
              </w:rPr>
              <w:t>Виконано за        2023 рік</w:t>
            </w:r>
          </w:p>
        </w:tc>
        <w:tc>
          <w:tcPr>
            <w:tcW w:w="851" w:type="dxa"/>
            <w:tcBorders>
              <w:top w:val="single" w:sz="4" w:space="0" w:color="000000"/>
              <w:left w:val="single" w:sz="4" w:space="0" w:color="000000"/>
              <w:bottom w:val="single" w:sz="4" w:space="0" w:color="000000"/>
            </w:tcBorders>
            <w:shd w:color="auto" w:fill="auto" w:val="clear"/>
          </w:tcPr>
          <w:p>
            <w:pPr>
              <w:pStyle w:val="Normal"/>
              <w:jc w:val="center"/>
              <w:rPr>
                <w:sz w:val="14"/>
                <w:szCs w:val="14"/>
              </w:rPr>
            </w:pPr>
            <w:r>
              <w:rPr>
                <w:sz w:val="14"/>
                <w:szCs w:val="14"/>
              </w:rPr>
              <w:t>+,-</w:t>
            </w:r>
          </w:p>
        </w:tc>
        <w:tc>
          <w:tcPr>
            <w:tcW w:w="850" w:type="dxa"/>
            <w:tcBorders>
              <w:top w:val="single" w:sz="4" w:space="0" w:color="000000"/>
              <w:left w:val="single" w:sz="4" w:space="0" w:color="000000"/>
              <w:bottom w:val="single" w:sz="4" w:space="0" w:color="000000"/>
            </w:tcBorders>
            <w:shd w:color="auto" w:fill="auto" w:val="clear"/>
          </w:tcPr>
          <w:p>
            <w:pPr>
              <w:pStyle w:val="Normal"/>
              <w:jc w:val="center"/>
              <w:rPr>
                <w:sz w:val="14"/>
                <w:szCs w:val="14"/>
              </w:rPr>
            </w:pPr>
            <w:r>
              <w:rPr>
                <w:sz w:val="14"/>
                <w:szCs w:val="14"/>
              </w:rPr>
              <w:t>Виконано за        2024 рік</w:t>
            </w:r>
          </w:p>
        </w:tc>
        <w:tc>
          <w:tcPr>
            <w:tcW w:w="850" w:type="dxa"/>
            <w:tcBorders>
              <w:top w:val="single" w:sz="4" w:space="0" w:color="000000"/>
              <w:left w:val="single" w:sz="4" w:space="0" w:color="000000"/>
              <w:bottom w:val="single" w:sz="4" w:space="0" w:color="000000"/>
            </w:tcBorders>
            <w:shd w:color="auto" w:fill="auto" w:val="clear"/>
          </w:tcPr>
          <w:p>
            <w:pPr>
              <w:pStyle w:val="Normal"/>
              <w:jc w:val="center"/>
              <w:rPr>
                <w:sz w:val="14"/>
                <w:szCs w:val="14"/>
              </w:rPr>
            </w:pPr>
            <w:r>
              <w:rPr>
                <w:sz w:val="14"/>
                <w:szCs w:val="14"/>
              </w:rPr>
              <w:t>Виконано за        2023 рік</w:t>
            </w:r>
          </w:p>
        </w:tc>
        <w:tc>
          <w:tcPr>
            <w:tcW w:w="847"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sz w:val="14"/>
                <w:szCs w:val="14"/>
              </w:rPr>
            </w:pPr>
            <w:r>
              <w:rPr>
                <w:sz w:val="14"/>
                <w:szCs w:val="14"/>
              </w:rPr>
              <w:t>+,-</w:t>
            </w:r>
          </w:p>
        </w:tc>
      </w:tr>
      <w:tr>
        <w:trPr/>
        <w:tc>
          <w:tcPr>
            <w:tcW w:w="674" w:type="dxa"/>
            <w:tcBorders>
              <w:top w:val="single" w:sz="4" w:space="0" w:color="000000"/>
              <w:left w:val="single" w:sz="4" w:space="0" w:color="000000"/>
              <w:bottom w:val="single" w:sz="4" w:space="0" w:color="000000"/>
            </w:tcBorders>
            <w:shd w:color="auto" w:fill="auto" w:val="clear"/>
          </w:tcPr>
          <w:p>
            <w:pPr>
              <w:pStyle w:val="Normal"/>
              <w:jc w:val="center"/>
              <w:rPr/>
            </w:pPr>
            <w:r>
              <w:rPr>
                <w:rFonts w:cs="Times New Roman CYR" w:ascii="Times New Roman CYR" w:hAnsi="Times New Roman CYR"/>
                <w:sz w:val="14"/>
                <w:szCs w:val="14"/>
                <w:lang w:val="uk-UA" w:eastAsia="ru-RU"/>
              </w:rPr>
              <w:t>1</w:t>
            </w:r>
          </w:p>
        </w:tc>
        <w:tc>
          <w:tcPr>
            <w:tcW w:w="1311" w:type="dxa"/>
            <w:tcBorders>
              <w:top w:val="single" w:sz="4" w:space="0" w:color="000000"/>
              <w:left w:val="single" w:sz="4" w:space="0" w:color="000000"/>
              <w:bottom w:val="single" w:sz="4" w:space="0" w:color="000000"/>
            </w:tcBorders>
            <w:shd w:color="auto" w:fill="auto" w:val="clear"/>
          </w:tcPr>
          <w:p>
            <w:pPr>
              <w:pStyle w:val="Normal"/>
              <w:jc w:val="center"/>
              <w:rPr/>
            </w:pPr>
            <w:r>
              <w:rPr>
                <w:sz w:val="14"/>
                <w:szCs w:val="14"/>
                <w:lang w:val="uk-UA" w:eastAsia="ru-RU"/>
              </w:rPr>
              <w:t>2</w:t>
            </w:r>
          </w:p>
        </w:tc>
        <w:tc>
          <w:tcPr>
            <w:tcW w:w="850" w:type="dxa"/>
            <w:tcBorders>
              <w:top w:val="single" w:sz="4" w:space="0" w:color="000000"/>
              <w:left w:val="single" w:sz="4" w:space="0" w:color="000000"/>
              <w:bottom w:val="single" w:sz="4" w:space="0" w:color="000000"/>
            </w:tcBorders>
            <w:shd w:color="auto" w:fill="auto" w:val="clear"/>
          </w:tcPr>
          <w:p>
            <w:pPr>
              <w:pStyle w:val="Normal"/>
              <w:jc w:val="center"/>
              <w:rPr/>
            </w:pPr>
            <w:r>
              <w:rPr>
                <w:sz w:val="14"/>
                <w:szCs w:val="14"/>
                <w:lang w:val="uk-UA"/>
              </w:rPr>
              <w:t>3</w:t>
            </w:r>
          </w:p>
        </w:tc>
        <w:tc>
          <w:tcPr>
            <w:tcW w:w="853" w:type="dxa"/>
            <w:tcBorders>
              <w:top w:val="single" w:sz="4" w:space="0" w:color="000000"/>
              <w:left w:val="single" w:sz="4" w:space="0" w:color="000000"/>
              <w:bottom w:val="single" w:sz="4" w:space="0" w:color="000000"/>
            </w:tcBorders>
            <w:shd w:color="auto" w:fill="auto" w:val="clear"/>
          </w:tcPr>
          <w:p>
            <w:pPr>
              <w:pStyle w:val="Normal"/>
              <w:jc w:val="center"/>
              <w:rPr/>
            </w:pPr>
            <w:r>
              <w:rPr>
                <w:sz w:val="14"/>
                <w:szCs w:val="14"/>
                <w:lang w:val="uk-UA"/>
              </w:rPr>
              <w:t>4</w:t>
            </w:r>
          </w:p>
        </w:tc>
        <w:tc>
          <w:tcPr>
            <w:tcW w:w="992" w:type="dxa"/>
            <w:tcBorders>
              <w:top w:val="single" w:sz="4" w:space="0" w:color="000000"/>
              <w:left w:val="single" w:sz="4" w:space="0" w:color="000000"/>
              <w:bottom w:val="single" w:sz="4" w:space="0" w:color="000000"/>
            </w:tcBorders>
            <w:shd w:color="auto" w:fill="auto" w:val="clear"/>
          </w:tcPr>
          <w:p>
            <w:pPr>
              <w:pStyle w:val="Normal"/>
              <w:jc w:val="center"/>
              <w:rPr/>
            </w:pPr>
            <w:r>
              <w:rPr>
                <w:sz w:val="14"/>
                <w:szCs w:val="14"/>
                <w:lang w:val="uk-UA"/>
              </w:rPr>
              <w:t>5</w:t>
            </w:r>
          </w:p>
        </w:tc>
        <w:tc>
          <w:tcPr>
            <w:tcW w:w="851" w:type="dxa"/>
            <w:tcBorders>
              <w:top w:val="single" w:sz="4" w:space="0" w:color="000000"/>
              <w:left w:val="single" w:sz="4" w:space="0" w:color="000000"/>
              <w:bottom w:val="single" w:sz="4" w:space="0" w:color="000000"/>
            </w:tcBorders>
            <w:shd w:color="auto" w:fill="auto" w:val="clear"/>
          </w:tcPr>
          <w:p>
            <w:pPr>
              <w:pStyle w:val="Normal"/>
              <w:jc w:val="center"/>
              <w:rPr/>
            </w:pPr>
            <w:r>
              <w:rPr>
                <w:sz w:val="14"/>
                <w:szCs w:val="14"/>
                <w:lang w:val="uk-UA"/>
              </w:rPr>
              <w:t>6</w:t>
            </w:r>
          </w:p>
        </w:tc>
        <w:tc>
          <w:tcPr>
            <w:tcW w:w="850" w:type="dxa"/>
            <w:tcBorders>
              <w:top w:val="single" w:sz="4" w:space="0" w:color="000000"/>
              <w:left w:val="single" w:sz="4" w:space="0" w:color="000000"/>
              <w:bottom w:val="single" w:sz="4" w:space="0" w:color="000000"/>
            </w:tcBorders>
            <w:shd w:color="auto" w:fill="auto" w:val="clear"/>
          </w:tcPr>
          <w:p>
            <w:pPr>
              <w:pStyle w:val="Normal"/>
              <w:jc w:val="center"/>
              <w:rPr/>
            </w:pPr>
            <w:r>
              <w:rPr>
                <w:sz w:val="14"/>
                <w:szCs w:val="14"/>
                <w:lang w:val="uk-UA"/>
              </w:rPr>
              <w:t>7</w:t>
            </w:r>
          </w:p>
        </w:tc>
        <w:tc>
          <w:tcPr>
            <w:tcW w:w="851" w:type="dxa"/>
            <w:tcBorders>
              <w:top w:val="single" w:sz="4" w:space="0" w:color="000000"/>
              <w:left w:val="single" w:sz="4" w:space="0" w:color="000000"/>
              <w:bottom w:val="single" w:sz="4" w:space="0" w:color="000000"/>
            </w:tcBorders>
            <w:shd w:color="auto" w:fill="auto" w:val="clear"/>
          </w:tcPr>
          <w:p>
            <w:pPr>
              <w:pStyle w:val="Normal"/>
              <w:jc w:val="center"/>
              <w:rPr/>
            </w:pPr>
            <w:r>
              <w:rPr>
                <w:sz w:val="14"/>
                <w:szCs w:val="14"/>
                <w:lang w:val="uk-UA"/>
              </w:rPr>
              <w:t>8</w:t>
            </w:r>
          </w:p>
        </w:tc>
        <w:tc>
          <w:tcPr>
            <w:tcW w:w="850" w:type="dxa"/>
            <w:tcBorders>
              <w:top w:val="single" w:sz="4" w:space="0" w:color="000000"/>
              <w:left w:val="single" w:sz="4" w:space="0" w:color="000000"/>
              <w:bottom w:val="single" w:sz="4" w:space="0" w:color="000000"/>
            </w:tcBorders>
            <w:shd w:color="auto" w:fill="auto" w:val="clear"/>
          </w:tcPr>
          <w:p>
            <w:pPr>
              <w:pStyle w:val="Normal"/>
              <w:jc w:val="center"/>
              <w:rPr/>
            </w:pPr>
            <w:r>
              <w:rPr>
                <w:sz w:val="14"/>
                <w:szCs w:val="14"/>
                <w:lang w:val="uk-UA"/>
              </w:rPr>
              <w:t>9</w:t>
            </w:r>
          </w:p>
        </w:tc>
        <w:tc>
          <w:tcPr>
            <w:tcW w:w="850" w:type="dxa"/>
            <w:tcBorders>
              <w:top w:val="single" w:sz="4" w:space="0" w:color="000000"/>
              <w:left w:val="single" w:sz="4" w:space="0" w:color="000000"/>
              <w:bottom w:val="single" w:sz="4" w:space="0" w:color="000000"/>
            </w:tcBorders>
            <w:shd w:color="auto" w:fill="auto" w:val="clear"/>
          </w:tcPr>
          <w:p>
            <w:pPr>
              <w:pStyle w:val="Normal"/>
              <w:jc w:val="center"/>
              <w:rPr/>
            </w:pPr>
            <w:r>
              <w:rPr>
                <w:sz w:val="14"/>
                <w:szCs w:val="14"/>
                <w:lang w:val="uk-UA"/>
              </w:rPr>
              <w:t>10</w:t>
            </w:r>
          </w:p>
        </w:tc>
        <w:tc>
          <w:tcPr>
            <w:tcW w:w="847"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pPr>
            <w:r>
              <w:rPr>
                <w:sz w:val="14"/>
                <w:szCs w:val="14"/>
                <w:lang w:val="uk-UA"/>
              </w:rPr>
              <w:t>11</w:t>
            </w:r>
          </w:p>
        </w:tc>
      </w:tr>
      <w:tr>
        <w:trPr>
          <w:trHeight w:val="166" w:hRule="atLeast"/>
        </w:trPr>
        <w:tc>
          <w:tcPr>
            <w:tcW w:w="674" w:type="dxa"/>
            <w:tcBorders>
              <w:top w:val="single" w:sz="4" w:space="0" w:color="000000"/>
              <w:left w:val="single" w:sz="4" w:space="0" w:color="000000"/>
              <w:bottom w:val="single" w:sz="4" w:space="0" w:color="000000"/>
            </w:tcBorders>
            <w:shd w:color="auto" w:fill="auto" w:val="clear"/>
          </w:tcPr>
          <w:p>
            <w:pPr>
              <w:pStyle w:val="Normal"/>
              <w:jc w:val="right"/>
              <w:rPr>
                <w:rFonts w:ascii="Times New Roman CYR" w:hAnsi="Times New Roman CYR" w:cs="Times New Roman CYR"/>
                <w:sz w:val="14"/>
                <w:szCs w:val="14"/>
              </w:rPr>
            </w:pPr>
            <w:r>
              <w:rPr>
                <w:rFonts w:cs="Times New Roman CYR" w:ascii="Times New Roman CYR" w:hAnsi="Times New Roman CYR"/>
                <w:sz w:val="14"/>
                <w:szCs w:val="14"/>
              </w:rPr>
              <w:t>200000</w:t>
            </w:r>
          </w:p>
        </w:tc>
        <w:tc>
          <w:tcPr>
            <w:tcW w:w="1311" w:type="dxa"/>
            <w:tcBorders>
              <w:top w:val="single" w:sz="4" w:space="0" w:color="000000"/>
              <w:left w:val="single" w:sz="4" w:space="0" w:color="000000"/>
              <w:bottom w:val="single" w:sz="4" w:space="0" w:color="000000"/>
            </w:tcBorders>
            <w:shd w:color="auto" w:fill="auto" w:val="clear"/>
          </w:tcPr>
          <w:p>
            <w:pPr>
              <w:pStyle w:val="Normal"/>
              <w:rPr>
                <w:sz w:val="14"/>
                <w:szCs w:val="14"/>
              </w:rPr>
            </w:pPr>
            <w:r>
              <w:rPr>
                <w:sz w:val="14"/>
                <w:szCs w:val="14"/>
              </w:rPr>
              <w:t>Внутрішнє фінансування</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3"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-614041,9</w:t>
            </w:r>
          </w:p>
        </w:tc>
        <w:tc>
          <w:tcPr>
            <w:tcW w:w="992"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-405376,4</w:t>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-208665,5</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969200,4</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669341,9</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299858,5</w:t>
            </w:r>
          </w:p>
        </w:tc>
        <w:tc>
          <w:tcPr>
            <w:tcW w:w="847"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right"/>
              <w:rPr>
                <w:sz w:val="14"/>
                <w:szCs w:val="14"/>
              </w:rPr>
            </w:pPr>
            <w:r>
              <w:rPr>
                <w:sz w:val="14"/>
                <w:szCs w:val="14"/>
              </w:rPr>
              <w:t>0,0</w:t>
            </w:r>
          </w:p>
        </w:tc>
      </w:tr>
      <w:tr>
        <w:trPr>
          <w:trHeight w:val="166" w:hRule="atLeast"/>
        </w:trPr>
        <w:tc>
          <w:tcPr>
            <w:tcW w:w="674" w:type="dxa"/>
            <w:tcBorders>
              <w:top w:val="single" w:sz="4" w:space="0" w:color="000000"/>
              <w:left w:val="single" w:sz="4" w:space="0" w:color="000000"/>
              <w:bottom w:val="single" w:sz="4" w:space="0" w:color="000000"/>
            </w:tcBorders>
            <w:shd w:color="auto" w:fill="auto" w:val="clear"/>
          </w:tcPr>
          <w:p>
            <w:pPr>
              <w:pStyle w:val="Normal"/>
              <w:jc w:val="right"/>
              <w:rPr>
                <w:rFonts w:ascii="Times New Roman CYR" w:hAnsi="Times New Roman CYR" w:cs="Times New Roman CYR"/>
                <w:sz w:val="14"/>
                <w:szCs w:val="14"/>
              </w:rPr>
            </w:pPr>
            <w:r>
              <w:rPr>
                <w:rFonts w:cs="Times New Roman CYR" w:ascii="Times New Roman CYR" w:hAnsi="Times New Roman CYR"/>
                <w:sz w:val="14"/>
                <w:szCs w:val="14"/>
              </w:rPr>
              <w:t>203000</w:t>
            </w:r>
          </w:p>
        </w:tc>
        <w:tc>
          <w:tcPr>
            <w:tcW w:w="1311" w:type="dxa"/>
            <w:tcBorders>
              <w:top w:val="single" w:sz="4" w:space="0" w:color="000000"/>
              <w:left w:val="single" w:sz="4" w:space="0" w:color="000000"/>
              <w:bottom w:val="single" w:sz="4" w:space="0" w:color="000000"/>
            </w:tcBorders>
            <w:shd w:color="auto" w:fill="auto" w:val="clear"/>
          </w:tcPr>
          <w:p>
            <w:pPr>
              <w:pStyle w:val="Normal"/>
              <w:rPr>
                <w:sz w:val="14"/>
                <w:szCs w:val="14"/>
              </w:rPr>
            </w:pPr>
            <w:r>
              <w:rPr>
                <w:sz w:val="14"/>
                <w:szCs w:val="14"/>
              </w:rPr>
              <w:t>Інше внутрішнє фінансування</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3"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992"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297810,5</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5448,3</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292362,2</w:t>
            </w:r>
          </w:p>
        </w:tc>
        <w:tc>
          <w:tcPr>
            <w:tcW w:w="847"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right"/>
              <w:rPr>
                <w:sz w:val="14"/>
                <w:szCs w:val="14"/>
              </w:rPr>
            </w:pPr>
            <w:r>
              <w:rPr>
                <w:sz w:val="14"/>
                <w:szCs w:val="14"/>
              </w:rPr>
              <w:t>0,0</w:t>
            </w:r>
          </w:p>
        </w:tc>
      </w:tr>
      <w:tr>
        <w:trPr>
          <w:trHeight w:val="166" w:hRule="atLeast"/>
        </w:trPr>
        <w:tc>
          <w:tcPr>
            <w:tcW w:w="674" w:type="dxa"/>
            <w:tcBorders>
              <w:top w:val="single" w:sz="4" w:space="0" w:color="000000"/>
              <w:left w:val="single" w:sz="4" w:space="0" w:color="000000"/>
              <w:bottom w:val="single" w:sz="4" w:space="0" w:color="000000"/>
            </w:tcBorders>
            <w:shd w:color="auto" w:fill="auto" w:val="clear"/>
          </w:tcPr>
          <w:p>
            <w:pPr>
              <w:pStyle w:val="Normal"/>
              <w:jc w:val="right"/>
              <w:rPr>
                <w:rFonts w:ascii="Times New Roman CYR" w:hAnsi="Times New Roman CYR" w:cs="Times New Roman CYR"/>
                <w:sz w:val="14"/>
                <w:szCs w:val="14"/>
              </w:rPr>
            </w:pPr>
            <w:r>
              <w:rPr>
                <w:rFonts w:cs="Times New Roman CYR" w:ascii="Times New Roman CYR" w:hAnsi="Times New Roman CYR"/>
                <w:sz w:val="14"/>
                <w:szCs w:val="14"/>
              </w:rPr>
              <w:t>203610</w:t>
            </w:r>
          </w:p>
        </w:tc>
        <w:tc>
          <w:tcPr>
            <w:tcW w:w="1311" w:type="dxa"/>
            <w:tcBorders>
              <w:top w:val="single" w:sz="4" w:space="0" w:color="000000"/>
              <w:left w:val="single" w:sz="4" w:space="0" w:color="000000"/>
              <w:bottom w:val="single" w:sz="4" w:space="0" w:color="000000"/>
            </w:tcBorders>
            <w:shd w:color="auto" w:fill="auto" w:val="clear"/>
          </w:tcPr>
          <w:p>
            <w:pPr>
              <w:pStyle w:val="Normal"/>
              <w:rPr>
                <w:sz w:val="14"/>
                <w:szCs w:val="14"/>
              </w:rPr>
            </w:pPr>
            <w:r>
              <w:rPr>
                <w:sz w:val="14"/>
                <w:szCs w:val="14"/>
              </w:rPr>
              <w:t>Одержано позик</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3"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992"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317034,1</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5448,3</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311585,8</w:t>
            </w:r>
          </w:p>
        </w:tc>
        <w:tc>
          <w:tcPr>
            <w:tcW w:w="847"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right"/>
              <w:rPr>
                <w:sz w:val="14"/>
                <w:szCs w:val="14"/>
              </w:rPr>
            </w:pPr>
            <w:r>
              <w:rPr>
                <w:sz w:val="14"/>
                <w:szCs w:val="14"/>
              </w:rPr>
              <w:t>0,0</w:t>
            </w:r>
          </w:p>
        </w:tc>
      </w:tr>
      <w:tr>
        <w:trPr>
          <w:trHeight w:val="166" w:hRule="atLeast"/>
        </w:trPr>
        <w:tc>
          <w:tcPr>
            <w:tcW w:w="674" w:type="dxa"/>
            <w:tcBorders>
              <w:top w:val="single" w:sz="4" w:space="0" w:color="000000"/>
              <w:left w:val="single" w:sz="4" w:space="0" w:color="000000"/>
              <w:bottom w:val="single" w:sz="4" w:space="0" w:color="000000"/>
            </w:tcBorders>
            <w:shd w:color="auto" w:fill="auto" w:val="clear"/>
          </w:tcPr>
          <w:p>
            <w:pPr>
              <w:pStyle w:val="Normal"/>
              <w:jc w:val="right"/>
              <w:rPr>
                <w:rFonts w:ascii="Times New Roman CYR" w:hAnsi="Times New Roman CYR" w:cs="Times New Roman CYR"/>
                <w:sz w:val="14"/>
                <w:szCs w:val="14"/>
              </w:rPr>
            </w:pPr>
            <w:r>
              <w:rPr>
                <w:rFonts w:cs="Times New Roman CYR" w:ascii="Times New Roman CYR" w:hAnsi="Times New Roman CYR"/>
                <w:sz w:val="14"/>
                <w:szCs w:val="14"/>
              </w:rPr>
              <w:t>203620</w:t>
            </w:r>
          </w:p>
        </w:tc>
        <w:tc>
          <w:tcPr>
            <w:tcW w:w="1311" w:type="dxa"/>
            <w:tcBorders>
              <w:top w:val="single" w:sz="4" w:space="0" w:color="000000"/>
              <w:left w:val="single" w:sz="4" w:space="0" w:color="000000"/>
              <w:bottom w:val="single" w:sz="4" w:space="0" w:color="000000"/>
            </w:tcBorders>
            <w:shd w:color="auto" w:fill="auto" w:val="clear"/>
          </w:tcPr>
          <w:p>
            <w:pPr>
              <w:pStyle w:val="Normal"/>
              <w:rPr>
                <w:sz w:val="14"/>
                <w:szCs w:val="14"/>
              </w:rPr>
            </w:pPr>
            <w:r>
              <w:rPr>
                <w:sz w:val="14"/>
                <w:szCs w:val="14"/>
              </w:rPr>
              <w:t>Погашено позик</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3"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992"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-19223,6</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47"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right"/>
              <w:rPr>
                <w:sz w:val="14"/>
                <w:szCs w:val="14"/>
              </w:rPr>
            </w:pPr>
            <w:r>
              <w:rPr>
                <w:sz w:val="14"/>
                <w:szCs w:val="14"/>
              </w:rPr>
              <w:t>0,0</w:t>
            </w:r>
          </w:p>
        </w:tc>
      </w:tr>
      <w:tr>
        <w:trPr>
          <w:trHeight w:val="166" w:hRule="atLeast"/>
        </w:trPr>
        <w:tc>
          <w:tcPr>
            <w:tcW w:w="674" w:type="dxa"/>
            <w:tcBorders>
              <w:top w:val="single" w:sz="4" w:space="0" w:color="000000"/>
              <w:left w:val="single" w:sz="4" w:space="0" w:color="000000"/>
              <w:bottom w:val="single" w:sz="4" w:space="0" w:color="000000"/>
            </w:tcBorders>
            <w:shd w:color="auto" w:fill="auto" w:val="clear"/>
          </w:tcPr>
          <w:p>
            <w:pPr>
              <w:pStyle w:val="Normal"/>
              <w:jc w:val="right"/>
              <w:rPr>
                <w:rFonts w:ascii="Times New Roman CYR" w:hAnsi="Times New Roman CYR" w:cs="Times New Roman CYR"/>
                <w:sz w:val="14"/>
                <w:szCs w:val="14"/>
              </w:rPr>
            </w:pPr>
            <w:r>
              <w:rPr>
                <w:rFonts w:cs="Times New Roman CYR" w:ascii="Times New Roman CYR" w:hAnsi="Times New Roman CYR"/>
                <w:sz w:val="14"/>
                <w:szCs w:val="14"/>
              </w:rPr>
              <w:t>205000</w:t>
            </w:r>
          </w:p>
        </w:tc>
        <w:tc>
          <w:tcPr>
            <w:tcW w:w="1311" w:type="dxa"/>
            <w:tcBorders>
              <w:top w:val="single" w:sz="4" w:space="0" w:color="000000"/>
              <w:left w:val="single" w:sz="4" w:space="0" w:color="000000"/>
              <w:bottom w:val="single" w:sz="4" w:space="0" w:color="000000"/>
            </w:tcBorders>
            <w:shd w:color="auto" w:fill="auto" w:val="clear"/>
          </w:tcPr>
          <w:p>
            <w:pPr>
              <w:pStyle w:val="Normal"/>
              <w:rPr>
                <w:sz w:val="14"/>
                <w:szCs w:val="14"/>
              </w:rPr>
            </w:pPr>
            <w:r>
              <w:rPr>
                <w:sz w:val="14"/>
                <w:szCs w:val="14"/>
              </w:rPr>
              <w:t>Фінансування за рахунок залишків коштів на рахунках установ</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3"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992"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0,0</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-43491,8</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-1197,9</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-42293,9</w:t>
            </w:r>
          </w:p>
        </w:tc>
        <w:tc>
          <w:tcPr>
            <w:tcW w:w="847"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right"/>
              <w:rPr>
                <w:sz w:val="14"/>
                <w:szCs w:val="14"/>
              </w:rPr>
            </w:pPr>
            <w:r>
              <w:rPr>
                <w:sz w:val="14"/>
                <w:szCs w:val="14"/>
              </w:rPr>
              <w:t>0,0</w:t>
            </w:r>
          </w:p>
        </w:tc>
      </w:tr>
      <w:tr>
        <w:trPr>
          <w:trHeight w:val="166" w:hRule="atLeast"/>
        </w:trPr>
        <w:tc>
          <w:tcPr>
            <w:tcW w:w="674" w:type="dxa"/>
            <w:tcBorders>
              <w:top w:val="single" w:sz="4" w:space="0" w:color="000000"/>
              <w:left w:val="single" w:sz="4" w:space="0" w:color="000000"/>
              <w:bottom w:val="single" w:sz="4" w:space="0" w:color="000000"/>
            </w:tcBorders>
            <w:shd w:color="auto" w:fill="auto" w:val="clear"/>
          </w:tcPr>
          <w:p>
            <w:pPr>
              <w:pStyle w:val="Normal"/>
              <w:jc w:val="right"/>
              <w:rPr>
                <w:rFonts w:ascii="Times New Roman CYR" w:hAnsi="Times New Roman CYR" w:cs="Times New Roman CYR"/>
                <w:sz w:val="14"/>
                <w:szCs w:val="14"/>
              </w:rPr>
            </w:pPr>
            <w:r>
              <w:rPr>
                <w:rFonts w:cs="Times New Roman CYR" w:ascii="Times New Roman CYR" w:hAnsi="Times New Roman CYR"/>
                <w:sz w:val="14"/>
                <w:szCs w:val="14"/>
              </w:rPr>
              <w:t>208000</w:t>
            </w:r>
          </w:p>
        </w:tc>
        <w:tc>
          <w:tcPr>
            <w:tcW w:w="1311" w:type="dxa"/>
            <w:tcBorders>
              <w:top w:val="single" w:sz="4" w:space="0" w:color="000000"/>
              <w:left w:val="single" w:sz="4" w:space="0" w:color="000000"/>
              <w:bottom w:val="single" w:sz="4" w:space="0" w:color="000000"/>
            </w:tcBorders>
            <w:shd w:color="auto" w:fill="auto" w:val="clear"/>
          </w:tcPr>
          <w:p>
            <w:pPr>
              <w:pStyle w:val="Normal"/>
              <w:rPr>
                <w:sz w:val="14"/>
                <w:szCs w:val="14"/>
              </w:rPr>
            </w:pPr>
            <w:r>
              <w:rPr>
                <w:sz w:val="14"/>
                <w:szCs w:val="14"/>
              </w:rPr>
              <w:t>Фінансування за рахунок зміни залишків коштів бюджетів*</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3"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-614041,9</w:t>
            </w:r>
          </w:p>
        </w:tc>
        <w:tc>
          <w:tcPr>
            <w:tcW w:w="992"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-405376,4</w:t>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-208665,5</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714881,7</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665091,5</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49790,2</w:t>
            </w:r>
          </w:p>
        </w:tc>
        <w:tc>
          <w:tcPr>
            <w:tcW w:w="847"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right"/>
              <w:rPr>
                <w:sz w:val="14"/>
                <w:szCs w:val="14"/>
              </w:rPr>
            </w:pPr>
            <w:r>
              <w:rPr>
                <w:sz w:val="14"/>
                <w:szCs w:val="14"/>
              </w:rPr>
              <w:t>0,0</w:t>
            </w:r>
          </w:p>
        </w:tc>
      </w:tr>
      <w:tr>
        <w:trPr>
          <w:trHeight w:val="166" w:hRule="atLeast"/>
        </w:trPr>
        <w:tc>
          <w:tcPr>
            <w:tcW w:w="674" w:type="dxa"/>
            <w:tcBorders>
              <w:top w:val="single" w:sz="4" w:space="0" w:color="000000"/>
              <w:left w:val="single" w:sz="4" w:space="0" w:color="000000"/>
              <w:bottom w:val="single" w:sz="4" w:space="0" w:color="000000"/>
            </w:tcBorders>
            <w:shd w:color="auto" w:fill="auto" w:val="clear"/>
          </w:tcPr>
          <w:p>
            <w:pPr>
              <w:pStyle w:val="Normal"/>
              <w:jc w:val="right"/>
              <w:rPr>
                <w:rFonts w:ascii="Times New Roman CYR" w:hAnsi="Times New Roman CYR" w:cs="Times New Roman CYR"/>
                <w:sz w:val="14"/>
                <w:szCs w:val="14"/>
              </w:rPr>
            </w:pPr>
            <w:r>
              <w:rPr>
                <w:rFonts w:cs="Times New Roman CYR" w:ascii="Times New Roman CYR" w:hAnsi="Times New Roman CYR"/>
                <w:sz w:val="14"/>
                <w:szCs w:val="14"/>
              </w:rPr>
              <w:t>208100</w:t>
            </w:r>
          </w:p>
        </w:tc>
        <w:tc>
          <w:tcPr>
            <w:tcW w:w="1311" w:type="dxa"/>
            <w:tcBorders>
              <w:top w:val="single" w:sz="4" w:space="0" w:color="000000"/>
              <w:left w:val="single" w:sz="4" w:space="0" w:color="000000"/>
              <w:bottom w:val="single" w:sz="4" w:space="0" w:color="000000"/>
            </w:tcBorders>
            <w:shd w:color="auto" w:fill="auto" w:val="clear"/>
          </w:tcPr>
          <w:p>
            <w:pPr>
              <w:pStyle w:val="Normal"/>
              <w:rPr>
                <w:sz w:val="14"/>
                <w:szCs w:val="14"/>
              </w:rPr>
            </w:pPr>
            <w:r>
              <w:rPr>
                <w:sz w:val="14"/>
                <w:szCs w:val="14"/>
              </w:rPr>
              <w:t>На початок періоду</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3"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318511,5</w:t>
            </w:r>
          </w:p>
        </w:tc>
        <w:tc>
          <w:tcPr>
            <w:tcW w:w="992"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605453,0</w:t>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-286941,5</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47 711,20</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20 671,60</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27039,6</w:t>
            </w:r>
          </w:p>
        </w:tc>
        <w:tc>
          <w:tcPr>
            <w:tcW w:w="847"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right"/>
              <w:rPr>
                <w:sz w:val="14"/>
                <w:szCs w:val="14"/>
              </w:rPr>
            </w:pPr>
            <w:r>
              <w:rPr>
                <w:sz w:val="14"/>
                <w:szCs w:val="14"/>
              </w:rPr>
              <w:t>0,0</w:t>
            </w:r>
          </w:p>
        </w:tc>
      </w:tr>
      <w:tr>
        <w:trPr>
          <w:trHeight w:val="166" w:hRule="atLeast"/>
        </w:trPr>
        <w:tc>
          <w:tcPr>
            <w:tcW w:w="674" w:type="dxa"/>
            <w:tcBorders>
              <w:top w:val="single" w:sz="4" w:space="0" w:color="000000"/>
              <w:left w:val="single" w:sz="4" w:space="0" w:color="000000"/>
              <w:bottom w:val="single" w:sz="4" w:space="0" w:color="000000"/>
            </w:tcBorders>
            <w:shd w:color="auto" w:fill="auto" w:val="clear"/>
          </w:tcPr>
          <w:p>
            <w:pPr>
              <w:pStyle w:val="Normal"/>
              <w:jc w:val="right"/>
              <w:rPr>
                <w:rFonts w:ascii="Times New Roman CYR" w:hAnsi="Times New Roman CYR" w:cs="Times New Roman CYR"/>
                <w:sz w:val="14"/>
                <w:szCs w:val="14"/>
              </w:rPr>
            </w:pPr>
            <w:r>
              <w:rPr>
                <w:rFonts w:cs="Times New Roman CYR" w:ascii="Times New Roman CYR" w:hAnsi="Times New Roman CYR"/>
                <w:sz w:val="14"/>
                <w:szCs w:val="14"/>
              </w:rPr>
              <w:t>208200</w:t>
            </w:r>
          </w:p>
        </w:tc>
        <w:tc>
          <w:tcPr>
            <w:tcW w:w="1311" w:type="dxa"/>
            <w:tcBorders>
              <w:top w:val="single" w:sz="4" w:space="0" w:color="000000"/>
              <w:left w:val="single" w:sz="4" w:space="0" w:color="000000"/>
              <w:bottom w:val="single" w:sz="4" w:space="0" w:color="000000"/>
            </w:tcBorders>
            <w:shd w:color="auto" w:fill="auto" w:val="clear"/>
          </w:tcPr>
          <w:p>
            <w:pPr>
              <w:pStyle w:val="Normal"/>
              <w:rPr>
                <w:sz w:val="14"/>
                <w:szCs w:val="14"/>
              </w:rPr>
            </w:pPr>
            <w:r>
              <w:rPr>
                <w:sz w:val="14"/>
                <w:szCs w:val="14"/>
              </w:rPr>
              <w:t>На кінець періоду</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3"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204687,5</w:t>
            </w:r>
          </w:p>
        </w:tc>
        <w:tc>
          <w:tcPr>
            <w:tcW w:w="992"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318511,5</w:t>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-113824,0</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60695,4</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47711,2</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12984,2</w:t>
            </w:r>
          </w:p>
        </w:tc>
        <w:tc>
          <w:tcPr>
            <w:tcW w:w="847"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right"/>
              <w:rPr>
                <w:sz w:val="14"/>
                <w:szCs w:val="14"/>
              </w:rPr>
            </w:pPr>
            <w:r>
              <w:rPr>
                <w:sz w:val="14"/>
                <w:szCs w:val="14"/>
              </w:rPr>
              <w:t>0,0</w:t>
            </w:r>
          </w:p>
        </w:tc>
      </w:tr>
      <w:tr>
        <w:trPr>
          <w:trHeight w:val="166" w:hRule="atLeast"/>
        </w:trPr>
        <w:tc>
          <w:tcPr>
            <w:tcW w:w="674" w:type="dxa"/>
            <w:tcBorders>
              <w:top w:val="single" w:sz="4" w:space="0" w:color="000000"/>
              <w:left w:val="single" w:sz="4" w:space="0" w:color="000000"/>
              <w:bottom w:val="single" w:sz="4" w:space="0" w:color="000000"/>
            </w:tcBorders>
            <w:shd w:color="auto" w:fill="auto" w:val="clear"/>
          </w:tcPr>
          <w:p>
            <w:pPr>
              <w:pStyle w:val="Normal"/>
              <w:jc w:val="right"/>
              <w:rPr>
                <w:rFonts w:ascii="Times New Roman CYR" w:hAnsi="Times New Roman CYR" w:cs="Times New Roman CYR"/>
                <w:sz w:val="14"/>
                <w:szCs w:val="14"/>
              </w:rPr>
            </w:pPr>
            <w:r>
              <w:rPr>
                <w:rFonts w:cs="Times New Roman CYR" w:ascii="Times New Roman CYR" w:hAnsi="Times New Roman CYR"/>
                <w:sz w:val="14"/>
                <w:szCs w:val="14"/>
              </w:rPr>
              <w:t>208400</w:t>
            </w:r>
          </w:p>
        </w:tc>
        <w:tc>
          <w:tcPr>
            <w:tcW w:w="1311" w:type="dxa"/>
            <w:tcBorders>
              <w:top w:val="single" w:sz="4" w:space="0" w:color="000000"/>
              <w:left w:val="single" w:sz="4" w:space="0" w:color="000000"/>
              <w:bottom w:val="single" w:sz="4" w:space="0" w:color="000000"/>
            </w:tcBorders>
            <w:shd w:color="auto" w:fill="auto" w:val="clear"/>
          </w:tcPr>
          <w:p>
            <w:pPr>
              <w:pStyle w:val="Normal"/>
              <w:rPr>
                <w:sz w:val="14"/>
                <w:szCs w:val="14"/>
              </w:rPr>
            </w:pPr>
            <w:r>
              <w:rPr>
                <w:sz w:val="14"/>
                <w:szCs w:val="14"/>
              </w:rPr>
              <w:t>Кошти, що передаються із загального фонду бюджету до бюджету розвитку</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3"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-727866,0</w:t>
            </w:r>
          </w:p>
        </w:tc>
        <w:tc>
          <w:tcPr>
            <w:tcW w:w="992"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-692131,1</w:t>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-35734,9</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727866,0</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692131,1</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35734,9</w:t>
            </w:r>
          </w:p>
        </w:tc>
        <w:tc>
          <w:tcPr>
            <w:tcW w:w="847"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right"/>
              <w:rPr>
                <w:sz w:val="14"/>
                <w:szCs w:val="14"/>
              </w:rPr>
            </w:pPr>
            <w:r>
              <w:rPr>
                <w:sz w:val="14"/>
                <w:szCs w:val="14"/>
              </w:rPr>
              <w:t>0,0</w:t>
            </w:r>
          </w:p>
        </w:tc>
      </w:tr>
      <w:tr>
        <w:trPr>
          <w:trHeight w:val="166" w:hRule="atLeast"/>
        </w:trPr>
        <w:tc>
          <w:tcPr>
            <w:tcW w:w="674" w:type="dxa"/>
            <w:tcBorders>
              <w:top w:val="single" w:sz="4" w:space="0" w:color="000000"/>
              <w:left w:val="single" w:sz="4" w:space="0" w:color="000000"/>
              <w:bottom w:val="single" w:sz="4" w:space="0" w:color="000000"/>
            </w:tcBorders>
            <w:shd w:color="auto" w:fill="auto" w:val="clear"/>
          </w:tcPr>
          <w:p>
            <w:pPr>
              <w:pStyle w:val="Normal"/>
              <w:jc w:val="right"/>
              <w:rPr>
                <w:rFonts w:ascii="Times New Roman CYR" w:hAnsi="Times New Roman CYR" w:cs="Times New Roman CYR"/>
                <w:sz w:val="14"/>
                <w:szCs w:val="14"/>
              </w:rPr>
            </w:pPr>
            <w:r>
              <w:rPr>
                <w:rFonts w:cs="Times New Roman CYR" w:ascii="Times New Roman CYR" w:hAnsi="Times New Roman CYR"/>
                <w:sz w:val="14"/>
                <w:szCs w:val="14"/>
              </w:rPr>
              <w:t>300000</w:t>
            </w:r>
          </w:p>
        </w:tc>
        <w:tc>
          <w:tcPr>
            <w:tcW w:w="1311" w:type="dxa"/>
            <w:tcBorders>
              <w:top w:val="single" w:sz="4" w:space="0" w:color="000000"/>
              <w:left w:val="single" w:sz="4" w:space="0" w:color="000000"/>
              <w:bottom w:val="single" w:sz="4" w:space="0" w:color="000000"/>
            </w:tcBorders>
            <w:shd w:color="auto" w:fill="auto" w:val="clear"/>
          </w:tcPr>
          <w:p>
            <w:pPr>
              <w:pStyle w:val="Normal"/>
              <w:rPr>
                <w:sz w:val="14"/>
                <w:szCs w:val="14"/>
              </w:rPr>
            </w:pPr>
            <w:r>
              <w:rPr>
                <w:sz w:val="14"/>
                <w:szCs w:val="14"/>
              </w:rPr>
              <w:t>Зовнішнє фінансування</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3"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992"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0,0</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-148696,0</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1651,6</w:t>
            </w:r>
          </w:p>
        </w:tc>
        <w:tc>
          <w:tcPr>
            <w:tcW w:w="847"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right"/>
              <w:rPr>
                <w:sz w:val="14"/>
                <w:szCs w:val="14"/>
              </w:rPr>
            </w:pPr>
            <w:r>
              <w:rPr>
                <w:sz w:val="14"/>
                <w:szCs w:val="14"/>
              </w:rPr>
              <w:t>0,0</w:t>
            </w:r>
          </w:p>
        </w:tc>
      </w:tr>
      <w:tr>
        <w:trPr>
          <w:trHeight w:val="166" w:hRule="atLeast"/>
        </w:trPr>
        <w:tc>
          <w:tcPr>
            <w:tcW w:w="674" w:type="dxa"/>
            <w:tcBorders>
              <w:top w:val="single" w:sz="4" w:space="0" w:color="000000"/>
              <w:left w:val="single" w:sz="4" w:space="0" w:color="000000"/>
              <w:bottom w:val="single" w:sz="4" w:space="0" w:color="000000"/>
            </w:tcBorders>
            <w:shd w:color="auto" w:fill="auto" w:val="clear"/>
          </w:tcPr>
          <w:p>
            <w:pPr>
              <w:pStyle w:val="Normal"/>
              <w:jc w:val="right"/>
              <w:rPr>
                <w:rFonts w:ascii="Times New Roman CYR" w:hAnsi="Times New Roman CYR" w:cs="Times New Roman CYR"/>
                <w:sz w:val="14"/>
                <w:szCs w:val="14"/>
              </w:rPr>
            </w:pPr>
            <w:r>
              <w:rPr>
                <w:rFonts w:cs="Times New Roman CYR" w:ascii="Times New Roman CYR" w:hAnsi="Times New Roman CYR"/>
                <w:sz w:val="14"/>
                <w:szCs w:val="14"/>
              </w:rPr>
              <w:t>301100</w:t>
            </w:r>
          </w:p>
        </w:tc>
        <w:tc>
          <w:tcPr>
            <w:tcW w:w="1311" w:type="dxa"/>
            <w:tcBorders>
              <w:top w:val="single" w:sz="4" w:space="0" w:color="000000"/>
              <w:left w:val="single" w:sz="4" w:space="0" w:color="000000"/>
              <w:bottom w:val="single" w:sz="4" w:space="0" w:color="000000"/>
            </w:tcBorders>
            <w:shd w:color="auto" w:fill="auto" w:val="clear"/>
          </w:tcPr>
          <w:p>
            <w:pPr>
              <w:pStyle w:val="Normal"/>
              <w:rPr>
                <w:sz w:val="14"/>
                <w:szCs w:val="14"/>
              </w:rPr>
            </w:pPr>
            <w:r>
              <w:rPr>
                <w:sz w:val="14"/>
                <w:szCs w:val="14"/>
              </w:rPr>
              <w:t>Одержано позик</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3"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992"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0,0</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1776,7</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3000,0</w:t>
            </w:r>
          </w:p>
        </w:tc>
        <w:tc>
          <w:tcPr>
            <w:tcW w:w="847"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right"/>
              <w:rPr>
                <w:sz w:val="14"/>
                <w:szCs w:val="14"/>
              </w:rPr>
            </w:pPr>
            <w:r>
              <w:rPr>
                <w:sz w:val="14"/>
                <w:szCs w:val="14"/>
              </w:rPr>
              <w:t>0,0</w:t>
            </w:r>
          </w:p>
        </w:tc>
      </w:tr>
      <w:tr>
        <w:trPr>
          <w:trHeight w:val="166" w:hRule="atLeast"/>
        </w:trPr>
        <w:tc>
          <w:tcPr>
            <w:tcW w:w="674" w:type="dxa"/>
            <w:tcBorders>
              <w:top w:val="single" w:sz="4" w:space="0" w:color="000000"/>
              <w:left w:val="single" w:sz="4" w:space="0" w:color="000000"/>
              <w:bottom w:val="single" w:sz="4" w:space="0" w:color="000000"/>
            </w:tcBorders>
            <w:shd w:color="auto" w:fill="auto" w:val="clear"/>
          </w:tcPr>
          <w:p>
            <w:pPr>
              <w:pStyle w:val="Normal"/>
              <w:jc w:val="right"/>
              <w:rPr>
                <w:rFonts w:ascii="Times New Roman CYR" w:hAnsi="Times New Roman CYR" w:cs="Times New Roman CYR"/>
                <w:sz w:val="14"/>
                <w:szCs w:val="14"/>
              </w:rPr>
            </w:pPr>
            <w:r>
              <w:rPr>
                <w:rFonts w:cs="Times New Roman CYR" w:ascii="Times New Roman CYR" w:hAnsi="Times New Roman CYR"/>
                <w:sz w:val="14"/>
                <w:szCs w:val="14"/>
              </w:rPr>
              <w:t>301200</w:t>
            </w:r>
          </w:p>
        </w:tc>
        <w:tc>
          <w:tcPr>
            <w:tcW w:w="1311" w:type="dxa"/>
            <w:tcBorders>
              <w:top w:val="single" w:sz="4" w:space="0" w:color="000000"/>
              <w:left w:val="single" w:sz="4" w:space="0" w:color="000000"/>
              <w:bottom w:val="single" w:sz="4" w:space="0" w:color="000000"/>
            </w:tcBorders>
            <w:shd w:color="auto" w:fill="auto" w:val="clear"/>
          </w:tcPr>
          <w:p>
            <w:pPr>
              <w:pStyle w:val="Normal"/>
              <w:rPr>
                <w:sz w:val="14"/>
                <w:szCs w:val="14"/>
              </w:rPr>
            </w:pPr>
            <w:r>
              <w:rPr>
                <w:sz w:val="14"/>
                <w:szCs w:val="14"/>
              </w:rPr>
              <w:t>Погашено позик</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3"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992"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0,0</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-150472,6</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-1348,4</w:t>
            </w:r>
          </w:p>
        </w:tc>
        <w:tc>
          <w:tcPr>
            <w:tcW w:w="847"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right"/>
              <w:rPr>
                <w:sz w:val="14"/>
                <w:szCs w:val="14"/>
              </w:rPr>
            </w:pPr>
            <w:r>
              <w:rPr>
                <w:sz w:val="14"/>
                <w:szCs w:val="14"/>
              </w:rPr>
              <w:t>0,0</w:t>
            </w:r>
          </w:p>
        </w:tc>
      </w:tr>
      <w:tr>
        <w:trPr>
          <w:trHeight w:val="166" w:hRule="atLeast"/>
        </w:trPr>
        <w:tc>
          <w:tcPr>
            <w:tcW w:w="674" w:type="dxa"/>
            <w:tcBorders>
              <w:top w:val="single" w:sz="4" w:space="0" w:color="000000"/>
              <w:left w:val="single" w:sz="4" w:space="0" w:color="000000"/>
              <w:bottom w:val="single" w:sz="4" w:space="0" w:color="000000"/>
            </w:tcBorders>
            <w:shd w:color="auto" w:fill="auto" w:val="clear"/>
          </w:tcPr>
          <w:p>
            <w:pPr>
              <w:pStyle w:val="Normal"/>
              <w:jc w:val="right"/>
              <w:rPr>
                <w:rFonts w:ascii="Times New Roman CYR" w:hAnsi="Times New Roman CYR" w:cs="Times New Roman CYR"/>
                <w:b/>
                <w:bCs/>
                <w:sz w:val="14"/>
                <w:szCs w:val="14"/>
              </w:rPr>
            </w:pPr>
            <w:r>
              <w:rPr>
                <w:rFonts w:cs="Times New Roman CYR" w:ascii="Times New Roman CYR" w:hAnsi="Times New Roman CYR"/>
                <w:b/>
                <w:bCs/>
                <w:sz w:val="14"/>
                <w:szCs w:val="14"/>
              </w:rPr>
              <w:t>900230</w:t>
            </w:r>
          </w:p>
        </w:tc>
        <w:tc>
          <w:tcPr>
            <w:tcW w:w="1311" w:type="dxa"/>
            <w:tcBorders>
              <w:top w:val="single" w:sz="4" w:space="0" w:color="000000"/>
              <w:left w:val="single" w:sz="4" w:space="0" w:color="000000"/>
              <w:bottom w:val="single" w:sz="4" w:space="0" w:color="000000"/>
            </w:tcBorders>
            <w:shd w:color="auto" w:fill="auto" w:val="clear"/>
          </w:tcPr>
          <w:p>
            <w:pPr>
              <w:pStyle w:val="Normal"/>
              <w:rPr>
                <w:b/>
                <w:bCs/>
                <w:sz w:val="14"/>
                <w:szCs w:val="14"/>
              </w:rPr>
            </w:pPr>
            <w:r>
              <w:rPr>
                <w:b/>
                <w:bCs/>
                <w:sz w:val="14"/>
                <w:szCs w:val="14"/>
              </w:rPr>
              <w:t>Разом  коштів за типом кредитора</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b/>
                <w:bCs/>
                <w:sz w:val="14"/>
                <w:szCs w:val="14"/>
              </w:rPr>
            </w:pPr>
            <w:r>
              <w:rPr>
                <w:b/>
                <w:bCs/>
                <w:sz w:val="14"/>
                <w:szCs w:val="14"/>
              </w:rPr>
            </w:r>
          </w:p>
        </w:tc>
        <w:tc>
          <w:tcPr>
            <w:tcW w:w="853" w:type="dxa"/>
            <w:tcBorders>
              <w:top w:val="single" w:sz="4" w:space="0" w:color="000000"/>
              <w:left w:val="single" w:sz="4" w:space="0" w:color="000000"/>
              <w:bottom w:val="single" w:sz="4" w:space="0" w:color="000000"/>
            </w:tcBorders>
            <w:shd w:color="auto" w:fill="auto" w:val="clear"/>
          </w:tcPr>
          <w:p>
            <w:pPr>
              <w:pStyle w:val="Normal"/>
              <w:jc w:val="right"/>
              <w:rPr>
                <w:b/>
                <w:bCs/>
                <w:sz w:val="14"/>
                <w:szCs w:val="14"/>
              </w:rPr>
            </w:pPr>
            <w:r>
              <w:rPr>
                <w:b/>
                <w:bCs/>
                <w:sz w:val="14"/>
                <w:szCs w:val="14"/>
              </w:rPr>
              <w:t>-614041,9</w:t>
            </w:r>
          </w:p>
        </w:tc>
        <w:tc>
          <w:tcPr>
            <w:tcW w:w="992" w:type="dxa"/>
            <w:tcBorders>
              <w:top w:val="single" w:sz="4" w:space="0" w:color="000000"/>
              <w:left w:val="single" w:sz="4" w:space="0" w:color="000000"/>
              <w:bottom w:val="single" w:sz="4" w:space="0" w:color="000000"/>
            </w:tcBorders>
            <w:shd w:color="auto" w:fill="auto" w:val="clear"/>
          </w:tcPr>
          <w:p>
            <w:pPr>
              <w:pStyle w:val="Normal"/>
              <w:jc w:val="right"/>
              <w:rPr>
                <w:b/>
                <w:bCs/>
                <w:sz w:val="14"/>
                <w:szCs w:val="14"/>
              </w:rPr>
            </w:pPr>
            <w:r>
              <w:rPr>
                <w:b/>
                <w:bCs/>
                <w:sz w:val="14"/>
                <w:szCs w:val="14"/>
              </w:rPr>
              <w:t>-405376,4</w:t>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b/>
                <w:bCs/>
                <w:sz w:val="14"/>
                <w:szCs w:val="14"/>
              </w:rPr>
            </w:pPr>
            <w:r>
              <w:rPr>
                <w:b/>
                <w:bCs/>
                <w:sz w:val="14"/>
                <w:szCs w:val="14"/>
              </w:rPr>
              <w:t>-208665,5</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b/>
                <w:bCs/>
                <w:sz w:val="14"/>
                <w:szCs w:val="14"/>
              </w:rPr>
            </w:pPr>
            <w:r>
              <w:rPr>
                <w:b/>
                <w:bCs/>
                <w:sz w:val="14"/>
                <w:szCs w:val="14"/>
              </w:rPr>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b/>
                <w:bCs/>
                <w:sz w:val="14"/>
                <w:szCs w:val="14"/>
              </w:rPr>
            </w:pPr>
            <w:r>
              <w:rPr>
                <w:b/>
                <w:bCs/>
                <w:sz w:val="14"/>
                <w:szCs w:val="14"/>
              </w:rPr>
              <w:t>969200,4</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b/>
                <w:bCs/>
                <w:sz w:val="14"/>
                <w:szCs w:val="14"/>
              </w:rPr>
            </w:pPr>
            <w:r>
              <w:rPr>
                <w:b/>
                <w:bCs/>
                <w:sz w:val="14"/>
                <w:szCs w:val="14"/>
              </w:rPr>
              <w:t>520645,9</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b/>
                <w:bCs/>
                <w:sz w:val="14"/>
                <w:szCs w:val="14"/>
              </w:rPr>
            </w:pPr>
            <w:r>
              <w:rPr>
                <w:b/>
                <w:bCs/>
                <w:sz w:val="14"/>
                <w:szCs w:val="14"/>
              </w:rPr>
              <w:t>448554,5</w:t>
            </w:r>
          </w:p>
        </w:tc>
        <w:tc>
          <w:tcPr>
            <w:tcW w:w="847"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right"/>
              <w:rPr>
                <w:b/>
                <w:bCs/>
                <w:sz w:val="14"/>
                <w:szCs w:val="14"/>
              </w:rPr>
            </w:pPr>
            <w:r>
              <w:rPr>
                <w:b/>
                <w:bCs/>
                <w:sz w:val="14"/>
                <w:szCs w:val="14"/>
              </w:rPr>
              <w:t>0,0</w:t>
            </w:r>
          </w:p>
        </w:tc>
      </w:tr>
      <w:tr>
        <w:trPr>
          <w:trHeight w:val="166" w:hRule="atLeast"/>
        </w:trPr>
        <w:tc>
          <w:tcPr>
            <w:tcW w:w="674" w:type="dxa"/>
            <w:tcBorders>
              <w:top w:val="single" w:sz="4" w:space="0" w:color="000000"/>
              <w:left w:val="single" w:sz="4" w:space="0" w:color="000000"/>
              <w:bottom w:val="single" w:sz="4" w:space="0" w:color="000000"/>
            </w:tcBorders>
            <w:shd w:color="auto" w:fill="auto" w:val="clear"/>
          </w:tcPr>
          <w:p>
            <w:pPr>
              <w:pStyle w:val="Normal"/>
              <w:jc w:val="right"/>
              <w:rPr>
                <w:rFonts w:ascii="Times New Roman CYR" w:hAnsi="Times New Roman CYR" w:cs="Times New Roman CYR"/>
                <w:sz w:val="14"/>
                <w:szCs w:val="14"/>
              </w:rPr>
            </w:pPr>
            <w:r>
              <w:rPr>
                <w:rFonts w:cs="Times New Roman CYR" w:ascii="Times New Roman CYR" w:hAnsi="Times New Roman CYR"/>
                <w:sz w:val="14"/>
                <w:szCs w:val="14"/>
              </w:rPr>
              <w:t>400000</w:t>
            </w:r>
          </w:p>
        </w:tc>
        <w:tc>
          <w:tcPr>
            <w:tcW w:w="1311" w:type="dxa"/>
            <w:tcBorders>
              <w:top w:val="single" w:sz="4" w:space="0" w:color="000000"/>
              <w:left w:val="single" w:sz="4" w:space="0" w:color="000000"/>
              <w:bottom w:val="single" w:sz="4" w:space="0" w:color="000000"/>
            </w:tcBorders>
            <w:shd w:color="auto" w:fill="auto" w:val="clear"/>
          </w:tcPr>
          <w:p>
            <w:pPr>
              <w:pStyle w:val="Normal"/>
              <w:rPr>
                <w:sz w:val="14"/>
                <w:szCs w:val="14"/>
              </w:rPr>
            </w:pPr>
            <w:r>
              <w:rPr>
                <w:sz w:val="14"/>
                <w:szCs w:val="14"/>
              </w:rPr>
              <w:t>Фінансування за борговими операціями</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3"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992"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0,0</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548260,0</w:t>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297810,5</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-143247,7</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441058,2</w:t>
            </w:r>
          </w:p>
        </w:tc>
        <w:tc>
          <w:tcPr>
            <w:tcW w:w="847"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right"/>
              <w:rPr>
                <w:sz w:val="14"/>
                <w:szCs w:val="14"/>
              </w:rPr>
            </w:pPr>
            <w:r>
              <w:rPr>
                <w:sz w:val="14"/>
                <w:szCs w:val="14"/>
              </w:rPr>
              <w:t>548260,0</w:t>
            </w:r>
          </w:p>
        </w:tc>
      </w:tr>
      <w:tr>
        <w:trPr>
          <w:trHeight w:val="166" w:hRule="atLeast"/>
        </w:trPr>
        <w:tc>
          <w:tcPr>
            <w:tcW w:w="674" w:type="dxa"/>
            <w:tcBorders>
              <w:top w:val="single" w:sz="4" w:space="0" w:color="000000"/>
              <w:left w:val="single" w:sz="4" w:space="0" w:color="000000"/>
              <w:bottom w:val="single" w:sz="4" w:space="0" w:color="000000"/>
            </w:tcBorders>
            <w:shd w:color="auto" w:fill="auto" w:val="clear"/>
          </w:tcPr>
          <w:p>
            <w:pPr>
              <w:pStyle w:val="Normal"/>
              <w:jc w:val="right"/>
              <w:rPr>
                <w:rFonts w:ascii="Times New Roman CYR" w:hAnsi="Times New Roman CYR" w:cs="Times New Roman CYR"/>
                <w:sz w:val="14"/>
                <w:szCs w:val="14"/>
              </w:rPr>
            </w:pPr>
            <w:r>
              <w:rPr>
                <w:rFonts w:cs="Times New Roman CYR" w:ascii="Times New Roman CYR" w:hAnsi="Times New Roman CYR"/>
                <w:sz w:val="14"/>
                <w:szCs w:val="14"/>
              </w:rPr>
              <w:t>401000</w:t>
            </w:r>
          </w:p>
        </w:tc>
        <w:tc>
          <w:tcPr>
            <w:tcW w:w="1311" w:type="dxa"/>
            <w:tcBorders>
              <w:top w:val="single" w:sz="4" w:space="0" w:color="000000"/>
              <w:left w:val="single" w:sz="4" w:space="0" w:color="000000"/>
              <w:bottom w:val="single" w:sz="4" w:space="0" w:color="000000"/>
            </w:tcBorders>
            <w:shd w:color="auto" w:fill="auto" w:val="clear"/>
          </w:tcPr>
          <w:p>
            <w:pPr>
              <w:pStyle w:val="Normal"/>
              <w:rPr>
                <w:sz w:val="14"/>
                <w:szCs w:val="14"/>
              </w:rPr>
            </w:pPr>
            <w:r>
              <w:rPr>
                <w:sz w:val="14"/>
                <w:szCs w:val="14"/>
              </w:rPr>
              <w:t>Запозичення</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3"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992"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0,0</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568260,0</w:t>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317034,1</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7225,0</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309809,1</w:t>
            </w:r>
          </w:p>
        </w:tc>
        <w:tc>
          <w:tcPr>
            <w:tcW w:w="847"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right"/>
              <w:rPr>
                <w:sz w:val="14"/>
                <w:szCs w:val="14"/>
              </w:rPr>
            </w:pPr>
            <w:r>
              <w:rPr>
                <w:sz w:val="14"/>
                <w:szCs w:val="14"/>
              </w:rPr>
              <w:t>568260,0</w:t>
            </w:r>
          </w:p>
        </w:tc>
      </w:tr>
      <w:tr>
        <w:trPr>
          <w:trHeight w:val="166" w:hRule="atLeast"/>
        </w:trPr>
        <w:tc>
          <w:tcPr>
            <w:tcW w:w="674" w:type="dxa"/>
            <w:tcBorders>
              <w:top w:val="single" w:sz="4" w:space="0" w:color="000000"/>
              <w:left w:val="single" w:sz="4" w:space="0" w:color="000000"/>
              <w:bottom w:val="single" w:sz="4" w:space="0" w:color="000000"/>
            </w:tcBorders>
            <w:shd w:color="auto" w:fill="auto" w:val="clear"/>
          </w:tcPr>
          <w:p>
            <w:pPr>
              <w:pStyle w:val="Normal"/>
              <w:jc w:val="right"/>
              <w:rPr>
                <w:rFonts w:ascii="Times New Roman CYR" w:hAnsi="Times New Roman CYR" w:cs="Times New Roman CYR"/>
                <w:sz w:val="14"/>
                <w:szCs w:val="14"/>
              </w:rPr>
            </w:pPr>
            <w:r>
              <w:rPr>
                <w:rFonts w:cs="Times New Roman CYR" w:ascii="Times New Roman CYR" w:hAnsi="Times New Roman CYR"/>
                <w:sz w:val="14"/>
                <w:szCs w:val="14"/>
              </w:rPr>
              <w:t>402000</w:t>
            </w:r>
          </w:p>
        </w:tc>
        <w:tc>
          <w:tcPr>
            <w:tcW w:w="1311" w:type="dxa"/>
            <w:tcBorders>
              <w:top w:val="single" w:sz="4" w:space="0" w:color="000000"/>
              <w:left w:val="single" w:sz="4" w:space="0" w:color="000000"/>
              <w:bottom w:val="single" w:sz="4" w:space="0" w:color="000000"/>
            </w:tcBorders>
            <w:shd w:color="auto" w:fill="auto" w:val="clear"/>
          </w:tcPr>
          <w:p>
            <w:pPr>
              <w:pStyle w:val="Normal"/>
              <w:rPr>
                <w:sz w:val="14"/>
                <w:szCs w:val="14"/>
              </w:rPr>
            </w:pPr>
            <w:r>
              <w:rPr>
                <w:sz w:val="14"/>
                <w:szCs w:val="14"/>
              </w:rPr>
              <w:t>Погашення</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3"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992"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0,0</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-20000,0</w:t>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-19223,6</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-150472,6</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131249,0</w:t>
            </w:r>
          </w:p>
        </w:tc>
        <w:tc>
          <w:tcPr>
            <w:tcW w:w="847"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right"/>
              <w:rPr>
                <w:sz w:val="14"/>
                <w:szCs w:val="14"/>
              </w:rPr>
            </w:pPr>
            <w:r>
              <w:rPr>
                <w:sz w:val="14"/>
                <w:szCs w:val="14"/>
              </w:rPr>
              <w:t>-20000,0</w:t>
            </w:r>
          </w:p>
        </w:tc>
      </w:tr>
      <w:tr>
        <w:trPr>
          <w:trHeight w:val="166" w:hRule="atLeast"/>
        </w:trPr>
        <w:tc>
          <w:tcPr>
            <w:tcW w:w="674" w:type="dxa"/>
            <w:tcBorders>
              <w:top w:val="single" w:sz="4" w:space="0" w:color="000000"/>
              <w:left w:val="single" w:sz="4" w:space="0" w:color="000000"/>
              <w:bottom w:val="single" w:sz="4" w:space="0" w:color="000000"/>
            </w:tcBorders>
            <w:shd w:color="auto" w:fill="auto" w:val="clear"/>
          </w:tcPr>
          <w:p>
            <w:pPr>
              <w:pStyle w:val="Normal"/>
              <w:jc w:val="right"/>
              <w:rPr>
                <w:rFonts w:ascii="Times New Roman CYR" w:hAnsi="Times New Roman CYR" w:cs="Times New Roman CYR"/>
                <w:sz w:val="14"/>
                <w:szCs w:val="14"/>
              </w:rPr>
            </w:pPr>
            <w:r>
              <w:rPr>
                <w:rFonts w:cs="Times New Roman CYR" w:ascii="Times New Roman CYR" w:hAnsi="Times New Roman CYR"/>
                <w:sz w:val="14"/>
                <w:szCs w:val="14"/>
              </w:rPr>
              <w:t>600000</w:t>
            </w:r>
          </w:p>
        </w:tc>
        <w:tc>
          <w:tcPr>
            <w:tcW w:w="1311" w:type="dxa"/>
            <w:tcBorders>
              <w:top w:val="single" w:sz="4" w:space="0" w:color="000000"/>
              <w:left w:val="single" w:sz="4" w:space="0" w:color="000000"/>
              <w:bottom w:val="single" w:sz="4" w:space="0" w:color="000000"/>
            </w:tcBorders>
            <w:shd w:color="auto" w:fill="auto" w:val="clear"/>
          </w:tcPr>
          <w:p>
            <w:pPr>
              <w:pStyle w:val="Normal"/>
              <w:rPr>
                <w:sz w:val="14"/>
                <w:szCs w:val="14"/>
              </w:rPr>
            </w:pPr>
            <w:r>
              <w:rPr>
                <w:sz w:val="14"/>
                <w:szCs w:val="14"/>
              </w:rPr>
              <w:t>Фінансування за активними операціями*</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-457646,8</w:t>
            </w:r>
          </w:p>
        </w:tc>
        <w:tc>
          <w:tcPr>
            <w:tcW w:w="853"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-614041,9</w:t>
            </w:r>
          </w:p>
        </w:tc>
        <w:tc>
          <w:tcPr>
            <w:tcW w:w="992"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-405376,4</w:t>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-208665,5</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813194,3</w:t>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671389,9</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663893,6</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7496,3</w:t>
            </w:r>
          </w:p>
        </w:tc>
        <w:tc>
          <w:tcPr>
            <w:tcW w:w="847"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right"/>
              <w:rPr>
                <w:sz w:val="14"/>
                <w:szCs w:val="14"/>
              </w:rPr>
            </w:pPr>
            <w:r>
              <w:rPr>
                <w:sz w:val="14"/>
                <w:szCs w:val="14"/>
              </w:rPr>
              <w:t>355547,5</w:t>
            </w:r>
          </w:p>
        </w:tc>
      </w:tr>
      <w:tr>
        <w:trPr>
          <w:trHeight w:val="166" w:hRule="atLeast"/>
        </w:trPr>
        <w:tc>
          <w:tcPr>
            <w:tcW w:w="674" w:type="dxa"/>
            <w:tcBorders>
              <w:top w:val="single" w:sz="4" w:space="0" w:color="000000"/>
              <w:left w:val="single" w:sz="4" w:space="0" w:color="000000"/>
              <w:bottom w:val="single" w:sz="4" w:space="0" w:color="000000"/>
            </w:tcBorders>
            <w:shd w:color="auto" w:fill="auto" w:val="clear"/>
          </w:tcPr>
          <w:p>
            <w:pPr>
              <w:pStyle w:val="Normal"/>
              <w:jc w:val="right"/>
              <w:rPr>
                <w:rFonts w:ascii="Times New Roman CYR" w:hAnsi="Times New Roman CYR" w:cs="Times New Roman CYR"/>
                <w:sz w:val="14"/>
                <w:szCs w:val="14"/>
              </w:rPr>
            </w:pPr>
            <w:r>
              <w:rPr>
                <w:rFonts w:cs="Times New Roman CYR" w:ascii="Times New Roman CYR" w:hAnsi="Times New Roman CYR"/>
                <w:sz w:val="14"/>
                <w:szCs w:val="14"/>
              </w:rPr>
              <w:t>602000</w:t>
            </w:r>
          </w:p>
        </w:tc>
        <w:tc>
          <w:tcPr>
            <w:tcW w:w="1311" w:type="dxa"/>
            <w:tcBorders>
              <w:top w:val="single" w:sz="4" w:space="0" w:color="000000"/>
              <w:left w:val="single" w:sz="4" w:space="0" w:color="000000"/>
              <w:bottom w:val="single" w:sz="4" w:space="0" w:color="000000"/>
            </w:tcBorders>
            <w:shd w:color="auto" w:fill="auto" w:val="clear"/>
          </w:tcPr>
          <w:p>
            <w:pPr>
              <w:pStyle w:val="Normal"/>
              <w:rPr>
                <w:sz w:val="14"/>
                <w:szCs w:val="14"/>
              </w:rPr>
            </w:pPr>
            <w:r>
              <w:rPr>
                <w:sz w:val="14"/>
                <w:szCs w:val="14"/>
              </w:rPr>
              <w:t>Зміни обсягів бюджетних коштів</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-457646,8</w:t>
            </w:r>
          </w:p>
        </w:tc>
        <w:tc>
          <w:tcPr>
            <w:tcW w:w="853"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-614041,9</w:t>
            </w:r>
          </w:p>
        </w:tc>
        <w:tc>
          <w:tcPr>
            <w:tcW w:w="992"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-405376,4</w:t>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-208665,5</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813194,4</w:t>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671389,9</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663893,6</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7496,3</w:t>
            </w:r>
          </w:p>
        </w:tc>
        <w:tc>
          <w:tcPr>
            <w:tcW w:w="847"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right"/>
              <w:rPr>
                <w:sz w:val="14"/>
                <w:szCs w:val="14"/>
              </w:rPr>
            </w:pPr>
            <w:r>
              <w:rPr>
                <w:sz w:val="14"/>
                <w:szCs w:val="14"/>
              </w:rPr>
              <w:t>355547,6</w:t>
            </w:r>
          </w:p>
        </w:tc>
      </w:tr>
      <w:tr>
        <w:trPr>
          <w:trHeight w:val="529" w:hRule="atLeast"/>
        </w:trPr>
        <w:tc>
          <w:tcPr>
            <w:tcW w:w="674" w:type="dxa"/>
            <w:tcBorders>
              <w:top w:val="single" w:sz="4" w:space="0" w:color="000000"/>
              <w:left w:val="single" w:sz="4" w:space="0" w:color="000000"/>
              <w:bottom w:val="single" w:sz="4" w:space="0" w:color="000000"/>
            </w:tcBorders>
            <w:shd w:color="auto" w:fill="auto" w:val="clear"/>
          </w:tcPr>
          <w:p>
            <w:pPr>
              <w:pStyle w:val="Normal"/>
              <w:jc w:val="right"/>
              <w:rPr>
                <w:rFonts w:ascii="Times New Roman CYR" w:hAnsi="Times New Roman CYR" w:cs="Times New Roman CYR"/>
                <w:sz w:val="14"/>
                <w:szCs w:val="14"/>
              </w:rPr>
            </w:pPr>
            <w:r>
              <w:rPr>
                <w:rFonts w:cs="Times New Roman CYR" w:ascii="Times New Roman CYR" w:hAnsi="Times New Roman CYR"/>
                <w:sz w:val="14"/>
                <w:szCs w:val="14"/>
              </w:rPr>
              <w:t>602100</w:t>
            </w:r>
          </w:p>
        </w:tc>
        <w:tc>
          <w:tcPr>
            <w:tcW w:w="1311" w:type="dxa"/>
            <w:tcBorders>
              <w:top w:val="single" w:sz="4" w:space="0" w:color="000000"/>
              <w:left w:val="single" w:sz="4" w:space="0" w:color="000000"/>
              <w:bottom w:val="single" w:sz="4" w:space="0" w:color="000000"/>
            </w:tcBorders>
            <w:shd w:color="auto" w:fill="auto" w:val="clear"/>
          </w:tcPr>
          <w:p>
            <w:pPr>
              <w:pStyle w:val="Normal"/>
              <w:rPr>
                <w:sz w:val="14"/>
                <w:szCs w:val="14"/>
              </w:rPr>
            </w:pPr>
            <w:r>
              <w:rPr>
                <w:sz w:val="14"/>
                <w:szCs w:val="14"/>
              </w:rPr>
              <w:t>На початок періоду</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318511,5</w:t>
            </w:r>
          </w:p>
        </w:tc>
        <w:tc>
          <w:tcPr>
            <w:tcW w:w="853"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318511,5</w:t>
            </w:r>
          </w:p>
        </w:tc>
        <w:tc>
          <w:tcPr>
            <w:tcW w:w="992"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605453,0</w:t>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-286941,5</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47711,2</w:t>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79232,7</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51008,4</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28224,3</w:t>
            </w:r>
          </w:p>
        </w:tc>
        <w:tc>
          <w:tcPr>
            <w:tcW w:w="847"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right"/>
              <w:rPr>
                <w:sz w:val="14"/>
                <w:szCs w:val="14"/>
              </w:rPr>
            </w:pPr>
            <w:r>
              <w:rPr>
                <w:sz w:val="14"/>
                <w:szCs w:val="14"/>
              </w:rPr>
              <w:t>366222,7</w:t>
            </w:r>
          </w:p>
        </w:tc>
      </w:tr>
      <w:tr>
        <w:trPr>
          <w:trHeight w:val="441" w:hRule="atLeast"/>
        </w:trPr>
        <w:tc>
          <w:tcPr>
            <w:tcW w:w="674" w:type="dxa"/>
            <w:tcBorders>
              <w:top w:val="single" w:sz="4" w:space="0" w:color="000000"/>
              <w:left w:val="single" w:sz="4" w:space="0" w:color="000000"/>
              <w:bottom w:val="single" w:sz="4" w:space="0" w:color="000000"/>
            </w:tcBorders>
            <w:shd w:color="auto" w:fill="auto" w:val="clear"/>
          </w:tcPr>
          <w:p>
            <w:pPr>
              <w:pStyle w:val="Normal"/>
              <w:jc w:val="right"/>
              <w:rPr>
                <w:rFonts w:ascii="Times New Roman CYR" w:hAnsi="Times New Roman CYR" w:cs="Times New Roman CYR"/>
                <w:sz w:val="14"/>
                <w:szCs w:val="14"/>
              </w:rPr>
            </w:pPr>
            <w:r>
              <w:rPr>
                <w:rFonts w:cs="Times New Roman CYR" w:ascii="Times New Roman CYR" w:hAnsi="Times New Roman CYR"/>
                <w:sz w:val="14"/>
                <w:szCs w:val="14"/>
              </w:rPr>
              <w:t>602200</w:t>
            </w:r>
          </w:p>
        </w:tc>
        <w:tc>
          <w:tcPr>
            <w:tcW w:w="1311" w:type="dxa"/>
            <w:tcBorders>
              <w:top w:val="single" w:sz="4" w:space="0" w:color="000000"/>
              <w:left w:val="single" w:sz="4" w:space="0" w:color="000000"/>
              <w:bottom w:val="single" w:sz="4" w:space="0" w:color="000000"/>
            </w:tcBorders>
            <w:shd w:color="auto" w:fill="auto" w:val="clear"/>
          </w:tcPr>
          <w:p>
            <w:pPr>
              <w:pStyle w:val="Normal"/>
              <w:rPr>
                <w:sz w:val="14"/>
                <w:szCs w:val="14"/>
              </w:rPr>
            </w:pPr>
            <w:r>
              <w:rPr>
                <w:sz w:val="14"/>
                <w:szCs w:val="14"/>
              </w:rPr>
              <w:t>На кінець періоду</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1000,4</w:t>
            </w:r>
          </w:p>
        </w:tc>
        <w:tc>
          <w:tcPr>
            <w:tcW w:w="853"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204687,5</w:t>
            </w:r>
          </w:p>
        </w:tc>
        <w:tc>
          <w:tcPr>
            <w:tcW w:w="992"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318511,5</w:t>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-113824,0</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9674,6</w:t>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135661,0</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79232,7</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56428,3</w:t>
            </w:r>
          </w:p>
        </w:tc>
        <w:tc>
          <w:tcPr>
            <w:tcW w:w="847"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right"/>
              <w:rPr>
                <w:sz w:val="14"/>
                <w:szCs w:val="14"/>
              </w:rPr>
            </w:pPr>
            <w:r>
              <w:rPr>
                <w:sz w:val="14"/>
                <w:szCs w:val="14"/>
              </w:rPr>
              <w:t>10675,0</w:t>
            </w:r>
          </w:p>
        </w:tc>
      </w:tr>
      <w:tr>
        <w:trPr>
          <w:trHeight w:val="277" w:hRule="atLeast"/>
        </w:trPr>
        <w:tc>
          <w:tcPr>
            <w:tcW w:w="674" w:type="dxa"/>
            <w:tcBorders>
              <w:top w:val="single" w:sz="4" w:space="0" w:color="000000"/>
              <w:left w:val="single" w:sz="4" w:space="0" w:color="000000"/>
              <w:bottom w:val="single" w:sz="4" w:space="0" w:color="000000"/>
            </w:tcBorders>
            <w:shd w:color="auto" w:fill="auto" w:val="clear"/>
          </w:tcPr>
          <w:p>
            <w:pPr>
              <w:pStyle w:val="Normal"/>
              <w:jc w:val="right"/>
              <w:rPr>
                <w:rFonts w:ascii="Times New Roman CYR" w:hAnsi="Times New Roman CYR" w:cs="Times New Roman CYR"/>
                <w:sz w:val="14"/>
                <w:szCs w:val="14"/>
              </w:rPr>
            </w:pPr>
            <w:r>
              <w:rPr>
                <w:rFonts w:cs="Times New Roman CYR" w:ascii="Times New Roman CYR" w:hAnsi="Times New Roman CYR"/>
                <w:sz w:val="14"/>
                <w:szCs w:val="14"/>
              </w:rPr>
              <w:t>602400</w:t>
            </w:r>
          </w:p>
        </w:tc>
        <w:tc>
          <w:tcPr>
            <w:tcW w:w="1311" w:type="dxa"/>
            <w:tcBorders>
              <w:top w:val="single" w:sz="4" w:space="0" w:color="000000"/>
              <w:left w:val="single" w:sz="4" w:space="0" w:color="000000"/>
              <w:bottom w:val="single" w:sz="4" w:space="0" w:color="000000"/>
            </w:tcBorders>
            <w:shd w:color="auto" w:fill="auto" w:val="clear"/>
          </w:tcPr>
          <w:p>
            <w:pPr>
              <w:pStyle w:val="Normal"/>
              <w:rPr>
                <w:sz w:val="14"/>
                <w:szCs w:val="14"/>
              </w:rPr>
            </w:pPr>
            <w:r>
              <w:rPr>
                <w:sz w:val="14"/>
                <w:szCs w:val="14"/>
              </w:rPr>
              <w:t>Кошти, що передаються із загального фонду бюджету до бюджету розвитку</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-775157,9</w:t>
            </w:r>
          </w:p>
        </w:tc>
        <w:tc>
          <w:tcPr>
            <w:tcW w:w="853"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-727866,0</w:t>
            </w:r>
          </w:p>
        </w:tc>
        <w:tc>
          <w:tcPr>
            <w:tcW w:w="992"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-692131,1</w:t>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-35734,9</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775157,9</w:t>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727866,0</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692131,1</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35734,9</w:t>
            </w:r>
          </w:p>
        </w:tc>
        <w:tc>
          <w:tcPr>
            <w:tcW w:w="847"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right"/>
              <w:rPr>
                <w:sz w:val="14"/>
                <w:szCs w:val="14"/>
              </w:rPr>
            </w:pPr>
            <w:r>
              <w:rPr>
                <w:sz w:val="14"/>
                <w:szCs w:val="14"/>
              </w:rPr>
              <w:t>0,0</w:t>
            </w:r>
          </w:p>
        </w:tc>
      </w:tr>
      <w:tr>
        <w:trPr>
          <w:trHeight w:val="267" w:hRule="atLeast"/>
        </w:trPr>
        <w:tc>
          <w:tcPr>
            <w:tcW w:w="674" w:type="dxa"/>
            <w:tcBorders>
              <w:top w:val="single" w:sz="4" w:space="0" w:color="000000"/>
              <w:left w:val="single" w:sz="4" w:space="0" w:color="000000"/>
              <w:bottom w:val="single" w:sz="4" w:space="0" w:color="000000"/>
            </w:tcBorders>
            <w:shd w:color="auto" w:fill="auto" w:val="clear"/>
          </w:tcPr>
          <w:p>
            <w:pPr>
              <w:pStyle w:val="Normal"/>
              <w:jc w:val="right"/>
              <w:rPr>
                <w:rFonts w:ascii="Times New Roman CYR" w:hAnsi="Times New Roman CYR" w:cs="Times New Roman CYR"/>
                <w:b/>
                <w:bCs/>
                <w:sz w:val="14"/>
                <w:szCs w:val="14"/>
              </w:rPr>
            </w:pPr>
            <w:r>
              <w:rPr>
                <w:rFonts w:cs="Times New Roman CYR" w:ascii="Times New Roman CYR" w:hAnsi="Times New Roman CYR"/>
                <w:b/>
                <w:bCs/>
                <w:sz w:val="14"/>
                <w:szCs w:val="14"/>
              </w:rPr>
              <w:t>900460</w:t>
            </w:r>
          </w:p>
        </w:tc>
        <w:tc>
          <w:tcPr>
            <w:tcW w:w="1311" w:type="dxa"/>
            <w:tcBorders>
              <w:top w:val="single" w:sz="4" w:space="0" w:color="000000"/>
              <w:left w:val="single" w:sz="4" w:space="0" w:color="000000"/>
              <w:bottom w:val="single" w:sz="4" w:space="0" w:color="000000"/>
            </w:tcBorders>
            <w:shd w:color="auto" w:fill="auto" w:val="clear"/>
          </w:tcPr>
          <w:p>
            <w:pPr>
              <w:pStyle w:val="Normal"/>
              <w:rPr>
                <w:b/>
                <w:bCs/>
                <w:sz w:val="14"/>
                <w:szCs w:val="14"/>
              </w:rPr>
            </w:pPr>
            <w:r>
              <w:rPr>
                <w:b/>
                <w:bCs/>
                <w:sz w:val="14"/>
                <w:szCs w:val="14"/>
              </w:rPr>
              <w:t>Разом  коштів за типом боргового зобов'язання</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b/>
                <w:bCs/>
                <w:sz w:val="14"/>
                <w:szCs w:val="14"/>
              </w:rPr>
            </w:pPr>
            <w:r>
              <w:rPr>
                <w:b/>
                <w:bCs/>
                <w:sz w:val="14"/>
                <w:szCs w:val="14"/>
              </w:rPr>
              <w:t>-457646,8</w:t>
            </w:r>
          </w:p>
        </w:tc>
        <w:tc>
          <w:tcPr>
            <w:tcW w:w="853" w:type="dxa"/>
            <w:tcBorders>
              <w:top w:val="single" w:sz="4" w:space="0" w:color="000000"/>
              <w:left w:val="single" w:sz="4" w:space="0" w:color="000000"/>
              <w:bottom w:val="single" w:sz="4" w:space="0" w:color="000000"/>
            </w:tcBorders>
            <w:shd w:color="auto" w:fill="auto" w:val="clear"/>
          </w:tcPr>
          <w:p>
            <w:pPr>
              <w:pStyle w:val="Normal"/>
              <w:jc w:val="right"/>
              <w:rPr>
                <w:b/>
                <w:bCs/>
                <w:sz w:val="14"/>
                <w:szCs w:val="14"/>
              </w:rPr>
            </w:pPr>
            <w:r>
              <w:rPr>
                <w:b/>
                <w:bCs/>
                <w:sz w:val="14"/>
                <w:szCs w:val="14"/>
              </w:rPr>
              <w:t>-614041,9</w:t>
            </w:r>
          </w:p>
        </w:tc>
        <w:tc>
          <w:tcPr>
            <w:tcW w:w="992" w:type="dxa"/>
            <w:tcBorders>
              <w:top w:val="single" w:sz="4" w:space="0" w:color="000000"/>
              <w:left w:val="single" w:sz="4" w:space="0" w:color="000000"/>
              <w:bottom w:val="single" w:sz="4" w:space="0" w:color="000000"/>
            </w:tcBorders>
            <w:shd w:color="auto" w:fill="auto" w:val="clear"/>
          </w:tcPr>
          <w:p>
            <w:pPr>
              <w:pStyle w:val="Normal"/>
              <w:jc w:val="right"/>
              <w:rPr>
                <w:b/>
                <w:bCs/>
                <w:sz w:val="14"/>
                <w:szCs w:val="14"/>
              </w:rPr>
            </w:pPr>
            <w:r>
              <w:rPr>
                <w:b/>
                <w:bCs/>
                <w:sz w:val="14"/>
                <w:szCs w:val="14"/>
              </w:rPr>
              <w:t>-405376,4</w:t>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b/>
                <w:bCs/>
                <w:sz w:val="14"/>
                <w:szCs w:val="14"/>
              </w:rPr>
            </w:pPr>
            <w:r>
              <w:rPr>
                <w:b/>
                <w:bCs/>
                <w:sz w:val="14"/>
                <w:szCs w:val="14"/>
              </w:rPr>
              <w:t>-208665,5</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b/>
                <w:bCs/>
                <w:sz w:val="14"/>
                <w:szCs w:val="14"/>
              </w:rPr>
            </w:pPr>
            <w:r>
              <w:rPr>
                <w:b/>
                <w:bCs/>
                <w:sz w:val="14"/>
                <w:szCs w:val="14"/>
              </w:rPr>
              <w:t>1361454,4</w:t>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b/>
                <w:bCs/>
                <w:sz w:val="14"/>
                <w:szCs w:val="14"/>
              </w:rPr>
            </w:pPr>
            <w:r>
              <w:rPr>
                <w:b/>
                <w:bCs/>
                <w:sz w:val="14"/>
                <w:szCs w:val="14"/>
              </w:rPr>
              <w:t>969200,4</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b/>
                <w:bCs/>
                <w:sz w:val="14"/>
                <w:szCs w:val="14"/>
              </w:rPr>
            </w:pPr>
            <w:r>
              <w:rPr>
                <w:b/>
                <w:bCs/>
                <w:sz w:val="14"/>
                <w:szCs w:val="14"/>
              </w:rPr>
              <w:t>520645,9</w:t>
            </w:r>
          </w:p>
        </w:tc>
        <w:tc>
          <w:tcPr>
            <w:tcW w:w="850" w:type="dxa"/>
            <w:tcBorders>
              <w:top w:val="single" w:sz="4" w:space="0" w:color="000000"/>
              <w:left w:val="single" w:sz="4" w:space="0" w:color="000000"/>
              <w:bottom w:val="single" w:sz="4" w:space="0" w:color="000000"/>
            </w:tcBorders>
            <w:shd w:color="auto" w:fill="auto" w:val="clear"/>
          </w:tcPr>
          <w:p>
            <w:pPr>
              <w:pStyle w:val="Normal"/>
              <w:jc w:val="right"/>
              <w:rPr>
                <w:sz w:val="14"/>
                <w:szCs w:val="14"/>
              </w:rPr>
            </w:pPr>
            <w:r>
              <w:rPr>
                <w:sz w:val="14"/>
                <w:szCs w:val="14"/>
              </w:rPr>
              <w:t>448554,5</w:t>
            </w:r>
          </w:p>
        </w:tc>
        <w:tc>
          <w:tcPr>
            <w:tcW w:w="847"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right"/>
              <w:rPr>
                <w:b/>
                <w:bCs/>
                <w:sz w:val="14"/>
                <w:szCs w:val="14"/>
              </w:rPr>
            </w:pPr>
            <w:r>
              <w:rPr>
                <w:b/>
                <w:bCs/>
                <w:sz w:val="14"/>
                <w:szCs w:val="14"/>
              </w:rPr>
              <w:t>903807,6</w:t>
            </w:r>
          </w:p>
        </w:tc>
      </w:tr>
    </w:tbl>
    <w:p>
      <w:pPr>
        <w:pStyle w:val="Normal"/>
        <w:jc w:val="center"/>
        <w:rPr>
          <w:bCs/>
          <w:sz w:val="28"/>
          <w:szCs w:val="28"/>
          <w:lang w:val="uk-UA" w:eastAsia="ru-RU"/>
        </w:rPr>
      </w:pPr>
      <w:r>
        <w:rPr>
          <w:bCs/>
          <w:sz w:val="28"/>
          <w:szCs w:val="28"/>
          <w:lang w:val="uk-UA" w:eastAsia="ru-RU"/>
        </w:rPr>
      </w:r>
    </w:p>
    <w:p>
      <w:pPr>
        <w:pStyle w:val="Normal"/>
        <w:jc w:val="center"/>
        <w:rPr>
          <w:bCs/>
          <w:sz w:val="28"/>
          <w:szCs w:val="28"/>
          <w:lang w:val="uk-UA" w:eastAsia="ru-RU"/>
        </w:rPr>
      </w:pPr>
      <w:r>
        <w:rPr>
          <w:bCs/>
          <w:sz w:val="28"/>
          <w:szCs w:val="28"/>
          <w:lang w:val="uk-UA" w:eastAsia="ru-RU"/>
        </w:rPr>
      </w:r>
    </w:p>
    <w:p>
      <w:pPr>
        <w:pStyle w:val="Normal"/>
        <w:jc w:val="center"/>
        <w:rPr/>
      </w:pPr>
      <w:r>
        <w:rPr>
          <w:bCs/>
          <w:sz w:val="28"/>
          <w:szCs w:val="28"/>
          <w:lang w:eastAsia="ru-RU"/>
        </w:rPr>
        <w:t xml:space="preserve">Інформація про стан місцевих боргів                                   </w:t>
      </w:r>
    </w:p>
    <w:p>
      <w:pPr>
        <w:pStyle w:val="Normal"/>
        <w:ind w:firstLine="708"/>
        <w:jc w:val="both"/>
        <w:rPr/>
      </w:pPr>
      <w:r>
        <w:rPr>
          <w:sz w:val="28"/>
          <w:szCs w:val="28"/>
          <w:lang w:val="uk-UA"/>
        </w:rPr>
        <w:tab/>
        <w:tab/>
        <w:tab/>
        <w:tab/>
        <w:tab/>
        <w:tab/>
        <w:tab/>
        <w:tab/>
        <w:tab/>
        <w:tab/>
        <w:tab/>
        <w:tab/>
        <w:tab/>
        <w:tab/>
        <w:tab/>
        <w:tab/>
        <w:tab/>
        <w:tab/>
        <w:tab/>
      </w:r>
      <w:r>
        <w:rPr>
          <w:lang w:val="uk-UA"/>
        </w:rPr>
        <w:t>тис. грн</w:t>
      </w:r>
    </w:p>
    <w:tbl>
      <w:tblPr>
        <w:tblW w:w="9924" w:type="dxa"/>
        <w:jc w:val="left"/>
        <w:tblInd w:w="222" w:type="dxa"/>
        <w:tblLayout w:type="fixed"/>
        <w:tblCellMar>
          <w:top w:w="0" w:type="dxa"/>
          <w:left w:w="108" w:type="dxa"/>
          <w:bottom w:w="0" w:type="dxa"/>
          <w:right w:w="108" w:type="dxa"/>
        </w:tblCellMar>
        <w:tblLook w:val="0000"/>
      </w:tblPr>
      <w:tblGrid>
        <w:gridCol w:w="852"/>
        <w:gridCol w:w="1843"/>
        <w:gridCol w:w="1133"/>
        <w:gridCol w:w="1134"/>
        <w:gridCol w:w="851"/>
        <w:gridCol w:w="991"/>
        <w:gridCol w:w="1136"/>
        <w:gridCol w:w="991"/>
        <w:gridCol w:w="992"/>
      </w:tblGrid>
      <w:tr>
        <w:trPr/>
        <w:tc>
          <w:tcPr>
            <w:tcW w:w="852" w:type="dxa"/>
            <w:vMerge w:val="restart"/>
            <w:tcBorders>
              <w:top w:val="single" w:sz="4" w:space="0" w:color="000000"/>
              <w:left w:val="single" w:sz="4" w:space="0" w:color="000000"/>
              <w:bottom w:val="single" w:sz="4" w:space="0" w:color="000000"/>
            </w:tcBorders>
            <w:shd w:color="auto" w:fill="auto" w:val="clear"/>
            <w:vAlign w:val="center"/>
          </w:tcPr>
          <w:p>
            <w:pPr>
              <w:pStyle w:val="Normal"/>
              <w:jc w:val="center"/>
              <w:rPr/>
            </w:pPr>
            <w:r>
              <w:rPr>
                <w:rFonts w:cs="Times New Roman CYR" w:ascii="Times New Roman CYR" w:hAnsi="Times New Roman CYR"/>
                <w:b/>
                <w:bCs/>
                <w:lang w:val="uk-UA"/>
              </w:rPr>
              <w:t>КБК</w:t>
            </w:r>
          </w:p>
        </w:tc>
        <w:tc>
          <w:tcPr>
            <w:tcW w:w="1843" w:type="dxa"/>
            <w:vMerge w:val="restart"/>
            <w:tcBorders>
              <w:top w:val="single" w:sz="4" w:space="0" w:color="000000"/>
              <w:left w:val="single" w:sz="4" w:space="0" w:color="000000"/>
              <w:bottom w:val="single" w:sz="4" w:space="0" w:color="000000"/>
            </w:tcBorders>
            <w:shd w:color="auto" w:fill="auto" w:val="clear"/>
            <w:vAlign w:val="center"/>
          </w:tcPr>
          <w:p>
            <w:pPr>
              <w:pStyle w:val="Normal"/>
              <w:jc w:val="center"/>
              <w:rPr/>
            </w:pPr>
            <w:r>
              <w:rPr>
                <w:rFonts w:cs="Times New Roman CYR" w:ascii="Times New Roman CYR" w:hAnsi="Times New Roman CYR"/>
                <w:b/>
                <w:bCs/>
              </w:rPr>
              <w:t>Класифікація боргу за типом боргового зобов'язання</w:t>
            </w:r>
          </w:p>
        </w:tc>
        <w:tc>
          <w:tcPr>
            <w:tcW w:w="1133" w:type="dxa"/>
            <w:vMerge w:val="restart"/>
            <w:tcBorders>
              <w:top w:val="single" w:sz="4" w:space="0" w:color="000000"/>
              <w:left w:val="single" w:sz="4" w:space="0" w:color="000000"/>
              <w:bottom w:val="single" w:sz="4" w:space="0" w:color="000000"/>
            </w:tcBorders>
            <w:shd w:color="auto" w:fill="auto" w:val="clear"/>
            <w:vAlign w:val="center"/>
          </w:tcPr>
          <w:p>
            <w:pPr>
              <w:pStyle w:val="Normal"/>
              <w:jc w:val="center"/>
              <w:rPr/>
            </w:pPr>
            <w:r>
              <w:rPr>
                <w:b/>
                <w:bCs/>
                <w:lang w:val="uk-UA"/>
              </w:rPr>
              <w:t>Станом на 01.01.25</w:t>
            </w:r>
          </w:p>
        </w:tc>
        <w:tc>
          <w:tcPr>
            <w:tcW w:w="1985" w:type="dxa"/>
            <w:gridSpan w:val="2"/>
            <w:tcBorders>
              <w:top w:val="single" w:sz="4" w:space="0" w:color="000000"/>
              <w:left w:val="single" w:sz="4" w:space="0" w:color="000000"/>
              <w:bottom w:val="single" w:sz="4" w:space="0" w:color="000000"/>
            </w:tcBorders>
            <w:shd w:color="auto" w:fill="auto" w:val="clear"/>
            <w:vAlign w:val="center"/>
          </w:tcPr>
          <w:p>
            <w:pPr>
              <w:pStyle w:val="Normal"/>
              <w:jc w:val="center"/>
              <w:rPr/>
            </w:pPr>
            <w:r>
              <w:rPr>
                <w:rFonts w:cs="Times New Roman CYR" w:ascii="Times New Roman CYR" w:hAnsi="Times New Roman CYR"/>
                <w:b/>
                <w:bCs/>
              </w:rPr>
              <w:t>у тому числі:</w:t>
            </w:r>
          </w:p>
        </w:tc>
        <w:tc>
          <w:tcPr>
            <w:tcW w:w="991" w:type="dxa"/>
            <w:vMerge w:val="restart"/>
            <w:tcBorders>
              <w:top w:val="single" w:sz="4" w:space="0" w:color="000000"/>
              <w:left w:val="single" w:sz="4" w:space="0" w:color="000000"/>
              <w:bottom w:val="single" w:sz="4" w:space="0" w:color="000000"/>
            </w:tcBorders>
            <w:shd w:color="auto" w:fill="auto" w:val="clear"/>
          </w:tcPr>
          <w:p>
            <w:pPr>
              <w:pStyle w:val="Normal"/>
              <w:snapToGrid w:val="false"/>
              <w:jc w:val="both"/>
              <w:rPr>
                <w:b/>
                <w:bCs/>
                <w:sz w:val="28"/>
                <w:szCs w:val="28"/>
                <w:lang w:val="uk-UA"/>
              </w:rPr>
            </w:pPr>
            <w:r>
              <w:rPr>
                <w:b/>
                <w:bCs/>
                <w:sz w:val="28"/>
                <w:szCs w:val="28"/>
                <w:lang w:val="uk-UA"/>
              </w:rPr>
            </w:r>
          </w:p>
          <w:p>
            <w:pPr>
              <w:pStyle w:val="Normal"/>
              <w:jc w:val="both"/>
              <w:rPr>
                <w:b/>
                <w:bCs/>
                <w:sz w:val="28"/>
                <w:szCs w:val="28"/>
                <w:lang w:val="uk-UA"/>
              </w:rPr>
            </w:pPr>
            <w:r>
              <w:rPr>
                <w:b/>
                <w:bCs/>
                <w:sz w:val="28"/>
                <w:szCs w:val="28"/>
                <w:lang w:val="uk-UA"/>
              </w:rPr>
            </w:r>
          </w:p>
          <w:p>
            <w:pPr>
              <w:pStyle w:val="Normal"/>
              <w:jc w:val="center"/>
              <w:rPr>
                <w:b/>
                <w:bCs/>
                <w:sz w:val="28"/>
                <w:szCs w:val="28"/>
                <w:lang w:val="uk-UA"/>
              </w:rPr>
            </w:pPr>
            <w:r>
              <w:rPr>
                <w:b/>
                <w:bCs/>
                <w:sz w:val="28"/>
                <w:szCs w:val="28"/>
                <w:lang w:val="uk-UA"/>
              </w:rPr>
            </w:r>
          </w:p>
          <w:p>
            <w:pPr>
              <w:pStyle w:val="Normal"/>
              <w:jc w:val="center"/>
              <w:rPr/>
            </w:pPr>
            <w:r>
              <w:rPr>
                <w:b/>
                <w:bCs/>
                <w:lang w:val="uk-UA"/>
              </w:rPr>
              <w:t>Станом на 01.01.24</w:t>
            </w:r>
          </w:p>
        </w:tc>
        <w:tc>
          <w:tcPr>
            <w:tcW w:w="2127" w:type="dxa"/>
            <w:gridSpan w:val="2"/>
            <w:tcBorders>
              <w:top w:val="single" w:sz="4" w:space="0" w:color="000000"/>
              <w:left w:val="single" w:sz="4" w:space="0" w:color="000000"/>
              <w:bottom w:val="single" w:sz="4" w:space="0" w:color="000000"/>
            </w:tcBorders>
            <w:shd w:color="auto" w:fill="auto" w:val="clear"/>
          </w:tcPr>
          <w:p>
            <w:pPr>
              <w:pStyle w:val="Normal"/>
              <w:jc w:val="center"/>
              <w:rPr/>
            </w:pPr>
            <w:r>
              <w:rPr>
                <w:rFonts w:cs="Times New Roman CYR" w:ascii="Times New Roman CYR" w:hAnsi="Times New Roman CYR"/>
                <w:b/>
                <w:bCs/>
              </w:rPr>
              <w:t>у тому числі:</w:t>
            </w:r>
          </w:p>
        </w:tc>
        <w:tc>
          <w:tcPr>
            <w:tcW w:w="992"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jc w:val="both"/>
              <w:rPr>
                <w:sz w:val="28"/>
                <w:szCs w:val="28"/>
                <w:lang w:val="uk-UA"/>
              </w:rPr>
            </w:pPr>
            <w:r>
              <w:rPr>
                <w:sz w:val="28"/>
                <w:szCs w:val="28"/>
                <w:lang w:val="uk-UA"/>
              </w:rPr>
            </w:r>
          </w:p>
          <w:p>
            <w:pPr>
              <w:pStyle w:val="Normal"/>
              <w:jc w:val="both"/>
              <w:rPr>
                <w:sz w:val="28"/>
                <w:szCs w:val="28"/>
                <w:lang w:val="uk-UA"/>
              </w:rPr>
            </w:pPr>
            <w:r>
              <w:rPr>
                <w:sz w:val="28"/>
                <w:szCs w:val="28"/>
                <w:lang w:val="uk-UA"/>
              </w:rPr>
            </w:r>
          </w:p>
          <w:p>
            <w:pPr>
              <w:pStyle w:val="Normal"/>
              <w:jc w:val="both"/>
              <w:rPr>
                <w:sz w:val="28"/>
                <w:szCs w:val="28"/>
                <w:lang w:val="uk-UA"/>
              </w:rPr>
            </w:pPr>
            <w:r>
              <w:rPr>
                <w:sz w:val="28"/>
                <w:szCs w:val="28"/>
                <w:lang w:val="uk-UA"/>
              </w:rPr>
            </w:r>
          </w:p>
          <w:p>
            <w:pPr>
              <w:pStyle w:val="Normal"/>
              <w:jc w:val="center"/>
              <w:rPr/>
            </w:pPr>
            <w:r>
              <w:rPr>
                <w:b/>
                <w:lang w:val="uk-UA"/>
              </w:rPr>
              <w:t>+,-</w:t>
            </w:r>
          </w:p>
        </w:tc>
      </w:tr>
      <w:tr>
        <w:trPr>
          <w:trHeight w:val="2189" w:hRule="atLeast"/>
        </w:trPr>
        <w:tc>
          <w:tcPr>
            <w:tcW w:w="852" w:type="dxa"/>
            <w:vMerge w:val="continue"/>
            <w:tcBorders>
              <w:top w:val="single" w:sz="4" w:space="0" w:color="000000"/>
              <w:left w:val="single" w:sz="4" w:space="0" w:color="000000"/>
              <w:bottom w:val="single" w:sz="4" w:space="0" w:color="000000"/>
            </w:tcBorders>
            <w:shd w:color="auto" w:fill="auto" w:val="clear"/>
            <w:vAlign w:val="center"/>
          </w:tcPr>
          <w:p>
            <w:pPr>
              <w:pStyle w:val="Normal"/>
              <w:snapToGrid w:val="false"/>
              <w:rPr>
                <w:rFonts w:ascii="Times New Roman CYR" w:hAnsi="Times New Roman CYR" w:cs="Times New Roman CYR"/>
                <w:b/>
                <w:bCs/>
                <w:sz w:val="28"/>
                <w:szCs w:val="28"/>
                <w:lang w:val="uk-UA"/>
              </w:rPr>
            </w:pPr>
            <w:r>
              <w:rPr>
                <w:rFonts w:cs="Times New Roman CYR" w:ascii="Times New Roman CYR" w:hAnsi="Times New Roman CYR"/>
                <w:b/>
                <w:bCs/>
                <w:sz w:val="28"/>
                <w:szCs w:val="28"/>
                <w:lang w:val="uk-UA"/>
              </w:rPr>
            </w:r>
          </w:p>
        </w:tc>
        <w:tc>
          <w:tcPr>
            <w:tcW w:w="1843" w:type="dxa"/>
            <w:vMerge w:val="continue"/>
            <w:tcBorders>
              <w:top w:val="single" w:sz="4" w:space="0" w:color="000000"/>
              <w:left w:val="single" w:sz="4" w:space="0" w:color="000000"/>
              <w:bottom w:val="single" w:sz="4" w:space="0" w:color="000000"/>
            </w:tcBorders>
            <w:shd w:color="auto" w:fill="auto" w:val="clear"/>
            <w:vAlign w:val="center"/>
          </w:tcPr>
          <w:p>
            <w:pPr>
              <w:pStyle w:val="Normal"/>
              <w:snapToGrid w:val="false"/>
              <w:rPr>
                <w:rFonts w:ascii="Times New Roman CYR" w:hAnsi="Times New Roman CYR" w:cs="Times New Roman CYR"/>
                <w:b/>
                <w:bCs/>
                <w:sz w:val="28"/>
                <w:szCs w:val="28"/>
                <w:lang w:val="uk-UA"/>
              </w:rPr>
            </w:pPr>
            <w:r>
              <w:rPr>
                <w:rFonts w:cs="Times New Roman CYR" w:ascii="Times New Roman CYR" w:hAnsi="Times New Roman CYR"/>
                <w:b/>
                <w:bCs/>
                <w:sz w:val="28"/>
                <w:szCs w:val="28"/>
                <w:lang w:val="uk-UA"/>
              </w:rPr>
            </w:r>
          </w:p>
        </w:tc>
        <w:tc>
          <w:tcPr>
            <w:tcW w:w="1133" w:type="dxa"/>
            <w:vMerge w:val="continue"/>
            <w:tcBorders>
              <w:top w:val="single" w:sz="4" w:space="0" w:color="000000"/>
              <w:left w:val="single" w:sz="4" w:space="0" w:color="000000"/>
              <w:bottom w:val="single" w:sz="4" w:space="0" w:color="000000"/>
            </w:tcBorders>
            <w:shd w:color="auto" w:fill="auto" w:val="clear"/>
            <w:vAlign w:val="center"/>
          </w:tcPr>
          <w:p>
            <w:pPr>
              <w:pStyle w:val="Normal"/>
              <w:snapToGrid w:val="false"/>
              <w:rPr>
                <w:rFonts w:ascii="Times New Roman CYR" w:hAnsi="Times New Roman CYR" w:cs="Times New Roman CYR"/>
                <w:b/>
                <w:bCs/>
                <w:sz w:val="28"/>
                <w:szCs w:val="28"/>
                <w:lang w:val="uk-UA"/>
              </w:rPr>
            </w:pPr>
            <w:r>
              <w:rPr>
                <w:rFonts w:cs="Times New Roman CYR" w:ascii="Times New Roman CYR" w:hAnsi="Times New Roman CYR"/>
                <w:b/>
                <w:bCs/>
                <w:sz w:val="28"/>
                <w:szCs w:val="28"/>
                <w:lang w:val="uk-UA"/>
              </w:rPr>
            </w:r>
          </w:p>
        </w:tc>
        <w:tc>
          <w:tcPr>
            <w:tcW w:w="1134"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b/>
                <w:bCs/>
              </w:rPr>
              <w:t>позики банків та фінансових установ</w:t>
            </w:r>
          </w:p>
        </w:tc>
        <w:tc>
          <w:tcPr>
            <w:tcW w:w="851"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b/>
                <w:bCs/>
              </w:rPr>
              <w:t>позикиза рахунок ресурсів єдиного казначейського рахунка</w:t>
            </w:r>
          </w:p>
        </w:tc>
        <w:tc>
          <w:tcPr>
            <w:tcW w:w="991" w:type="dxa"/>
            <w:vMerge w:val="continue"/>
            <w:tcBorders>
              <w:top w:val="single" w:sz="4" w:space="0" w:color="000000"/>
              <w:left w:val="single" w:sz="4" w:space="0" w:color="000000"/>
              <w:bottom w:val="single" w:sz="4" w:space="0" w:color="000000"/>
            </w:tcBorders>
            <w:shd w:color="auto" w:fill="auto" w:val="clear"/>
          </w:tcPr>
          <w:p>
            <w:pPr>
              <w:pStyle w:val="Normal"/>
              <w:snapToGrid w:val="false"/>
              <w:jc w:val="both"/>
              <w:rPr>
                <w:b/>
                <w:bCs/>
                <w:sz w:val="28"/>
                <w:szCs w:val="28"/>
                <w:lang w:val="uk-UA"/>
              </w:rPr>
            </w:pPr>
            <w:r>
              <w:rPr>
                <w:b/>
                <w:bCs/>
                <w:sz w:val="28"/>
                <w:szCs w:val="28"/>
                <w:lang w:val="uk-UA"/>
              </w:rPr>
            </w:r>
          </w:p>
        </w:tc>
        <w:tc>
          <w:tcPr>
            <w:tcW w:w="1136"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b/>
                <w:bCs/>
              </w:rPr>
              <w:t>позики банків та фінансових установ</w:t>
            </w:r>
          </w:p>
        </w:tc>
        <w:tc>
          <w:tcPr>
            <w:tcW w:w="991"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b/>
                <w:bCs/>
              </w:rPr>
              <w:t>позикиза рахунок ресурсів єдиного казначейського рахунка</w:t>
            </w:r>
          </w:p>
        </w:tc>
        <w:tc>
          <w:tcPr>
            <w:tcW w:w="992"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jc w:val="both"/>
              <w:rPr>
                <w:b/>
                <w:bCs/>
                <w:sz w:val="28"/>
                <w:szCs w:val="28"/>
                <w:lang w:val="uk-UA"/>
              </w:rPr>
            </w:pPr>
            <w:r>
              <w:rPr>
                <w:b/>
                <w:bCs/>
                <w:sz w:val="28"/>
                <w:szCs w:val="28"/>
                <w:lang w:val="uk-UA"/>
              </w:rPr>
            </w:r>
          </w:p>
        </w:tc>
      </w:tr>
      <w:tr>
        <w:trPr/>
        <w:tc>
          <w:tcPr>
            <w:tcW w:w="852" w:type="dxa"/>
            <w:tcBorders>
              <w:top w:val="single" w:sz="4" w:space="0" w:color="000000"/>
              <w:left w:val="single" w:sz="4" w:space="0" w:color="000000"/>
              <w:bottom w:val="single" w:sz="4" w:space="0" w:color="000000"/>
            </w:tcBorders>
            <w:shd w:color="auto" w:fill="auto" w:val="clear"/>
          </w:tcPr>
          <w:p>
            <w:pPr>
              <w:pStyle w:val="Normal"/>
              <w:jc w:val="right"/>
              <w:rPr/>
            </w:pPr>
            <w:r>
              <w:rPr>
                <w:rFonts w:cs="Times New Roman CYR" w:ascii="Times New Roman CYR" w:hAnsi="Times New Roman CYR"/>
                <w:b/>
                <w:bCs/>
              </w:rPr>
              <w:t>400000</w:t>
            </w:r>
          </w:p>
        </w:tc>
        <w:tc>
          <w:tcPr>
            <w:tcW w:w="1843" w:type="dxa"/>
            <w:tcBorders>
              <w:top w:val="single" w:sz="4" w:space="0" w:color="000000"/>
              <w:left w:val="single" w:sz="4" w:space="0" w:color="000000"/>
              <w:bottom w:val="single" w:sz="4" w:space="0" w:color="000000"/>
            </w:tcBorders>
            <w:shd w:color="auto" w:fill="auto" w:val="clear"/>
          </w:tcPr>
          <w:p>
            <w:pPr>
              <w:pStyle w:val="Normal"/>
              <w:rPr/>
            </w:pPr>
            <w:r>
              <w:rPr>
                <w:rFonts w:cs="Times New Roman CYR" w:ascii="Times New Roman CYR" w:hAnsi="Times New Roman CYR"/>
                <w:sz w:val="18"/>
                <w:szCs w:val="18"/>
              </w:rPr>
              <w:t>Внутрішній борг</w:t>
            </w:r>
          </w:p>
        </w:tc>
        <w:tc>
          <w:tcPr>
            <w:tcW w:w="1133" w:type="dxa"/>
            <w:tcBorders>
              <w:top w:val="single" w:sz="4" w:space="0" w:color="000000"/>
              <w:left w:val="single" w:sz="4" w:space="0" w:color="000000"/>
              <w:bottom w:val="single" w:sz="4" w:space="0" w:color="000000"/>
            </w:tcBorders>
            <w:shd w:color="auto" w:fill="auto" w:val="clear"/>
          </w:tcPr>
          <w:p>
            <w:pPr>
              <w:pStyle w:val="Normal"/>
              <w:jc w:val="right"/>
              <w:rPr/>
            </w:pPr>
            <w:r>
              <w:rPr>
                <w:b/>
                <w:sz w:val="18"/>
                <w:szCs w:val="18"/>
                <w:lang w:val="uk-UA"/>
              </w:rPr>
              <w:t>555 536,9</w:t>
            </w:r>
          </w:p>
        </w:tc>
        <w:tc>
          <w:tcPr>
            <w:tcW w:w="1134" w:type="dxa"/>
            <w:tcBorders>
              <w:top w:val="single" w:sz="4" w:space="0" w:color="000000"/>
              <w:left w:val="single" w:sz="4" w:space="0" w:color="000000"/>
              <w:bottom w:val="single" w:sz="4" w:space="0" w:color="000000"/>
            </w:tcBorders>
            <w:shd w:color="auto" w:fill="auto" w:val="clear"/>
          </w:tcPr>
          <w:p>
            <w:pPr>
              <w:pStyle w:val="Normal"/>
              <w:jc w:val="right"/>
              <w:rPr>
                <w:b/>
                <w:sz w:val="18"/>
                <w:szCs w:val="18"/>
              </w:rPr>
            </w:pPr>
            <w:r>
              <w:rPr>
                <w:b/>
                <w:sz w:val="18"/>
                <w:szCs w:val="18"/>
                <w:lang w:val="uk-UA"/>
              </w:rPr>
              <w:t>485 814,5</w:t>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pPr>
            <w:r>
              <w:rPr>
                <w:b/>
                <w:sz w:val="18"/>
                <w:szCs w:val="18"/>
                <w:lang w:val="uk-UA"/>
              </w:rPr>
              <w:t>69 722,4</w:t>
            </w:r>
          </w:p>
        </w:tc>
        <w:tc>
          <w:tcPr>
            <w:tcW w:w="991" w:type="dxa"/>
            <w:tcBorders>
              <w:top w:val="single" w:sz="4" w:space="0" w:color="000000"/>
              <w:left w:val="single" w:sz="4" w:space="0" w:color="000000"/>
              <w:bottom w:val="single" w:sz="4" w:space="0" w:color="000000"/>
            </w:tcBorders>
            <w:shd w:color="auto" w:fill="auto" w:val="clear"/>
          </w:tcPr>
          <w:p>
            <w:pPr>
              <w:pStyle w:val="Normal"/>
              <w:jc w:val="right"/>
              <w:rPr/>
            </w:pPr>
            <w:r>
              <w:rPr>
                <w:b/>
                <w:sz w:val="18"/>
                <w:szCs w:val="18"/>
                <w:lang w:val="uk-UA"/>
              </w:rPr>
              <w:t>208 775,1</w:t>
            </w:r>
          </w:p>
        </w:tc>
        <w:tc>
          <w:tcPr>
            <w:tcW w:w="1136" w:type="dxa"/>
            <w:tcBorders>
              <w:top w:val="single" w:sz="4" w:space="0" w:color="000000"/>
              <w:left w:val="single" w:sz="4" w:space="0" w:color="000000"/>
              <w:bottom w:val="single" w:sz="4" w:space="0" w:color="000000"/>
            </w:tcBorders>
            <w:shd w:color="auto" w:fill="auto" w:val="clear"/>
          </w:tcPr>
          <w:p>
            <w:pPr>
              <w:pStyle w:val="Normal"/>
              <w:snapToGrid w:val="false"/>
              <w:jc w:val="right"/>
              <w:rPr/>
            </w:pPr>
            <w:r>
              <w:rPr>
                <w:b/>
                <w:sz w:val="18"/>
                <w:szCs w:val="18"/>
                <w:lang w:val="uk-UA"/>
              </w:rPr>
              <w:t>139 052,7</w:t>
            </w:r>
          </w:p>
        </w:tc>
        <w:tc>
          <w:tcPr>
            <w:tcW w:w="991" w:type="dxa"/>
            <w:tcBorders>
              <w:top w:val="single" w:sz="4" w:space="0" w:color="000000"/>
              <w:left w:val="single" w:sz="4" w:space="0" w:color="000000"/>
              <w:bottom w:val="single" w:sz="4" w:space="0" w:color="000000"/>
            </w:tcBorders>
            <w:shd w:color="auto" w:fill="auto" w:val="clear"/>
          </w:tcPr>
          <w:p>
            <w:pPr>
              <w:pStyle w:val="Normal"/>
              <w:jc w:val="right"/>
              <w:rPr/>
            </w:pPr>
            <w:r>
              <w:rPr>
                <w:b/>
                <w:sz w:val="18"/>
                <w:szCs w:val="18"/>
                <w:lang w:val="uk-UA"/>
              </w:rPr>
              <w:t>69 722,4</w:t>
            </w:r>
          </w:p>
        </w:tc>
        <w:tc>
          <w:tcPr>
            <w:tcW w:w="992"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jc w:val="right"/>
              <w:rPr/>
            </w:pPr>
            <w:r>
              <w:rPr>
                <w:b/>
                <w:sz w:val="18"/>
                <w:szCs w:val="18"/>
                <w:lang w:val="uk-UA"/>
              </w:rPr>
              <w:t>346 761,8</w:t>
            </w:r>
          </w:p>
        </w:tc>
      </w:tr>
      <w:tr>
        <w:trPr/>
        <w:tc>
          <w:tcPr>
            <w:tcW w:w="852" w:type="dxa"/>
            <w:tcBorders>
              <w:top w:val="single" w:sz="4" w:space="0" w:color="000000"/>
              <w:left w:val="single" w:sz="4" w:space="0" w:color="000000"/>
              <w:bottom w:val="single" w:sz="4" w:space="0" w:color="000000"/>
            </w:tcBorders>
            <w:shd w:color="auto" w:fill="auto" w:val="clear"/>
          </w:tcPr>
          <w:p>
            <w:pPr>
              <w:pStyle w:val="Normal"/>
              <w:jc w:val="right"/>
              <w:rPr/>
            </w:pPr>
            <w:r>
              <w:rPr>
                <w:rFonts w:cs="Times New Roman CYR" w:ascii="Times New Roman CYR" w:hAnsi="Times New Roman CYR"/>
                <w:b/>
                <w:bCs/>
              </w:rPr>
              <w:t>4</w:t>
            </w:r>
            <w:r>
              <w:rPr>
                <w:rFonts w:cs="Times New Roman CYR" w:ascii="Times New Roman CYR" w:hAnsi="Times New Roman CYR"/>
                <w:b/>
                <w:bCs/>
                <w:lang w:val="uk-UA"/>
              </w:rPr>
              <w:t>1</w:t>
            </w:r>
            <w:r>
              <w:rPr>
                <w:rFonts w:cs="Times New Roman CYR" w:ascii="Times New Roman CYR" w:hAnsi="Times New Roman CYR"/>
                <w:b/>
                <w:bCs/>
              </w:rPr>
              <w:t>0000</w:t>
            </w:r>
          </w:p>
        </w:tc>
        <w:tc>
          <w:tcPr>
            <w:tcW w:w="1843" w:type="dxa"/>
            <w:tcBorders>
              <w:top w:val="single" w:sz="4" w:space="0" w:color="000000"/>
              <w:left w:val="single" w:sz="4" w:space="0" w:color="000000"/>
              <w:bottom w:val="single" w:sz="4" w:space="0" w:color="000000"/>
            </w:tcBorders>
            <w:shd w:color="auto" w:fill="auto" w:val="clear"/>
          </w:tcPr>
          <w:p>
            <w:pPr>
              <w:pStyle w:val="Normal"/>
              <w:rPr/>
            </w:pPr>
            <w:r>
              <w:rPr>
                <w:rFonts w:cs="Times New Roman CYR" w:ascii="Times New Roman CYR" w:hAnsi="Times New Roman CYR"/>
                <w:sz w:val="18"/>
                <w:szCs w:val="18"/>
              </w:rPr>
              <w:t xml:space="preserve">Заборгованість за </w:t>
            </w:r>
            <w:r>
              <w:rPr>
                <w:rFonts w:cs="Times New Roman CYR" w:ascii="Times New Roman CYR" w:hAnsi="Times New Roman CYR"/>
                <w:sz w:val="18"/>
                <w:szCs w:val="18"/>
                <w:lang w:val="uk-UA"/>
              </w:rPr>
              <w:t>довг</w:t>
            </w:r>
            <w:r>
              <w:rPr>
                <w:rFonts w:cs="Times New Roman CYR" w:ascii="Times New Roman CYR" w:hAnsi="Times New Roman CYR"/>
                <w:sz w:val="18"/>
                <w:szCs w:val="18"/>
              </w:rPr>
              <w:t>остроковими зобов'язаннями</w:t>
            </w:r>
          </w:p>
        </w:tc>
        <w:tc>
          <w:tcPr>
            <w:tcW w:w="1133" w:type="dxa"/>
            <w:tcBorders>
              <w:top w:val="single" w:sz="4" w:space="0" w:color="000000"/>
              <w:left w:val="single" w:sz="4" w:space="0" w:color="000000"/>
              <w:bottom w:val="single" w:sz="4" w:space="0" w:color="000000"/>
            </w:tcBorders>
            <w:shd w:color="auto" w:fill="auto" w:val="clear"/>
          </w:tcPr>
          <w:p>
            <w:pPr>
              <w:pStyle w:val="Normal"/>
              <w:snapToGrid w:val="false"/>
              <w:jc w:val="right"/>
              <w:rPr>
                <w:sz w:val="18"/>
                <w:szCs w:val="18"/>
                <w:lang w:val="uk-UA"/>
              </w:rPr>
            </w:pPr>
            <w:r>
              <w:rPr>
                <w:sz w:val="18"/>
                <w:szCs w:val="18"/>
                <w:lang w:val="uk-UA"/>
              </w:rPr>
            </w:r>
          </w:p>
          <w:p>
            <w:pPr>
              <w:pStyle w:val="Normal"/>
              <w:jc w:val="right"/>
              <w:rPr>
                <w:sz w:val="18"/>
                <w:szCs w:val="18"/>
                <w:lang w:val="uk-UA"/>
              </w:rPr>
            </w:pPr>
            <w:r>
              <w:rPr>
                <w:sz w:val="18"/>
                <w:szCs w:val="18"/>
                <w:lang w:val="uk-UA"/>
              </w:rPr>
              <w:t>485 814,5</w:t>
            </w:r>
          </w:p>
        </w:tc>
        <w:tc>
          <w:tcPr>
            <w:tcW w:w="1134" w:type="dxa"/>
            <w:tcBorders>
              <w:top w:val="single" w:sz="4" w:space="0" w:color="000000"/>
              <w:left w:val="single" w:sz="4" w:space="0" w:color="000000"/>
              <w:bottom w:val="single" w:sz="4" w:space="0" w:color="000000"/>
            </w:tcBorders>
            <w:shd w:color="auto" w:fill="auto" w:val="clear"/>
          </w:tcPr>
          <w:p>
            <w:pPr>
              <w:pStyle w:val="Normal"/>
              <w:snapToGrid w:val="false"/>
              <w:jc w:val="right"/>
              <w:rPr>
                <w:sz w:val="18"/>
                <w:szCs w:val="18"/>
                <w:lang w:val="uk-UA"/>
              </w:rPr>
            </w:pPr>
            <w:r>
              <w:rPr>
                <w:sz w:val="18"/>
                <w:szCs w:val="18"/>
                <w:lang w:val="uk-UA"/>
              </w:rPr>
            </w:r>
          </w:p>
          <w:p>
            <w:pPr>
              <w:pStyle w:val="Normal"/>
              <w:snapToGrid w:val="false"/>
              <w:jc w:val="right"/>
              <w:rPr>
                <w:sz w:val="18"/>
                <w:szCs w:val="18"/>
              </w:rPr>
            </w:pPr>
            <w:r>
              <w:rPr>
                <w:sz w:val="18"/>
                <w:szCs w:val="18"/>
                <w:lang w:val="uk-UA"/>
              </w:rPr>
              <w:t>485 814,5</w:t>
            </w:r>
          </w:p>
        </w:tc>
        <w:tc>
          <w:tcPr>
            <w:tcW w:w="851" w:type="dxa"/>
            <w:tcBorders>
              <w:top w:val="single" w:sz="4" w:space="0" w:color="000000"/>
              <w:left w:val="single" w:sz="4" w:space="0" w:color="000000"/>
              <w:bottom w:val="single" w:sz="4" w:space="0" w:color="000000"/>
            </w:tcBorders>
            <w:shd w:color="auto" w:fill="auto" w:val="clear"/>
          </w:tcPr>
          <w:p>
            <w:pPr>
              <w:pStyle w:val="Normal"/>
              <w:snapToGrid w:val="false"/>
              <w:jc w:val="right"/>
              <w:rPr>
                <w:rFonts w:ascii="Times New Roman CYR" w:hAnsi="Times New Roman CYR" w:cs="Times New Roman CYR"/>
                <w:sz w:val="18"/>
                <w:szCs w:val="18"/>
                <w:lang w:val="uk-UA"/>
              </w:rPr>
            </w:pPr>
            <w:r>
              <w:rPr>
                <w:rFonts w:cs="Times New Roman CYR" w:ascii="Times New Roman CYR" w:hAnsi="Times New Roman CYR"/>
                <w:sz w:val="18"/>
                <w:szCs w:val="18"/>
                <w:lang w:val="uk-UA"/>
              </w:rPr>
            </w:r>
          </w:p>
        </w:tc>
        <w:tc>
          <w:tcPr>
            <w:tcW w:w="991" w:type="dxa"/>
            <w:tcBorders>
              <w:top w:val="single" w:sz="4" w:space="0" w:color="000000"/>
              <w:left w:val="single" w:sz="4" w:space="0" w:color="000000"/>
              <w:bottom w:val="single" w:sz="4" w:space="0" w:color="000000"/>
            </w:tcBorders>
            <w:shd w:color="auto" w:fill="auto" w:val="clear"/>
          </w:tcPr>
          <w:p>
            <w:pPr>
              <w:pStyle w:val="Normal"/>
              <w:snapToGrid w:val="false"/>
              <w:jc w:val="right"/>
              <w:rPr>
                <w:rFonts w:ascii="Times New Roman CYR" w:hAnsi="Times New Roman CYR" w:cs="Times New Roman CYR"/>
                <w:sz w:val="18"/>
                <w:szCs w:val="18"/>
                <w:lang w:val="uk-UA"/>
              </w:rPr>
            </w:pPr>
            <w:r>
              <w:rPr>
                <w:rFonts w:cs="Times New Roman CYR" w:ascii="Times New Roman CYR" w:hAnsi="Times New Roman CYR"/>
                <w:sz w:val="18"/>
                <w:szCs w:val="18"/>
                <w:lang w:val="uk-UA"/>
              </w:rPr>
            </w:r>
          </w:p>
          <w:p>
            <w:pPr>
              <w:pStyle w:val="Normal"/>
              <w:jc w:val="right"/>
              <w:rPr/>
            </w:pPr>
            <w:r>
              <w:rPr>
                <w:sz w:val="18"/>
                <w:szCs w:val="18"/>
                <w:lang w:val="uk-UA"/>
              </w:rPr>
              <w:t>139 052,7</w:t>
            </w:r>
          </w:p>
        </w:tc>
        <w:tc>
          <w:tcPr>
            <w:tcW w:w="1136" w:type="dxa"/>
            <w:tcBorders>
              <w:top w:val="single" w:sz="4" w:space="0" w:color="000000"/>
              <w:left w:val="single" w:sz="4" w:space="0" w:color="000000"/>
              <w:bottom w:val="single" w:sz="4" w:space="0" w:color="000000"/>
            </w:tcBorders>
            <w:shd w:color="auto" w:fill="auto" w:val="clear"/>
          </w:tcPr>
          <w:p>
            <w:pPr>
              <w:pStyle w:val="Normal"/>
              <w:snapToGrid w:val="false"/>
              <w:jc w:val="right"/>
              <w:rPr>
                <w:sz w:val="18"/>
                <w:szCs w:val="18"/>
                <w:lang w:val="uk-UA"/>
              </w:rPr>
            </w:pPr>
            <w:r>
              <w:rPr>
                <w:sz w:val="18"/>
                <w:szCs w:val="18"/>
                <w:lang w:val="uk-UA"/>
              </w:rPr>
            </w:r>
          </w:p>
          <w:p>
            <w:pPr>
              <w:pStyle w:val="Normal"/>
              <w:snapToGrid w:val="false"/>
              <w:jc w:val="right"/>
              <w:rPr/>
            </w:pPr>
            <w:r>
              <w:rPr>
                <w:sz w:val="18"/>
                <w:szCs w:val="18"/>
                <w:lang w:val="uk-UA"/>
              </w:rPr>
              <w:t>139 052,7</w:t>
            </w:r>
          </w:p>
        </w:tc>
        <w:tc>
          <w:tcPr>
            <w:tcW w:w="991" w:type="dxa"/>
            <w:tcBorders>
              <w:top w:val="single" w:sz="4" w:space="0" w:color="000000"/>
              <w:left w:val="single" w:sz="4" w:space="0" w:color="000000"/>
              <w:bottom w:val="single" w:sz="4" w:space="0" w:color="000000"/>
            </w:tcBorders>
            <w:shd w:color="auto" w:fill="auto" w:val="clear"/>
          </w:tcPr>
          <w:p>
            <w:pPr>
              <w:pStyle w:val="Normal"/>
              <w:snapToGrid w:val="false"/>
              <w:jc w:val="right"/>
              <w:rPr>
                <w:rFonts w:ascii="Times New Roman CYR" w:hAnsi="Times New Roman CYR" w:cs="Times New Roman CYR"/>
                <w:sz w:val="18"/>
                <w:szCs w:val="18"/>
                <w:lang w:val="uk-UA"/>
              </w:rPr>
            </w:pPr>
            <w:r>
              <w:rPr>
                <w:rFonts w:cs="Times New Roman CYR" w:ascii="Times New Roman CYR" w:hAnsi="Times New Roman CYR"/>
                <w:sz w:val="18"/>
                <w:szCs w:val="18"/>
                <w:lang w:val="uk-UA"/>
              </w:rPr>
            </w:r>
          </w:p>
        </w:tc>
        <w:tc>
          <w:tcPr>
            <w:tcW w:w="992"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jc w:val="right"/>
              <w:rPr>
                <w:rFonts w:ascii="Times New Roman CYR" w:hAnsi="Times New Roman CYR" w:cs="Times New Roman CYR"/>
                <w:sz w:val="18"/>
                <w:szCs w:val="18"/>
                <w:lang w:val="uk-UA"/>
              </w:rPr>
            </w:pPr>
            <w:r>
              <w:rPr>
                <w:rFonts w:cs="Times New Roman CYR" w:ascii="Times New Roman CYR" w:hAnsi="Times New Roman CYR"/>
                <w:sz w:val="18"/>
                <w:szCs w:val="18"/>
                <w:lang w:val="uk-UA"/>
              </w:rPr>
            </w:r>
          </w:p>
          <w:p>
            <w:pPr>
              <w:pStyle w:val="Normal"/>
              <w:snapToGrid w:val="false"/>
              <w:jc w:val="right"/>
              <w:rPr>
                <w:sz w:val="18"/>
                <w:szCs w:val="18"/>
                <w:lang w:val="uk-UA"/>
              </w:rPr>
            </w:pPr>
            <w:r>
              <w:rPr>
                <w:sz w:val="18"/>
                <w:szCs w:val="18"/>
                <w:lang w:val="uk-UA"/>
              </w:rPr>
              <w:t>346 761,8</w:t>
            </w:r>
          </w:p>
        </w:tc>
      </w:tr>
      <w:tr>
        <w:trPr/>
        <w:tc>
          <w:tcPr>
            <w:tcW w:w="852" w:type="dxa"/>
            <w:tcBorders>
              <w:top w:val="single" w:sz="4" w:space="0" w:color="000000"/>
              <w:left w:val="single" w:sz="4" w:space="0" w:color="000000"/>
              <w:bottom w:val="single" w:sz="4" w:space="0" w:color="000000"/>
            </w:tcBorders>
            <w:shd w:color="auto" w:fill="auto" w:val="clear"/>
          </w:tcPr>
          <w:p>
            <w:pPr>
              <w:pStyle w:val="Normal"/>
              <w:jc w:val="right"/>
              <w:rPr/>
            </w:pPr>
            <w:r>
              <w:rPr>
                <w:rFonts w:cs="Times New Roman CYR" w:ascii="Times New Roman CYR" w:hAnsi="Times New Roman CYR"/>
                <w:b/>
                <w:bCs/>
              </w:rPr>
              <w:t>420000</w:t>
            </w:r>
          </w:p>
        </w:tc>
        <w:tc>
          <w:tcPr>
            <w:tcW w:w="1843" w:type="dxa"/>
            <w:tcBorders>
              <w:top w:val="single" w:sz="4" w:space="0" w:color="000000"/>
              <w:left w:val="single" w:sz="4" w:space="0" w:color="000000"/>
              <w:bottom w:val="single" w:sz="4" w:space="0" w:color="000000"/>
            </w:tcBorders>
            <w:shd w:color="auto" w:fill="auto" w:val="clear"/>
          </w:tcPr>
          <w:p>
            <w:pPr>
              <w:pStyle w:val="Normal"/>
              <w:rPr/>
            </w:pPr>
            <w:r>
              <w:rPr>
                <w:rFonts w:cs="Times New Roman CYR" w:ascii="Times New Roman CYR" w:hAnsi="Times New Roman CYR"/>
                <w:sz w:val="18"/>
                <w:szCs w:val="18"/>
              </w:rPr>
              <w:t>Заборгованість за середньостроковими зобов'язаннями</w:t>
            </w:r>
          </w:p>
        </w:tc>
        <w:tc>
          <w:tcPr>
            <w:tcW w:w="1133" w:type="dxa"/>
            <w:tcBorders>
              <w:top w:val="single" w:sz="4" w:space="0" w:color="000000"/>
              <w:left w:val="single" w:sz="4" w:space="0" w:color="000000"/>
              <w:bottom w:val="single" w:sz="4" w:space="0" w:color="000000"/>
            </w:tcBorders>
            <w:shd w:color="auto" w:fill="auto" w:val="clear"/>
          </w:tcPr>
          <w:p>
            <w:pPr>
              <w:pStyle w:val="Normal"/>
              <w:snapToGrid w:val="false"/>
              <w:jc w:val="right"/>
              <w:rPr>
                <w:sz w:val="18"/>
                <w:szCs w:val="18"/>
                <w:lang w:val="uk-UA"/>
              </w:rPr>
            </w:pPr>
            <w:r>
              <w:rPr>
                <w:sz w:val="18"/>
                <w:szCs w:val="18"/>
                <w:lang w:val="uk-UA"/>
              </w:rPr>
            </w:r>
          </w:p>
          <w:p>
            <w:pPr>
              <w:pStyle w:val="Normal"/>
              <w:jc w:val="right"/>
              <w:rPr/>
            </w:pPr>
            <w:r>
              <w:rPr>
                <w:sz w:val="18"/>
                <w:szCs w:val="18"/>
                <w:lang w:val="uk-UA"/>
              </w:rPr>
              <w:t>69 722,4</w:t>
            </w:r>
          </w:p>
        </w:tc>
        <w:tc>
          <w:tcPr>
            <w:tcW w:w="1134" w:type="dxa"/>
            <w:tcBorders>
              <w:top w:val="single" w:sz="4" w:space="0" w:color="000000"/>
              <w:left w:val="single" w:sz="4" w:space="0" w:color="000000"/>
              <w:bottom w:val="single" w:sz="4" w:space="0" w:color="000000"/>
            </w:tcBorders>
            <w:shd w:color="auto" w:fill="auto" w:val="clear"/>
          </w:tcPr>
          <w:p>
            <w:pPr>
              <w:pStyle w:val="Normal"/>
              <w:snapToGrid w:val="false"/>
              <w:jc w:val="right"/>
              <w:rPr>
                <w:rFonts w:ascii="Times New Roman CYR" w:hAnsi="Times New Roman CYR" w:cs="Times New Roman CYR"/>
                <w:sz w:val="18"/>
                <w:szCs w:val="18"/>
                <w:lang w:val="uk-UA"/>
              </w:rPr>
            </w:pPr>
            <w:r>
              <w:rPr>
                <w:rFonts w:cs="Times New Roman CYR" w:ascii="Times New Roman CYR" w:hAnsi="Times New Roman CYR"/>
                <w:sz w:val="18"/>
                <w:szCs w:val="18"/>
                <w:lang w:val="uk-UA"/>
              </w:rPr>
            </w:r>
          </w:p>
        </w:tc>
        <w:tc>
          <w:tcPr>
            <w:tcW w:w="851" w:type="dxa"/>
            <w:tcBorders>
              <w:top w:val="single" w:sz="4" w:space="0" w:color="000000"/>
              <w:left w:val="single" w:sz="4" w:space="0" w:color="000000"/>
              <w:bottom w:val="single" w:sz="4" w:space="0" w:color="000000"/>
            </w:tcBorders>
            <w:shd w:color="auto" w:fill="auto" w:val="clear"/>
          </w:tcPr>
          <w:p>
            <w:pPr>
              <w:pStyle w:val="Normal"/>
              <w:snapToGrid w:val="false"/>
              <w:jc w:val="right"/>
              <w:rPr>
                <w:rFonts w:ascii="Times New Roman CYR" w:hAnsi="Times New Roman CYR" w:cs="Times New Roman CYR"/>
                <w:sz w:val="18"/>
                <w:szCs w:val="18"/>
                <w:lang w:val="uk-UA"/>
              </w:rPr>
            </w:pPr>
            <w:r>
              <w:rPr>
                <w:rFonts w:cs="Times New Roman CYR" w:ascii="Times New Roman CYR" w:hAnsi="Times New Roman CYR"/>
                <w:sz w:val="18"/>
                <w:szCs w:val="18"/>
                <w:lang w:val="uk-UA"/>
              </w:rPr>
            </w:r>
          </w:p>
          <w:p>
            <w:pPr>
              <w:pStyle w:val="Normal"/>
              <w:jc w:val="right"/>
              <w:rPr/>
            </w:pPr>
            <w:r>
              <w:rPr>
                <w:sz w:val="18"/>
                <w:szCs w:val="18"/>
                <w:lang w:val="uk-UA"/>
              </w:rPr>
              <w:t>69 722,4</w:t>
            </w:r>
          </w:p>
        </w:tc>
        <w:tc>
          <w:tcPr>
            <w:tcW w:w="991" w:type="dxa"/>
            <w:tcBorders>
              <w:top w:val="single" w:sz="4" w:space="0" w:color="000000"/>
              <w:left w:val="single" w:sz="4" w:space="0" w:color="000000"/>
              <w:bottom w:val="single" w:sz="4" w:space="0" w:color="000000"/>
            </w:tcBorders>
            <w:shd w:color="auto" w:fill="auto" w:val="clear"/>
          </w:tcPr>
          <w:p>
            <w:pPr>
              <w:pStyle w:val="Normal"/>
              <w:snapToGrid w:val="false"/>
              <w:jc w:val="right"/>
              <w:rPr>
                <w:sz w:val="18"/>
                <w:szCs w:val="18"/>
                <w:lang w:val="uk-UA"/>
              </w:rPr>
            </w:pPr>
            <w:r>
              <w:rPr>
                <w:sz w:val="18"/>
                <w:szCs w:val="18"/>
                <w:lang w:val="uk-UA"/>
              </w:rPr>
            </w:r>
          </w:p>
          <w:p>
            <w:pPr>
              <w:pStyle w:val="Normal"/>
              <w:jc w:val="right"/>
              <w:rPr/>
            </w:pPr>
            <w:r>
              <w:rPr>
                <w:sz w:val="18"/>
                <w:szCs w:val="18"/>
                <w:lang w:val="uk-UA"/>
              </w:rPr>
              <w:t>69 722,4</w:t>
            </w:r>
          </w:p>
        </w:tc>
        <w:tc>
          <w:tcPr>
            <w:tcW w:w="1136" w:type="dxa"/>
            <w:tcBorders>
              <w:top w:val="single" w:sz="4" w:space="0" w:color="000000"/>
              <w:left w:val="single" w:sz="4" w:space="0" w:color="000000"/>
              <w:bottom w:val="single" w:sz="4" w:space="0" w:color="000000"/>
            </w:tcBorders>
            <w:shd w:color="auto" w:fill="auto" w:val="clear"/>
          </w:tcPr>
          <w:p>
            <w:pPr>
              <w:pStyle w:val="Normal"/>
              <w:snapToGrid w:val="false"/>
              <w:jc w:val="right"/>
              <w:rPr>
                <w:rFonts w:ascii="Times New Roman CYR" w:hAnsi="Times New Roman CYR" w:cs="Times New Roman CYR"/>
                <w:sz w:val="18"/>
                <w:szCs w:val="18"/>
                <w:lang w:val="uk-UA"/>
              </w:rPr>
            </w:pPr>
            <w:r>
              <w:rPr>
                <w:rFonts w:cs="Times New Roman CYR" w:ascii="Times New Roman CYR" w:hAnsi="Times New Roman CYR"/>
                <w:sz w:val="18"/>
                <w:szCs w:val="18"/>
                <w:lang w:val="uk-UA"/>
              </w:rPr>
            </w:r>
          </w:p>
        </w:tc>
        <w:tc>
          <w:tcPr>
            <w:tcW w:w="991" w:type="dxa"/>
            <w:tcBorders>
              <w:top w:val="single" w:sz="4" w:space="0" w:color="000000"/>
              <w:left w:val="single" w:sz="4" w:space="0" w:color="000000"/>
              <w:bottom w:val="single" w:sz="4" w:space="0" w:color="000000"/>
            </w:tcBorders>
            <w:shd w:color="auto" w:fill="auto" w:val="clear"/>
          </w:tcPr>
          <w:p>
            <w:pPr>
              <w:pStyle w:val="Normal"/>
              <w:snapToGrid w:val="false"/>
              <w:jc w:val="right"/>
              <w:rPr>
                <w:rFonts w:ascii="Times New Roman CYR" w:hAnsi="Times New Roman CYR" w:cs="Times New Roman CYR"/>
                <w:sz w:val="18"/>
                <w:szCs w:val="18"/>
                <w:lang w:val="uk-UA"/>
              </w:rPr>
            </w:pPr>
            <w:r>
              <w:rPr>
                <w:rFonts w:cs="Times New Roman CYR" w:ascii="Times New Roman CYR" w:hAnsi="Times New Roman CYR"/>
                <w:sz w:val="18"/>
                <w:szCs w:val="18"/>
                <w:lang w:val="uk-UA"/>
              </w:rPr>
            </w:r>
          </w:p>
          <w:p>
            <w:pPr>
              <w:pStyle w:val="Normal"/>
              <w:jc w:val="right"/>
              <w:rPr/>
            </w:pPr>
            <w:r>
              <w:rPr>
                <w:sz w:val="18"/>
                <w:szCs w:val="18"/>
                <w:lang w:val="uk-UA"/>
              </w:rPr>
              <w:t>69 722,4</w:t>
            </w:r>
          </w:p>
        </w:tc>
        <w:tc>
          <w:tcPr>
            <w:tcW w:w="992"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jc w:val="right"/>
              <w:rPr>
                <w:rFonts w:ascii="Times New Roman CYR" w:hAnsi="Times New Roman CYR" w:cs="Times New Roman CYR"/>
                <w:sz w:val="18"/>
                <w:szCs w:val="18"/>
                <w:lang w:val="uk-UA"/>
              </w:rPr>
            </w:pPr>
            <w:r>
              <w:rPr>
                <w:rFonts w:cs="Times New Roman CYR" w:ascii="Times New Roman CYR" w:hAnsi="Times New Roman CYR"/>
                <w:sz w:val="18"/>
                <w:szCs w:val="18"/>
                <w:lang w:val="uk-UA"/>
              </w:rPr>
            </w:r>
          </w:p>
        </w:tc>
      </w:tr>
      <w:tr>
        <w:trPr/>
        <w:tc>
          <w:tcPr>
            <w:tcW w:w="852" w:type="dxa"/>
            <w:tcBorders>
              <w:top w:val="single" w:sz="4" w:space="0" w:color="000000"/>
              <w:left w:val="single" w:sz="4" w:space="0" w:color="000000"/>
              <w:bottom w:val="single" w:sz="4" w:space="0" w:color="000000"/>
            </w:tcBorders>
            <w:shd w:color="auto" w:fill="auto" w:val="clear"/>
          </w:tcPr>
          <w:p>
            <w:pPr>
              <w:pStyle w:val="Normal"/>
              <w:snapToGrid w:val="false"/>
              <w:jc w:val="right"/>
              <w:rPr>
                <w:rFonts w:ascii="Times New Roman CYR" w:hAnsi="Times New Roman CYR" w:cs="Times New Roman CYR"/>
                <w:b/>
                <w:bCs/>
                <w:sz w:val="28"/>
                <w:szCs w:val="28"/>
                <w:lang w:val="uk-UA"/>
              </w:rPr>
            </w:pPr>
            <w:r>
              <w:rPr>
                <w:rFonts w:cs="Times New Roman CYR" w:ascii="Times New Roman CYR" w:hAnsi="Times New Roman CYR"/>
                <w:b/>
                <w:bCs/>
                <w:sz w:val="28"/>
                <w:szCs w:val="28"/>
                <w:lang w:val="uk-UA"/>
              </w:rPr>
            </w:r>
          </w:p>
        </w:tc>
        <w:tc>
          <w:tcPr>
            <w:tcW w:w="1843" w:type="dxa"/>
            <w:tcBorders>
              <w:top w:val="single" w:sz="4" w:space="0" w:color="000000"/>
              <w:left w:val="single" w:sz="4" w:space="0" w:color="000000"/>
              <w:bottom w:val="single" w:sz="4" w:space="0" w:color="000000"/>
            </w:tcBorders>
            <w:shd w:color="auto" w:fill="auto" w:val="clear"/>
          </w:tcPr>
          <w:p>
            <w:pPr>
              <w:pStyle w:val="Normal"/>
              <w:rPr/>
            </w:pPr>
            <w:r>
              <w:rPr>
                <w:rFonts w:cs="Times New Roman CYR" w:ascii="Times New Roman CYR" w:hAnsi="Times New Roman CYR"/>
                <w:b/>
                <w:sz w:val="18"/>
                <w:szCs w:val="18"/>
              </w:rPr>
              <w:t>Усього</w:t>
            </w:r>
          </w:p>
        </w:tc>
        <w:tc>
          <w:tcPr>
            <w:tcW w:w="1133" w:type="dxa"/>
            <w:tcBorders>
              <w:top w:val="single" w:sz="4" w:space="0" w:color="000000"/>
              <w:left w:val="single" w:sz="4" w:space="0" w:color="000000"/>
              <w:bottom w:val="single" w:sz="4" w:space="0" w:color="000000"/>
            </w:tcBorders>
            <w:shd w:color="auto" w:fill="auto" w:val="clear"/>
          </w:tcPr>
          <w:p>
            <w:pPr>
              <w:pStyle w:val="Normal"/>
              <w:jc w:val="right"/>
              <w:rPr/>
            </w:pPr>
            <w:r>
              <w:rPr>
                <w:b/>
                <w:sz w:val="18"/>
                <w:szCs w:val="18"/>
                <w:lang w:val="uk-UA"/>
              </w:rPr>
              <w:t>555 536,9</w:t>
            </w:r>
          </w:p>
        </w:tc>
        <w:tc>
          <w:tcPr>
            <w:tcW w:w="1134" w:type="dxa"/>
            <w:tcBorders>
              <w:top w:val="single" w:sz="4" w:space="0" w:color="000000"/>
              <w:left w:val="single" w:sz="4" w:space="0" w:color="000000"/>
              <w:bottom w:val="single" w:sz="4" w:space="0" w:color="000000"/>
            </w:tcBorders>
            <w:shd w:color="auto" w:fill="auto" w:val="clear"/>
          </w:tcPr>
          <w:p>
            <w:pPr>
              <w:pStyle w:val="Normal"/>
              <w:jc w:val="right"/>
              <w:rPr>
                <w:b/>
                <w:sz w:val="18"/>
                <w:szCs w:val="18"/>
              </w:rPr>
            </w:pPr>
            <w:r>
              <w:rPr>
                <w:b/>
                <w:sz w:val="18"/>
                <w:szCs w:val="18"/>
                <w:lang w:val="uk-UA"/>
              </w:rPr>
              <w:t>485 814,5</w:t>
            </w:r>
          </w:p>
        </w:tc>
        <w:tc>
          <w:tcPr>
            <w:tcW w:w="851" w:type="dxa"/>
            <w:tcBorders>
              <w:top w:val="single" w:sz="4" w:space="0" w:color="000000"/>
              <w:left w:val="single" w:sz="4" w:space="0" w:color="000000"/>
              <w:bottom w:val="single" w:sz="4" w:space="0" w:color="000000"/>
            </w:tcBorders>
            <w:shd w:color="auto" w:fill="auto" w:val="clear"/>
          </w:tcPr>
          <w:p>
            <w:pPr>
              <w:pStyle w:val="Normal"/>
              <w:jc w:val="right"/>
              <w:rPr/>
            </w:pPr>
            <w:r>
              <w:rPr>
                <w:b/>
                <w:sz w:val="18"/>
                <w:szCs w:val="18"/>
                <w:lang w:val="uk-UA"/>
              </w:rPr>
              <w:t>69 722,4</w:t>
            </w:r>
          </w:p>
        </w:tc>
        <w:tc>
          <w:tcPr>
            <w:tcW w:w="991" w:type="dxa"/>
            <w:tcBorders>
              <w:top w:val="single" w:sz="4" w:space="0" w:color="000000"/>
              <w:left w:val="single" w:sz="4" w:space="0" w:color="000000"/>
              <w:bottom w:val="single" w:sz="4" w:space="0" w:color="000000"/>
            </w:tcBorders>
            <w:shd w:color="auto" w:fill="auto" w:val="clear"/>
          </w:tcPr>
          <w:p>
            <w:pPr>
              <w:pStyle w:val="Normal"/>
              <w:jc w:val="right"/>
              <w:rPr>
                <w:b/>
                <w:sz w:val="18"/>
                <w:szCs w:val="18"/>
                <w:lang w:val="uk-UA"/>
              </w:rPr>
            </w:pPr>
            <w:r>
              <w:rPr>
                <w:b/>
                <w:sz w:val="18"/>
                <w:szCs w:val="18"/>
                <w:lang w:val="uk-UA"/>
              </w:rPr>
              <w:t>208 775,1</w:t>
            </w:r>
          </w:p>
        </w:tc>
        <w:tc>
          <w:tcPr>
            <w:tcW w:w="1136" w:type="dxa"/>
            <w:tcBorders>
              <w:top w:val="single" w:sz="4" w:space="0" w:color="000000"/>
              <w:left w:val="single" w:sz="4" w:space="0" w:color="000000"/>
              <w:bottom w:val="single" w:sz="4" w:space="0" w:color="000000"/>
            </w:tcBorders>
            <w:shd w:color="auto" w:fill="auto" w:val="clear"/>
          </w:tcPr>
          <w:p>
            <w:pPr>
              <w:pStyle w:val="Normal"/>
              <w:jc w:val="right"/>
              <w:rPr>
                <w:sz w:val="18"/>
                <w:szCs w:val="18"/>
              </w:rPr>
            </w:pPr>
            <w:r>
              <w:rPr>
                <w:b/>
                <w:sz w:val="18"/>
                <w:szCs w:val="18"/>
                <w:lang w:val="uk-UA"/>
              </w:rPr>
              <w:t>139 052,7</w:t>
            </w:r>
          </w:p>
        </w:tc>
        <w:tc>
          <w:tcPr>
            <w:tcW w:w="991" w:type="dxa"/>
            <w:tcBorders>
              <w:top w:val="single" w:sz="4" w:space="0" w:color="000000"/>
              <w:left w:val="single" w:sz="4" w:space="0" w:color="000000"/>
              <w:bottom w:val="single" w:sz="4" w:space="0" w:color="000000"/>
            </w:tcBorders>
            <w:shd w:color="auto" w:fill="auto" w:val="clear"/>
          </w:tcPr>
          <w:p>
            <w:pPr>
              <w:pStyle w:val="Normal"/>
              <w:jc w:val="right"/>
              <w:rPr>
                <w:sz w:val="18"/>
                <w:szCs w:val="18"/>
              </w:rPr>
            </w:pPr>
            <w:r>
              <w:rPr>
                <w:b/>
                <w:sz w:val="18"/>
                <w:szCs w:val="18"/>
                <w:lang w:val="uk-UA"/>
              </w:rPr>
              <w:t>69 722,4</w:t>
            </w:r>
          </w:p>
        </w:tc>
        <w:tc>
          <w:tcPr>
            <w:tcW w:w="992"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right"/>
              <w:rPr>
                <w:b/>
                <w:sz w:val="18"/>
                <w:szCs w:val="18"/>
                <w:lang w:val="uk-UA"/>
              </w:rPr>
            </w:pPr>
            <w:r>
              <w:rPr>
                <w:b/>
                <w:sz w:val="18"/>
                <w:szCs w:val="18"/>
                <w:lang w:val="uk-UA"/>
              </w:rPr>
              <w:t>346 761,8</w:t>
            </w:r>
          </w:p>
        </w:tc>
      </w:tr>
    </w:tbl>
    <w:p>
      <w:pPr>
        <w:pStyle w:val="Normal"/>
        <w:jc w:val="center"/>
        <w:rPr>
          <w:bCs/>
          <w:sz w:val="28"/>
          <w:szCs w:val="28"/>
          <w:lang w:val="uk-UA" w:eastAsia="ru-RU"/>
        </w:rPr>
      </w:pPr>
      <w:r>
        <w:rPr>
          <w:bCs/>
          <w:sz w:val="28"/>
          <w:szCs w:val="28"/>
          <w:lang w:val="uk-UA" w:eastAsia="ru-RU"/>
        </w:rPr>
      </w:r>
    </w:p>
    <w:p>
      <w:pPr>
        <w:pStyle w:val="Normal"/>
        <w:jc w:val="center"/>
        <w:rPr>
          <w:bCs/>
          <w:color w:val="000000"/>
          <w:sz w:val="28"/>
          <w:szCs w:val="28"/>
          <w:lang w:val="uk-UA" w:eastAsia="ru-RU"/>
        </w:rPr>
      </w:pPr>
      <w:r>
        <w:rPr>
          <w:bCs/>
          <w:color w:val="000000"/>
          <w:sz w:val="28"/>
          <w:szCs w:val="28"/>
          <w:lang w:val="uk-UA" w:eastAsia="ru-RU"/>
        </w:rPr>
      </w:r>
    </w:p>
    <w:p>
      <w:pPr>
        <w:pStyle w:val="Normal"/>
        <w:jc w:val="center"/>
        <w:rPr>
          <w:bCs/>
          <w:color w:val="000000"/>
          <w:sz w:val="28"/>
          <w:szCs w:val="28"/>
          <w:lang w:val="uk-UA" w:eastAsia="ru-RU"/>
        </w:rPr>
      </w:pPr>
      <w:r>
        <w:rPr>
          <w:bCs/>
          <w:color w:val="000000"/>
          <w:sz w:val="28"/>
          <w:szCs w:val="28"/>
          <w:lang w:val="uk-UA" w:eastAsia="ru-RU"/>
        </w:rPr>
      </w:r>
    </w:p>
    <w:p>
      <w:pPr>
        <w:pStyle w:val="Normal"/>
        <w:jc w:val="center"/>
        <w:rPr>
          <w:bCs/>
          <w:color w:val="000000"/>
          <w:sz w:val="28"/>
          <w:szCs w:val="28"/>
          <w:lang w:val="uk-UA" w:eastAsia="ru-RU"/>
        </w:rPr>
      </w:pPr>
      <w:r>
        <w:rPr>
          <w:bCs/>
          <w:color w:val="000000"/>
          <w:sz w:val="28"/>
          <w:szCs w:val="28"/>
          <w:lang w:val="uk-UA" w:eastAsia="ru-RU"/>
        </w:rPr>
      </w:r>
    </w:p>
    <w:p>
      <w:pPr>
        <w:pStyle w:val="Normal"/>
        <w:jc w:val="center"/>
        <w:rPr>
          <w:bCs/>
          <w:color w:val="000000"/>
          <w:sz w:val="28"/>
          <w:szCs w:val="28"/>
          <w:lang w:val="uk-UA" w:eastAsia="ru-RU"/>
        </w:rPr>
      </w:pPr>
      <w:r>
        <w:rPr>
          <w:bCs/>
          <w:color w:val="000000"/>
          <w:sz w:val="28"/>
          <w:szCs w:val="28"/>
          <w:lang w:val="uk-UA" w:eastAsia="ru-RU"/>
        </w:rPr>
      </w:r>
    </w:p>
    <w:p>
      <w:pPr>
        <w:pStyle w:val="Normal"/>
        <w:jc w:val="center"/>
        <w:rPr>
          <w:bCs/>
          <w:color w:val="000000"/>
          <w:sz w:val="28"/>
          <w:szCs w:val="28"/>
          <w:lang w:val="uk-UA" w:eastAsia="ru-RU"/>
        </w:rPr>
      </w:pPr>
      <w:r>
        <w:rPr>
          <w:bCs/>
          <w:color w:val="000000"/>
          <w:sz w:val="28"/>
          <w:szCs w:val="28"/>
          <w:lang w:val="uk-UA" w:eastAsia="ru-RU"/>
        </w:rPr>
      </w:r>
    </w:p>
    <w:p>
      <w:pPr>
        <w:pStyle w:val="Normal"/>
        <w:jc w:val="center"/>
        <w:rPr>
          <w:bCs/>
          <w:color w:val="000000"/>
          <w:sz w:val="28"/>
          <w:szCs w:val="28"/>
          <w:lang w:val="uk-UA" w:eastAsia="ru-RU"/>
        </w:rPr>
      </w:pPr>
      <w:r>
        <w:rPr>
          <w:bCs/>
          <w:color w:val="000000"/>
          <w:sz w:val="28"/>
          <w:szCs w:val="28"/>
          <w:lang w:val="uk-UA" w:eastAsia="ru-RU"/>
        </w:rPr>
      </w:r>
    </w:p>
    <w:p>
      <w:pPr>
        <w:pStyle w:val="Normal"/>
        <w:jc w:val="center"/>
        <w:rPr>
          <w:bCs/>
          <w:color w:val="000000"/>
          <w:sz w:val="28"/>
          <w:szCs w:val="28"/>
          <w:lang w:val="uk-UA" w:eastAsia="ru-RU"/>
        </w:rPr>
      </w:pPr>
      <w:r>
        <w:rPr>
          <w:bCs/>
          <w:color w:val="000000"/>
          <w:sz w:val="28"/>
          <w:szCs w:val="28"/>
          <w:lang w:val="uk-UA" w:eastAsia="ru-RU"/>
        </w:rPr>
        <w:t>Інформація про надані місцеві гарантії</w:t>
      </w:r>
    </w:p>
    <w:p>
      <w:pPr>
        <w:pStyle w:val="Normal"/>
        <w:jc w:val="center"/>
        <w:rPr/>
      </w:pPr>
      <w:r>
        <w:rPr/>
      </w:r>
    </w:p>
    <w:tbl>
      <w:tblPr>
        <w:tblW w:w="9689" w:type="dxa"/>
        <w:jc w:val="left"/>
        <w:tblInd w:w="171" w:type="dxa"/>
        <w:tblLayout w:type="fixed"/>
        <w:tblCellMar>
          <w:top w:w="0" w:type="dxa"/>
          <w:left w:w="108" w:type="dxa"/>
          <w:bottom w:w="0" w:type="dxa"/>
          <w:right w:w="108" w:type="dxa"/>
        </w:tblCellMar>
        <w:tblLook w:val="0000"/>
      </w:tblPr>
      <w:tblGrid>
        <w:gridCol w:w="2861"/>
        <w:gridCol w:w="2007"/>
        <w:gridCol w:w="1559"/>
        <w:gridCol w:w="1420"/>
        <w:gridCol w:w="1842"/>
      </w:tblGrid>
      <w:tr>
        <w:trPr>
          <w:trHeight w:val="315" w:hRule="atLeast"/>
        </w:trPr>
        <w:tc>
          <w:tcPr>
            <w:tcW w:w="2861" w:type="dxa"/>
            <w:vMerge w:val="restart"/>
            <w:tcBorders>
              <w:top w:val="single" w:sz="4" w:space="0" w:color="000000"/>
              <w:left w:val="single" w:sz="4" w:space="0" w:color="000000"/>
              <w:bottom w:val="single" w:sz="4" w:space="0" w:color="000000"/>
            </w:tcBorders>
            <w:shd w:color="auto" w:fill="auto" w:val="clear"/>
            <w:vAlign w:val="center"/>
          </w:tcPr>
          <w:p>
            <w:pPr>
              <w:pStyle w:val="Normal"/>
              <w:jc w:val="center"/>
              <w:rPr/>
            </w:pPr>
            <w:r>
              <w:rPr>
                <w:color w:val="000000"/>
                <w:lang w:val="uk-UA"/>
              </w:rPr>
              <w:t>Назва суб'єкта господарювання</w:t>
            </w:r>
          </w:p>
        </w:tc>
        <w:tc>
          <w:tcPr>
            <w:tcW w:w="2007" w:type="dxa"/>
            <w:vMerge w:val="restart"/>
            <w:tcBorders>
              <w:top w:val="single" w:sz="4" w:space="0" w:color="000000"/>
              <w:left w:val="single" w:sz="4" w:space="0" w:color="000000"/>
              <w:bottom w:val="single" w:sz="4" w:space="0" w:color="000000"/>
            </w:tcBorders>
            <w:shd w:color="auto" w:fill="auto" w:val="clear"/>
            <w:vAlign w:val="center"/>
          </w:tcPr>
          <w:p>
            <w:pPr>
              <w:pStyle w:val="Normal"/>
              <w:jc w:val="center"/>
              <w:rPr/>
            </w:pPr>
            <w:r>
              <w:rPr>
                <w:color w:val="000000"/>
                <w:lang w:val="uk-UA"/>
              </w:rPr>
              <w:t>Дата набрання чинності гарантійної угоди</w:t>
            </w:r>
          </w:p>
        </w:tc>
        <w:tc>
          <w:tcPr>
            <w:tcW w:w="4821"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color w:val="000000"/>
                <w:lang w:val="uk-UA"/>
              </w:rPr>
            </w:pPr>
            <w:r>
              <w:rPr>
                <w:color w:val="000000"/>
                <w:lang w:val="uk-UA"/>
              </w:rPr>
            </w:r>
          </w:p>
        </w:tc>
      </w:tr>
      <w:tr>
        <w:trPr>
          <w:trHeight w:val="825" w:hRule="atLeast"/>
        </w:trPr>
        <w:tc>
          <w:tcPr>
            <w:tcW w:w="2861" w:type="dxa"/>
            <w:vMerge w:val="continue"/>
            <w:tcBorders>
              <w:top w:val="single" w:sz="4" w:space="0" w:color="000000"/>
              <w:left w:val="single" w:sz="4" w:space="0" w:color="000000"/>
              <w:bottom w:val="single" w:sz="4" w:space="0" w:color="000000"/>
            </w:tcBorders>
            <w:shd w:color="auto" w:fill="auto" w:val="clear"/>
            <w:vAlign w:val="center"/>
          </w:tcPr>
          <w:p>
            <w:pPr>
              <w:pStyle w:val="Normal"/>
              <w:snapToGrid w:val="false"/>
              <w:rPr>
                <w:color w:val="000000"/>
                <w:lang w:val="uk-UA"/>
              </w:rPr>
            </w:pPr>
            <w:r>
              <w:rPr>
                <w:color w:val="000000"/>
                <w:lang w:val="uk-UA"/>
              </w:rPr>
            </w:r>
          </w:p>
        </w:tc>
        <w:tc>
          <w:tcPr>
            <w:tcW w:w="2007" w:type="dxa"/>
            <w:vMerge w:val="continue"/>
            <w:tcBorders>
              <w:top w:val="single" w:sz="4" w:space="0" w:color="000000"/>
              <w:left w:val="single" w:sz="4" w:space="0" w:color="000000"/>
              <w:bottom w:val="single" w:sz="4" w:space="0" w:color="000000"/>
            </w:tcBorders>
            <w:shd w:color="auto" w:fill="auto" w:val="clear"/>
            <w:vAlign w:val="center"/>
          </w:tcPr>
          <w:p>
            <w:pPr>
              <w:pStyle w:val="Normal"/>
              <w:snapToGrid w:val="false"/>
              <w:rPr>
                <w:color w:val="000000"/>
                <w:lang w:val="uk-UA"/>
              </w:rPr>
            </w:pPr>
            <w:r>
              <w:rPr>
                <w:color w:val="000000"/>
                <w:lang w:val="uk-UA"/>
              </w:rPr>
            </w:r>
          </w:p>
        </w:tc>
        <w:tc>
          <w:tcPr>
            <w:tcW w:w="2979" w:type="dxa"/>
            <w:gridSpan w:val="2"/>
            <w:tcBorders>
              <w:top w:val="single" w:sz="4" w:space="0" w:color="000000"/>
              <w:left w:val="single" w:sz="4" w:space="0" w:color="000000"/>
              <w:bottom w:val="single" w:sz="4" w:space="0" w:color="000000"/>
            </w:tcBorders>
            <w:shd w:color="auto" w:fill="auto" w:val="clear"/>
            <w:vAlign w:val="center"/>
          </w:tcPr>
          <w:p>
            <w:pPr>
              <w:pStyle w:val="Normal"/>
              <w:jc w:val="center"/>
              <w:rPr/>
            </w:pPr>
            <w:r>
              <w:rPr>
                <w:color w:val="000000"/>
                <w:lang w:val="uk-UA"/>
              </w:rPr>
              <w:t>сума гарантованої позики/кредиту в іноземній валюті</w:t>
            </w:r>
          </w:p>
        </w:tc>
        <w:tc>
          <w:tcPr>
            <w:tcW w:w="1842"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pPr>
            <w:r>
              <w:rPr>
                <w:color w:val="000000"/>
                <w:lang w:val="uk-UA"/>
              </w:rPr>
              <w:t>сума гарантованої позики/кредиту в національній валюті, тис.грн</w:t>
            </w:r>
          </w:p>
        </w:tc>
      </w:tr>
      <w:tr>
        <w:trPr>
          <w:trHeight w:val="450" w:hRule="atLeast"/>
        </w:trPr>
        <w:tc>
          <w:tcPr>
            <w:tcW w:w="2861" w:type="dxa"/>
            <w:vMerge w:val="continue"/>
            <w:tcBorders>
              <w:top w:val="single" w:sz="4" w:space="0" w:color="000000"/>
              <w:left w:val="single" w:sz="4" w:space="0" w:color="000000"/>
              <w:bottom w:val="single" w:sz="4" w:space="0" w:color="000000"/>
            </w:tcBorders>
            <w:shd w:color="auto" w:fill="auto" w:val="clear"/>
            <w:vAlign w:val="center"/>
          </w:tcPr>
          <w:p>
            <w:pPr>
              <w:pStyle w:val="Normal"/>
              <w:snapToGrid w:val="false"/>
              <w:rPr>
                <w:color w:val="000000"/>
                <w:lang w:val="uk-UA"/>
              </w:rPr>
            </w:pPr>
            <w:r>
              <w:rPr>
                <w:color w:val="000000"/>
                <w:lang w:val="uk-UA"/>
              </w:rPr>
            </w:r>
          </w:p>
        </w:tc>
        <w:tc>
          <w:tcPr>
            <w:tcW w:w="2007" w:type="dxa"/>
            <w:vMerge w:val="continue"/>
            <w:tcBorders>
              <w:top w:val="single" w:sz="4" w:space="0" w:color="000000"/>
              <w:left w:val="single" w:sz="4" w:space="0" w:color="000000"/>
              <w:bottom w:val="single" w:sz="4" w:space="0" w:color="000000"/>
            </w:tcBorders>
            <w:shd w:color="auto" w:fill="auto" w:val="clear"/>
            <w:vAlign w:val="center"/>
          </w:tcPr>
          <w:p>
            <w:pPr>
              <w:pStyle w:val="Normal"/>
              <w:snapToGrid w:val="false"/>
              <w:rPr>
                <w:color w:val="000000"/>
                <w:lang w:val="uk-UA"/>
              </w:rPr>
            </w:pPr>
            <w:r>
              <w:rPr>
                <w:color w:val="000000"/>
                <w:lang w:val="uk-UA"/>
              </w:rPr>
            </w:r>
          </w:p>
        </w:tc>
        <w:tc>
          <w:tcPr>
            <w:tcW w:w="1559"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color w:val="000000"/>
                <w:lang w:val="uk-UA"/>
              </w:rPr>
              <w:t>код валюти</w:t>
            </w:r>
          </w:p>
        </w:tc>
        <w:tc>
          <w:tcPr>
            <w:tcW w:w="1420"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color w:val="000000"/>
                <w:lang w:val="uk-UA"/>
              </w:rPr>
              <w:t>сума</w:t>
            </w:r>
          </w:p>
        </w:tc>
        <w:tc>
          <w:tcPr>
            <w:tcW w:w="184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napToGrid w:val="false"/>
              <w:rPr>
                <w:color w:val="000000"/>
                <w:lang w:val="uk-UA"/>
              </w:rPr>
            </w:pPr>
            <w:r>
              <w:rPr>
                <w:color w:val="000000"/>
                <w:lang w:val="uk-UA"/>
              </w:rPr>
            </w:r>
          </w:p>
        </w:tc>
      </w:tr>
      <w:tr>
        <w:trPr>
          <w:trHeight w:val="255" w:hRule="atLeast"/>
        </w:trPr>
        <w:tc>
          <w:tcPr>
            <w:tcW w:w="9689" w:type="dxa"/>
            <w:gridSpan w:val="5"/>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pPr>
            <w:r>
              <w:rPr>
                <w:lang w:val="uk-UA"/>
              </w:rPr>
              <w:t>Станом на 01.01.2025 року</w:t>
            </w:r>
          </w:p>
        </w:tc>
      </w:tr>
      <w:tr>
        <w:trPr>
          <w:trHeight w:val="255" w:hRule="atLeast"/>
        </w:trPr>
        <w:tc>
          <w:tcPr>
            <w:tcW w:w="2861"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lang w:val="uk-UA"/>
              </w:rPr>
              <w:t>ДКП "Луцьктепло"</w:t>
            </w:r>
          </w:p>
        </w:tc>
        <w:tc>
          <w:tcPr>
            <w:tcW w:w="2007"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lang w:val="uk-UA"/>
              </w:rPr>
              <w:t>26.12.2014</w:t>
            </w:r>
          </w:p>
        </w:tc>
        <w:tc>
          <w:tcPr>
            <w:tcW w:w="1559" w:type="dxa"/>
            <w:tcBorders>
              <w:top w:val="single" w:sz="4" w:space="0" w:color="000000"/>
              <w:left w:val="single" w:sz="4" w:space="0" w:color="000000"/>
              <w:bottom w:val="single" w:sz="4" w:space="0" w:color="000000"/>
            </w:tcBorders>
            <w:shd w:color="auto" w:fill="auto" w:val="clear"/>
            <w:vAlign w:val="center"/>
          </w:tcPr>
          <w:p>
            <w:pPr>
              <w:pStyle w:val="Normal"/>
              <w:jc w:val="center"/>
              <w:rPr>
                <w:lang w:val="en-US"/>
              </w:rPr>
            </w:pPr>
            <w:r>
              <w:rPr>
                <w:lang w:val="en-US"/>
              </w:rPr>
              <w:t>EURO</w:t>
            </w:r>
          </w:p>
        </w:tc>
        <w:tc>
          <w:tcPr>
            <w:tcW w:w="1420"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lang w:val="en-US"/>
              </w:rPr>
              <w:t>5 281 822,48</w:t>
            </w:r>
          </w:p>
        </w:tc>
        <w:tc>
          <w:tcPr>
            <w:tcW w:w="184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pPr>
            <w:r>
              <w:rPr>
                <w:lang w:val="uk-UA"/>
              </w:rPr>
              <w:t>242 721,4</w:t>
            </w:r>
          </w:p>
        </w:tc>
      </w:tr>
      <w:tr>
        <w:trPr>
          <w:trHeight w:val="208" w:hRule="atLeast"/>
        </w:trPr>
        <w:tc>
          <w:tcPr>
            <w:tcW w:w="2861"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lang w:val="uk-UA"/>
              </w:rPr>
              <w:t>КП «Луцькводоканал»</w:t>
            </w:r>
          </w:p>
        </w:tc>
        <w:tc>
          <w:tcPr>
            <w:tcW w:w="2007"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lang w:val="uk-UA"/>
              </w:rPr>
              <w:t>01.12.2022</w:t>
            </w:r>
          </w:p>
        </w:tc>
        <w:tc>
          <w:tcPr>
            <w:tcW w:w="1559" w:type="dxa"/>
            <w:tcBorders>
              <w:top w:val="single" w:sz="4" w:space="0" w:color="000000"/>
              <w:left w:val="single" w:sz="4" w:space="0" w:color="000000"/>
              <w:bottom w:val="single" w:sz="4" w:space="0" w:color="000000"/>
            </w:tcBorders>
            <w:shd w:color="auto" w:fill="auto" w:val="clear"/>
            <w:vAlign w:val="center"/>
          </w:tcPr>
          <w:p>
            <w:pPr>
              <w:pStyle w:val="Normal"/>
              <w:jc w:val="center"/>
              <w:rPr>
                <w:lang w:val="en-US"/>
              </w:rPr>
            </w:pPr>
            <w:r>
              <w:rPr>
                <w:lang w:val="uk-UA"/>
              </w:rPr>
              <w:t>EURO</w:t>
            </w:r>
          </w:p>
        </w:tc>
        <w:tc>
          <w:tcPr>
            <w:tcW w:w="1420" w:type="dxa"/>
            <w:tcBorders>
              <w:top w:val="single" w:sz="4" w:space="0" w:color="000000"/>
              <w:left w:val="single" w:sz="4" w:space="0" w:color="000000"/>
              <w:bottom w:val="single" w:sz="4" w:space="0" w:color="000000"/>
            </w:tcBorders>
            <w:shd w:color="auto" w:fill="auto" w:val="clear"/>
            <w:vAlign w:val="center"/>
          </w:tcPr>
          <w:p>
            <w:pPr>
              <w:pStyle w:val="Normal"/>
              <w:jc w:val="center"/>
              <w:rPr>
                <w:lang w:val="en-US"/>
              </w:rPr>
            </w:pPr>
            <w:r>
              <w:rPr>
                <w:lang w:val="en-US"/>
              </w:rPr>
              <w:t>1 701 451,0</w:t>
            </w:r>
          </w:p>
        </w:tc>
        <w:tc>
          <w:tcPr>
            <w:tcW w:w="184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lang w:val="en-US"/>
              </w:rPr>
            </w:pPr>
            <w:r>
              <w:rPr>
                <w:lang w:val="en-US"/>
              </w:rPr>
              <w:t>74 739,0</w:t>
            </w:r>
          </w:p>
        </w:tc>
      </w:tr>
      <w:tr>
        <w:trPr>
          <w:trHeight w:val="255" w:hRule="atLeast"/>
        </w:trPr>
        <w:tc>
          <w:tcPr>
            <w:tcW w:w="9689" w:type="dxa"/>
            <w:gridSpan w:val="5"/>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pPr>
            <w:r>
              <w:rPr>
                <w:lang w:val="uk-UA"/>
              </w:rPr>
              <w:t xml:space="preserve">Станом на </w:t>
            </w:r>
            <w:r>
              <w:rPr>
                <w:lang w:val="en-US"/>
              </w:rPr>
              <w:t>01.</w:t>
            </w:r>
            <w:r>
              <w:rPr>
                <w:lang w:val="uk-UA"/>
              </w:rPr>
              <w:t>01</w:t>
            </w:r>
            <w:r>
              <w:rPr>
                <w:lang w:val="en-US"/>
              </w:rPr>
              <w:t>.202</w:t>
            </w:r>
            <w:r>
              <w:rPr>
                <w:lang w:val="uk-UA"/>
              </w:rPr>
              <w:t>4 року</w:t>
            </w:r>
          </w:p>
        </w:tc>
      </w:tr>
      <w:tr>
        <w:trPr>
          <w:trHeight w:val="390" w:hRule="atLeast"/>
        </w:trPr>
        <w:tc>
          <w:tcPr>
            <w:tcW w:w="2861"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lang w:val="uk-UA"/>
              </w:rPr>
              <w:t>ДКП "Луцьктепло"</w:t>
            </w:r>
          </w:p>
        </w:tc>
        <w:tc>
          <w:tcPr>
            <w:tcW w:w="2007"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lang w:val="uk-UA"/>
              </w:rPr>
              <w:t>26.12.2014</w:t>
            </w:r>
          </w:p>
        </w:tc>
        <w:tc>
          <w:tcPr>
            <w:tcW w:w="1559"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lang w:val="en-US"/>
              </w:rPr>
              <w:t>EURO</w:t>
            </w:r>
          </w:p>
        </w:tc>
        <w:tc>
          <w:tcPr>
            <w:tcW w:w="1420"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lang w:val="en-US"/>
              </w:rPr>
              <w:t>5 281 822,48</w:t>
            </w:r>
          </w:p>
        </w:tc>
        <w:tc>
          <w:tcPr>
            <w:tcW w:w="184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pPr>
            <w:r>
              <w:rPr>
                <w:lang w:val="uk-UA"/>
              </w:rPr>
              <w:t>222 934,3</w:t>
            </w:r>
          </w:p>
        </w:tc>
      </w:tr>
      <w:tr>
        <w:trPr>
          <w:trHeight w:val="255" w:hRule="atLeast"/>
        </w:trPr>
        <w:tc>
          <w:tcPr>
            <w:tcW w:w="2861"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lang w:val="uk-UA"/>
              </w:rPr>
              <w:t>КП «Луцькводоканал»</w:t>
            </w:r>
          </w:p>
        </w:tc>
        <w:tc>
          <w:tcPr>
            <w:tcW w:w="2007"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lang w:val="uk-UA"/>
              </w:rPr>
              <w:t>01.12.2022</w:t>
            </w:r>
          </w:p>
        </w:tc>
        <w:tc>
          <w:tcPr>
            <w:tcW w:w="1559" w:type="dxa"/>
            <w:tcBorders>
              <w:top w:val="single" w:sz="4" w:space="0" w:color="000000"/>
              <w:left w:val="single" w:sz="4" w:space="0" w:color="000000"/>
              <w:bottom w:val="single" w:sz="4" w:space="0" w:color="000000"/>
            </w:tcBorders>
            <w:shd w:color="auto" w:fill="auto" w:val="clear"/>
            <w:vAlign w:val="center"/>
          </w:tcPr>
          <w:p>
            <w:pPr>
              <w:pStyle w:val="Normal"/>
              <w:jc w:val="center"/>
              <w:rPr/>
            </w:pPr>
            <w:r>
              <w:rPr>
                <w:lang w:val="en-US"/>
              </w:rPr>
              <w:t>EURO</w:t>
            </w:r>
          </w:p>
        </w:tc>
        <w:tc>
          <w:tcPr>
            <w:tcW w:w="1420" w:type="dxa"/>
            <w:tcBorders>
              <w:top w:val="single" w:sz="4" w:space="0" w:color="000000"/>
              <w:left w:val="single" w:sz="4" w:space="0" w:color="000000"/>
              <w:bottom w:val="single" w:sz="4" w:space="0" w:color="000000"/>
            </w:tcBorders>
            <w:shd w:color="auto" w:fill="auto" w:val="clear"/>
            <w:vAlign w:val="center"/>
          </w:tcPr>
          <w:p>
            <w:pPr>
              <w:pStyle w:val="Normal"/>
              <w:jc w:val="center"/>
              <w:rPr>
                <w:lang w:val="en-US"/>
              </w:rPr>
            </w:pPr>
            <w:r>
              <w:rPr>
                <w:lang w:val="en-US"/>
              </w:rPr>
              <w:t>1 700 000,0</w:t>
            </w:r>
          </w:p>
        </w:tc>
        <w:tc>
          <w:tcPr>
            <w:tcW w:w="184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pPr>
            <w:r>
              <w:rPr>
                <w:lang w:val="uk-UA"/>
              </w:rPr>
              <w:t>71 753,4</w:t>
            </w:r>
          </w:p>
        </w:tc>
      </w:tr>
    </w:tbl>
    <w:p>
      <w:pPr>
        <w:pStyle w:val="Normal"/>
        <w:rPr>
          <w:sz w:val="28"/>
          <w:szCs w:val="28"/>
          <w:lang w:val="uk-UA"/>
        </w:rPr>
      </w:pPr>
      <w:r>
        <w:rPr>
          <w:sz w:val="28"/>
          <w:szCs w:val="28"/>
          <w:lang w:val="uk-UA"/>
        </w:rPr>
      </w:r>
    </w:p>
    <w:p>
      <w:pPr>
        <w:pStyle w:val="Normal"/>
        <w:rPr>
          <w:sz w:val="28"/>
          <w:szCs w:val="28"/>
          <w:lang w:val="uk-UA"/>
        </w:rPr>
      </w:pPr>
      <w:r>
        <w:rPr>
          <w:sz w:val="28"/>
          <w:szCs w:val="28"/>
          <w:lang w:val="uk-UA"/>
        </w:rPr>
      </w:r>
    </w:p>
    <w:p>
      <w:pPr>
        <w:pStyle w:val="Normal"/>
        <w:rPr>
          <w:sz w:val="28"/>
          <w:szCs w:val="28"/>
          <w:lang w:val="uk-UA"/>
        </w:rPr>
      </w:pPr>
      <w:r>
        <w:rPr>
          <w:sz w:val="28"/>
          <w:szCs w:val="28"/>
          <w:lang w:val="uk-UA"/>
        </w:rPr>
      </w:r>
    </w:p>
    <w:p>
      <w:pPr>
        <w:pStyle w:val="Normal"/>
        <w:rPr/>
      </w:pPr>
      <w:r>
        <w:rPr>
          <w:sz w:val="24"/>
          <w:szCs w:val="24"/>
          <w:lang w:val="uk-UA"/>
        </w:rPr>
        <w:t xml:space="preserve">Директор департаменту </w:t>
      </w:r>
    </w:p>
    <w:p>
      <w:pPr>
        <w:pStyle w:val="Normal"/>
        <w:rPr/>
      </w:pPr>
      <w:r>
        <w:rPr>
          <w:sz w:val="24"/>
          <w:szCs w:val="24"/>
          <w:lang w:val="uk-UA"/>
        </w:rPr>
        <w:t xml:space="preserve">фінансів, бюджету та аудиту                                                        </w:t>
        <w:tab/>
        <w:tab/>
        <w:tab/>
        <w:tab/>
        <w:t xml:space="preserve">  Лілія ЄЛОВА</w:t>
      </w:r>
    </w:p>
    <w:sectPr>
      <w:headerReference w:type="even" r:id="rId2"/>
      <w:headerReference w:type="default" r:id="rId3"/>
      <w:headerReference w:type="first" r:id="rId4"/>
      <w:type w:val="nextPage"/>
      <w:pgSz w:w="11906" w:h="16838"/>
      <w:pgMar w:left="1418" w:right="567" w:gutter="0" w:header="709" w:top="766" w:footer="0" w:bottom="1701"/>
      <w:pgNumType w:fmt="decimal"/>
      <w:formProt w:val="false"/>
      <w:titlePg/>
      <w:textDirection w:val="lrTb"/>
      <w:docGrid w:type="default" w:linePitch="272" w:charSpace="1638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ourier New">
    <w:charset w:val="cc"/>
    <w:family w:val="auto"/>
    <w:pitch w:val="variable"/>
  </w:font>
  <w:font w:name="Wingdings">
    <w:charset w:val="cc"/>
    <w:family w:val="auto"/>
    <w:pitch w:val="variable"/>
  </w:font>
  <w:font w:name="Symbol">
    <w:charset w:val="cc"/>
    <w:family w:val="roman"/>
    <w:pitch w:val="variable"/>
  </w:font>
  <w:font w:name="Verdana">
    <w:charset w:val="cc"/>
    <w:family w:val="swiss"/>
    <w:pitch w:val="variable"/>
  </w:font>
  <w:font w:name="Tahoma">
    <w:charset w:val="cc"/>
    <w:family w:val="swiss"/>
    <w:pitch w:val="variable"/>
  </w:font>
  <w:font w:name="Arial">
    <w:charset w:val="cc"/>
    <w:family w:val="swiss"/>
    <w:pitch w:val="variable"/>
  </w:font>
  <w:font w:name="Times New Roman CYR">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fldChar w:fldCharType="begin"/>
    </w:r>
    <w:r>
      <w:rPr/>
      <w:instrText xml:space="preserve"> PAGE </w:instrText>
    </w:r>
    <w:r>
      <w:rPr/>
      <w:fldChar w:fldCharType="separate"/>
    </w:r>
    <w:r>
      <w:rPr/>
      <w:t>14</w:t>
    </w:r>
    <w:r>
      <w:rPr/>
      <w:fldChar w:fldCharType="end"/>
    </w:r>
  </w:p>
  <w:p>
    <w:pPr>
      <w:pStyle w:val="Header"/>
      <w:ind w:right="360"/>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lang w:val="uk-UA"/>
      </w:rPr>
    </w:pPr>
    <w:r>
      <w:rPr>
        <w:lang w:val="uk-UA"/>
      </w:rPr>
    </w:r>
  </w:p>
  <w:p>
    <w:pPr>
      <w:pStyle w:val="Header"/>
      <w:rPr>
        <w:lang w:val="uk-UA"/>
      </w:rPr>
    </w:pPr>
    <w:r>
      <w:rPr>
        <w:lang w:val="uk-UA"/>
      </w:rPr>
    </w:r>
  </w:p>
</w:hdr>
</file>

<file path=word/settings.xml><?xml version="1.0" encoding="utf-8"?>
<w:settings xmlns:w="http://schemas.openxmlformats.org/wordprocessingml/2006/main">
  <w:zoom w:percent="104"/>
  <w:displayBackgroundShape/>
  <w:embedSystemFonts/>
  <w:defaultTabStop w:val="408"/>
  <w:autoHyphenation w:val="true"/>
  <w:hyphenationZone w:val="0"/>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uk-UA" w:eastAsia="uk-UA"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semiHidden="0" w:unhideWhenUsed="0" w:qFormat="1"/>
    <w:lsdException w:name="heading 3" w:uiPriority="9" w:semiHidden="0" w:unhideWhenUsed="0" w:qFormat="1"/>
    <w:lsdException w:name="heading 4" w:uiPriority="9"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semiHidden="0" w:unhideWhenUsed="0"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c1fe7"/>
    <w:pPr>
      <w:widowControl/>
      <w:suppressAutoHyphens w:val="true"/>
      <w:bidi w:val="0"/>
      <w:spacing w:before="0" w:after="0"/>
      <w:jc w:val="left"/>
    </w:pPr>
    <w:rPr>
      <w:rFonts w:ascii="Times New Roman" w:hAnsi="Times New Roman" w:eastAsia="Times New Roman" w:cs="Times New Roman"/>
      <w:color w:val="auto"/>
      <w:kern w:val="0"/>
      <w:sz w:val="20"/>
      <w:szCs w:val="20"/>
      <w:lang w:val="ru-RU" w:eastAsia="zh-CN" w:bidi="ar-SA"/>
    </w:rPr>
  </w:style>
  <w:style w:type="paragraph" w:styleId="Heading1">
    <w:name w:val="heading 1"/>
    <w:basedOn w:val="Normal"/>
    <w:next w:val="Normal"/>
    <w:qFormat/>
    <w:rsid w:val="003c1fe7"/>
    <w:pPr>
      <w:keepNext w:val="true"/>
      <w:tabs>
        <w:tab w:val="clear" w:pos="408"/>
        <w:tab w:val="left" w:pos="0" w:leader="none"/>
      </w:tabs>
      <w:outlineLvl w:val="0"/>
    </w:pPr>
    <w:rPr>
      <w:b/>
      <w:sz w:val="24"/>
      <w:lang w:val="uk-UA"/>
    </w:rPr>
  </w:style>
  <w:style w:type="paragraph" w:styleId="Heading2">
    <w:name w:val="heading 2"/>
    <w:basedOn w:val="Normal"/>
    <w:next w:val="Normal"/>
    <w:qFormat/>
    <w:rsid w:val="003c1fe7"/>
    <w:pPr>
      <w:keepNext w:val="true"/>
      <w:tabs>
        <w:tab w:val="clear" w:pos="408"/>
        <w:tab w:val="left" w:pos="0" w:leader="none"/>
      </w:tabs>
      <w:jc w:val="center"/>
      <w:outlineLvl w:val="1"/>
    </w:pPr>
    <w:rPr>
      <w:sz w:val="24"/>
      <w:lang w:val="uk-UA"/>
    </w:rPr>
  </w:style>
  <w:style w:type="paragraph" w:styleId="Heading3">
    <w:name w:val="heading 3"/>
    <w:basedOn w:val="Normal"/>
    <w:next w:val="Normal"/>
    <w:qFormat/>
    <w:rsid w:val="003c1fe7"/>
    <w:pPr>
      <w:keepNext w:val="true"/>
      <w:tabs>
        <w:tab w:val="clear" w:pos="408"/>
        <w:tab w:val="left" w:pos="0" w:leader="none"/>
      </w:tabs>
      <w:ind w:right="-1951"/>
      <w:outlineLvl w:val="2"/>
    </w:pPr>
    <w:rPr>
      <w:sz w:val="24"/>
      <w:lang w:val="uk-UA"/>
    </w:rPr>
  </w:style>
  <w:style w:type="paragraph" w:styleId="Heading4">
    <w:name w:val="heading 4"/>
    <w:basedOn w:val="Normal"/>
    <w:next w:val="Normal"/>
    <w:qFormat/>
    <w:rsid w:val="003c1fe7"/>
    <w:pPr>
      <w:keepNext w:val="true"/>
      <w:tabs>
        <w:tab w:val="clear" w:pos="408"/>
        <w:tab w:val="left" w:pos="0" w:leader="none"/>
      </w:tabs>
      <w:jc w:val="center"/>
      <w:outlineLvl w:val="3"/>
    </w:pPr>
    <w:rPr>
      <w:b/>
      <w:sz w:val="32"/>
    </w:rPr>
  </w:style>
  <w:style w:type="character" w:styleId="DefaultParagraphFont" w:default="1">
    <w:name w:val="Default Paragraph Font"/>
    <w:uiPriority w:val="1"/>
    <w:semiHidden/>
    <w:unhideWhenUsed/>
    <w:qFormat/>
    <w:rPr/>
  </w:style>
  <w:style w:type="character" w:styleId="WW8Num1z0" w:customStyle="1">
    <w:name w:val="WW8Num1z0"/>
    <w:qFormat/>
    <w:rsid w:val="003c1fe7"/>
    <w:rPr/>
  </w:style>
  <w:style w:type="character" w:styleId="WW8Num1z1" w:customStyle="1">
    <w:name w:val="WW8Num1z1"/>
    <w:qFormat/>
    <w:rsid w:val="003c1fe7"/>
    <w:rPr/>
  </w:style>
  <w:style w:type="character" w:styleId="WW8Num1z2" w:customStyle="1">
    <w:name w:val="WW8Num1z2"/>
    <w:qFormat/>
    <w:rsid w:val="003c1fe7"/>
    <w:rPr/>
  </w:style>
  <w:style w:type="character" w:styleId="WW8Num1z3" w:customStyle="1">
    <w:name w:val="WW8Num1z3"/>
    <w:qFormat/>
    <w:rsid w:val="003c1fe7"/>
    <w:rPr/>
  </w:style>
  <w:style w:type="character" w:styleId="WW8Num1z4" w:customStyle="1">
    <w:name w:val="WW8Num1z4"/>
    <w:qFormat/>
    <w:rsid w:val="003c1fe7"/>
    <w:rPr/>
  </w:style>
  <w:style w:type="character" w:styleId="WW8Num1z5" w:customStyle="1">
    <w:name w:val="WW8Num1z5"/>
    <w:qFormat/>
    <w:rsid w:val="003c1fe7"/>
    <w:rPr/>
  </w:style>
  <w:style w:type="character" w:styleId="WW8Num1z6" w:customStyle="1">
    <w:name w:val="WW8Num1z6"/>
    <w:qFormat/>
    <w:rsid w:val="003c1fe7"/>
    <w:rPr/>
  </w:style>
  <w:style w:type="character" w:styleId="WW8Num1z7" w:customStyle="1">
    <w:name w:val="WW8Num1z7"/>
    <w:qFormat/>
    <w:rsid w:val="003c1fe7"/>
    <w:rPr/>
  </w:style>
  <w:style w:type="character" w:styleId="WW8Num1z8" w:customStyle="1">
    <w:name w:val="WW8Num1z8"/>
    <w:qFormat/>
    <w:rsid w:val="003c1fe7"/>
    <w:rPr/>
  </w:style>
  <w:style w:type="character" w:styleId="WW8Num2z0" w:customStyle="1">
    <w:name w:val="WW8Num2z0"/>
    <w:qFormat/>
    <w:rsid w:val="003c1fe7"/>
    <w:rPr>
      <w:rFonts w:ascii="Times New Roman" w:hAnsi="Times New Roman" w:eastAsia="Times New Roman" w:cs="Times New Roman"/>
    </w:rPr>
  </w:style>
  <w:style w:type="character" w:styleId="WW8Num2z1" w:customStyle="1">
    <w:name w:val="WW8Num2z1"/>
    <w:qFormat/>
    <w:rsid w:val="003c1fe7"/>
    <w:rPr>
      <w:rFonts w:ascii="Courier New" w:hAnsi="Courier New" w:cs="Courier New"/>
    </w:rPr>
  </w:style>
  <w:style w:type="character" w:styleId="WW8Num2z2" w:customStyle="1">
    <w:name w:val="WW8Num2z2"/>
    <w:qFormat/>
    <w:rsid w:val="003c1fe7"/>
    <w:rPr>
      <w:rFonts w:ascii="Wingdings" w:hAnsi="Wingdings" w:cs="Wingdings"/>
    </w:rPr>
  </w:style>
  <w:style w:type="character" w:styleId="WW8Num2z3" w:customStyle="1">
    <w:name w:val="WW8Num2z3"/>
    <w:qFormat/>
    <w:rsid w:val="003c1fe7"/>
    <w:rPr>
      <w:rFonts w:ascii="Symbol" w:hAnsi="Symbol" w:cs="Symbol"/>
    </w:rPr>
  </w:style>
  <w:style w:type="character" w:styleId="WW8Num3z0" w:customStyle="1">
    <w:name w:val="WW8Num3z0"/>
    <w:qFormat/>
    <w:rsid w:val="003c1fe7"/>
    <w:rPr/>
  </w:style>
  <w:style w:type="character" w:styleId="WW8Num3z1" w:customStyle="1">
    <w:name w:val="WW8Num3z1"/>
    <w:qFormat/>
    <w:rsid w:val="003c1fe7"/>
    <w:rPr/>
  </w:style>
  <w:style w:type="character" w:styleId="WW8Num3z2" w:customStyle="1">
    <w:name w:val="WW8Num3z2"/>
    <w:qFormat/>
    <w:rsid w:val="003c1fe7"/>
    <w:rPr/>
  </w:style>
  <w:style w:type="character" w:styleId="WW8Num3z3" w:customStyle="1">
    <w:name w:val="WW8Num3z3"/>
    <w:qFormat/>
    <w:rsid w:val="003c1fe7"/>
    <w:rPr/>
  </w:style>
  <w:style w:type="character" w:styleId="WW8Num3z4" w:customStyle="1">
    <w:name w:val="WW8Num3z4"/>
    <w:qFormat/>
    <w:rsid w:val="003c1fe7"/>
    <w:rPr/>
  </w:style>
  <w:style w:type="character" w:styleId="WW8Num3z5" w:customStyle="1">
    <w:name w:val="WW8Num3z5"/>
    <w:qFormat/>
    <w:rsid w:val="003c1fe7"/>
    <w:rPr/>
  </w:style>
  <w:style w:type="character" w:styleId="WW8Num3z6" w:customStyle="1">
    <w:name w:val="WW8Num3z6"/>
    <w:qFormat/>
    <w:rsid w:val="003c1fe7"/>
    <w:rPr/>
  </w:style>
  <w:style w:type="character" w:styleId="WW8Num3z7" w:customStyle="1">
    <w:name w:val="WW8Num3z7"/>
    <w:qFormat/>
    <w:rsid w:val="003c1fe7"/>
    <w:rPr/>
  </w:style>
  <w:style w:type="character" w:styleId="WW8Num3z8" w:customStyle="1">
    <w:name w:val="WW8Num3z8"/>
    <w:qFormat/>
    <w:rsid w:val="003c1fe7"/>
    <w:rPr/>
  </w:style>
  <w:style w:type="character" w:styleId="14" w:customStyle="1">
    <w:name w:val="Основной шрифт абзаца14"/>
    <w:qFormat/>
    <w:rsid w:val="003c1fe7"/>
    <w:rPr/>
  </w:style>
  <w:style w:type="character" w:styleId="13" w:customStyle="1">
    <w:name w:val="Основной шрифт абзаца13"/>
    <w:qFormat/>
    <w:rsid w:val="003c1fe7"/>
    <w:rPr/>
  </w:style>
  <w:style w:type="character" w:styleId="12" w:customStyle="1">
    <w:name w:val="Основной шрифт абзаца12"/>
    <w:qFormat/>
    <w:rsid w:val="003c1fe7"/>
    <w:rPr/>
  </w:style>
  <w:style w:type="character" w:styleId="11" w:customStyle="1">
    <w:name w:val="Основной шрифт абзаца11"/>
    <w:qFormat/>
    <w:rsid w:val="003c1fe7"/>
    <w:rPr/>
  </w:style>
  <w:style w:type="character" w:styleId="10" w:customStyle="1">
    <w:name w:val="Основной шрифт абзаца10"/>
    <w:qFormat/>
    <w:rsid w:val="003c1fe7"/>
    <w:rPr/>
  </w:style>
  <w:style w:type="character" w:styleId="9" w:customStyle="1">
    <w:name w:val="Основной шрифт абзаца9"/>
    <w:qFormat/>
    <w:rsid w:val="003c1fe7"/>
    <w:rPr/>
  </w:style>
  <w:style w:type="character" w:styleId="8" w:customStyle="1">
    <w:name w:val="Основной шрифт абзаца8"/>
    <w:qFormat/>
    <w:rsid w:val="003c1fe7"/>
    <w:rPr/>
  </w:style>
  <w:style w:type="character" w:styleId="7" w:customStyle="1">
    <w:name w:val="Основной шрифт абзаца7"/>
    <w:qFormat/>
    <w:rsid w:val="003c1fe7"/>
    <w:rPr/>
  </w:style>
  <w:style w:type="character" w:styleId="WW8Num4z0" w:customStyle="1">
    <w:name w:val="WW8Num4z0"/>
    <w:qFormat/>
    <w:rsid w:val="003c1fe7"/>
    <w:rPr>
      <w:rFonts w:ascii="Times New Roman" w:hAnsi="Times New Roman" w:eastAsia="Times New Roman" w:cs="Times New Roman"/>
    </w:rPr>
  </w:style>
  <w:style w:type="character" w:styleId="WW8Num4z1" w:customStyle="1">
    <w:name w:val="WW8Num4z1"/>
    <w:qFormat/>
    <w:rsid w:val="003c1fe7"/>
    <w:rPr>
      <w:rFonts w:ascii="Courier New" w:hAnsi="Courier New" w:cs="Courier New"/>
    </w:rPr>
  </w:style>
  <w:style w:type="character" w:styleId="WW8Num4z2" w:customStyle="1">
    <w:name w:val="WW8Num4z2"/>
    <w:qFormat/>
    <w:rsid w:val="003c1fe7"/>
    <w:rPr>
      <w:rFonts w:ascii="Wingdings" w:hAnsi="Wingdings" w:cs="Wingdings"/>
    </w:rPr>
  </w:style>
  <w:style w:type="character" w:styleId="WW8Num4z3" w:customStyle="1">
    <w:name w:val="WW8Num4z3"/>
    <w:qFormat/>
    <w:rsid w:val="003c1fe7"/>
    <w:rPr>
      <w:rFonts w:ascii="Symbol" w:hAnsi="Symbol" w:cs="Symbol"/>
    </w:rPr>
  </w:style>
  <w:style w:type="character" w:styleId="WW8Num5z0" w:customStyle="1">
    <w:name w:val="WW8Num5z0"/>
    <w:qFormat/>
    <w:rsid w:val="003c1fe7"/>
    <w:rPr>
      <w:rFonts w:ascii="Times New Roman" w:hAnsi="Times New Roman" w:eastAsia="Times New Roman" w:cs="Times New Roman"/>
    </w:rPr>
  </w:style>
  <w:style w:type="character" w:styleId="WW8Num5z1" w:customStyle="1">
    <w:name w:val="WW8Num5z1"/>
    <w:qFormat/>
    <w:rsid w:val="003c1fe7"/>
    <w:rPr>
      <w:rFonts w:ascii="Courier New" w:hAnsi="Courier New" w:cs="Courier New"/>
    </w:rPr>
  </w:style>
  <w:style w:type="character" w:styleId="WW8Num5z2" w:customStyle="1">
    <w:name w:val="WW8Num5z2"/>
    <w:qFormat/>
    <w:rsid w:val="003c1fe7"/>
    <w:rPr>
      <w:rFonts w:ascii="Wingdings" w:hAnsi="Wingdings" w:cs="Wingdings"/>
    </w:rPr>
  </w:style>
  <w:style w:type="character" w:styleId="WW8Num5z3" w:customStyle="1">
    <w:name w:val="WW8Num5z3"/>
    <w:qFormat/>
    <w:rsid w:val="003c1fe7"/>
    <w:rPr>
      <w:rFonts w:ascii="Symbol" w:hAnsi="Symbol" w:cs="Symbol"/>
    </w:rPr>
  </w:style>
  <w:style w:type="character" w:styleId="WW8Num6z0" w:customStyle="1">
    <w:name w:val="WW8Num6z0"/>
    <w:qFormat/>
    <w:rsid w:val="003c1fe7"/>
    <w:rPr>
      <w:rFonts w:ascii="Times New Roman" w:hAnsi="Times New Roman" w:eastAsia="Times New Roman" w:cs="Times New Roman"/>
    </w:rPr>
  </w:style>
  <w:style w:type="character" w:styleId="WW8Num6z1" w:customStyle="1">
    <w:name w:val="WW8Num6z1"/>
    <w:qFormat/>
    <w:rsid w:val="003c1fe7"/>
    <w:rPr>
      <w:rFonts w:ascii="Courier New" w:hAnsi="Courier New" w:cs="Courier New"/>
    </w:rPr>
  </w:style>
  <w:style w:type="character" w:styleId="WW8Num6z2" w:customStyle="1">
    <w:name w:val="WW8Num6z2"/>
    <w:qFormat/>
    <w:rsid w:val="003c1fe7"/>
    <w:rPr>
      <w:rFonts w:ascii="Wingdings" w:hAnsi="Wingdings" w:cs="Wingdings"/>
    </w:rPr>
  </w:style>
  <w:style w:type="character" w:styleId="WW8Num6z3" w:customStyle="1">
    <w:name w:val="WW8Num6z3"/>
    <w:qFormat/>
    <w:rsid w:val="003c1fe7"/>
    <w:rPr>
      <w:rFonts w:ascii="Symbol" w:hAnsi="Symbol" w:cs="Symbol"/>
    </w:rPr>
  </w:style>
  <w:style w:type="character" w:styleId="6" w:customStyle="1">
    <w:name w:val="Основной шрифт абзаца6"/>
    <w:qFormat/>
    <w:rsid w:val="003c1fe7"/>
    <w:rPr/>
  </w:style>
  <w:style w:type="character" w:styleId="5" w:customStyle="1">
    <w:name w:val="Основной шрифт абзаца5"/>
    <w:qFormat/>
    <w:rsid w:val="003c1fe7"/>
    <w:rPr/>
  </w:style>
  <w:style w:type="character" w:styleId="4" w:customStyle="1">
    <w:name w:val="Основной шрифт абзаца4"/>
    <w:qFormat/>
    <w:rsid w:val="003c1fe7"/>
    <w:rPr/>
  </w:style>
  <w:style w:type="character" w:styleId="WW8Num4z4" w:customStyle="1">
    <w:name w:val="WW8Num4z4"/>
    <w:qFormat/>
    <w:rsid w:val="003c1fe7"/>
    <w:rPr/>
  </w:style>
  <w:style w:type="character" w:styleId="WW8Num4z5" w:customStyle="1">
    <w:name w:val="WW8Num4z5"/>
    <w:qFormat/>
    <w:rsid w:val="003c1fe7"/>
    <w:rPr/>
  </w:style>
  <w:style w:type="character" w:styleId="WW8Num4z6" w:customStyle="1">
    <w:name w:val="WW8Num4z6"/>
    <w:qFormat/>
    <w:rsid w:val="003c1fe7"/>
    <w:rPr/>
  </w:style>
  <w:style w:type="character" w:styleId="WW8Num4z7" w:customStyle="1">
    <w:name w:val="WW8Num4z7"/>
    <w:qFormat/>
    <w:rsid w:val="003c1fe7"/>
    <w:rPr/>
  </w:style>
  <w:style w:type="character" w:styleId="WW8Num4z8" w:customStyle="1">
    <w:name w:val="WW8Num4z8"/>
    <w:qFormat/>
    <w:rsid w:val="003c1fe7"/>
    <w:rPr/>
  </w:style>
  <w:style w:type="character" w:styleId="WW8Num5z4" w:customStyle="1">
    <w:name w:val="WW8Num5z4"/>
    <w:qFormat/>
    <w:rsid w:val="003c1fe7"/>
    <w:rPr/>
  </w:style>
  <w:style w:type="character" w:styleId="WW8Num5z5" w:customStyle="1">
    <w:name w:val="WW8Num5z5"/>
    <w:qFormat/>
    <w:rsid w:val="003c1fe7"/>
    <w:rPr/>
  </w:style>
  <w:style w:type="character" w:styleId="WW8Num5z6" w:customStyle="1">
    <w:name w:val="WW8Num5z6"/>
    <w:qFormat/>
    <w:rsid w:val="003c1fe7"/>
    <w:rPr/>
  </w:style>
  <w:style w:type="character" w:styleId="WW8Num5z7" w:customStyle="1">
    <w:name w:val="WW8Num5z7"/>
    <w:qFormat/>
    <w:rsid w:val="003c1fe7"/>
    <w:rPr/>
  </w:style>
  <w:style w:type="character" w:styleId="WW8Num5z8" w:customStyle="1">
    <w:name w:val="WW8Num5z8"/>
    <w:qFormat/>
    <w:rsid w:val="003c1fe7"/>
    <w:rPr/>
  </w:style>
  <w:style w:type="character" w:styleId="WW8Num7z0" w:customStyle="1">
    <w:name w:val="WW8Num7z0"/>
    <w:qFormat/>
    <w:rsid w:val="003c1fe7"/>
    <w:rPr>
      <w:rFonts w:ascii="Times New Roman" w:hAnsi="Times New Roman" w:eastAsia="Times New Roman" w:cs="Times New Roman"/>
      <w:color w:val="000000"/>
    </w:rPr>
  </w:style>
  <w:style w:type="character" w:styleId="WW8Num7z1" w:customStyle="1">
    <w:name w:val="WW8Num7z1"/>
    <w:qFormat/>
    <w:rsid w:val="003c1fe7"/>
    <w:rPr>
      <w:rFonts w:ascii="Courier New" w:hAnsi="Courier New" w:cs="Courier New"/>
    </w:rPr>
  </w:style>
  <w:style w:type="character" w:styleId="WW8Num7z2" w:customStyle="1">
    <w:name w:val="WW8Num7z2"/>
    <w:qFormat/>
    <w:rsid w:val="003c1fe7"/>
    <w:rPr>
      <w:rFonts w:ascii="Wingdings" w:hAnsi="Wingdings" w:cs="Wingdings"/>
    </w:rPr>
  </w:style>
  <w:style w:type="character" w:styleId="WW8Num7z3" w:customStyle="1">
    <w:name w:val="WW8Num7z3"/>
    <w:qFormat/>
    <w:rsid w:val="003c1fe7"/>
    <w:rPr>
      <w:rFonts w:ascii="Symbol" w:hAnsi="Symbol" w:cs="Symbol"/>
    </w:rPr>
  </w:style>
  <w:style w:type="character" w:styleId="WW8Num8z0" w:customStyle="1">
    <w:name w:val="WW8Num8z0"/>
    <w:qFormat/>
    <w:rsid w:val="003c1fe7"/>
    <w:rPr>
      <w:rFonts w:ascii="Times New Roman" w:hAnsi="Times New Roman" w:eastAsia="Times New Roman" w:cs="Times New Roman"/>
    </w:rPr>
  </w:style>
  <w:style w:type="character" w:styleId="WW8Num8z1" w:customStyle="1">
    <w:name w:val="WW8Num8z1"/>
    <w:qFormat/>
    <w:rsid w:val="003c1fe7"/>
    <w:rPr>
      <w:rFonts w:ascii="Courier New" w:hAnsi="Courier New" w:cs="Courier New"/>
    </w:rPr>
  </w:style>
  <w:style w:type="character" w:styleId="WW8Num8z2" w:customStyle="1">
    <w:name w:val="WW8Num8z2"/>
    <w:qFormat/>
    <w:rsid w:val="003c1fe7"/>
    <w:rPr>
      <w:rFonts w:ascii="Wingdings" w:hAnsi="Wingdings" w:cs="Wingdings"/>
    </w:rPr>
  </w:style>
  <w:style w:type="character" w:styleId="WW8Num8z3" w:customStyle="1">
    <w:name w:val="WW8Num8z3"/>
    <w:qFormat/>
    <w:rsid w:val="003c1fe7"/>
    <w:rPr>
      <w:rFonts w:ascii="Symbol" w:hAnsi="Symbol" w:cs="Symbol"/>
    </w:rPr>
  </w:style>
  <w:style w:type="character" w:styleId="WW8Num9z0" w:customStyle="1">
    <w:name w:val="WW8Num9z0"/>
    <w:qFormat/>
    <w:rsid w:val="003c1fe7"/>
    <w:rPr>
      <w:b/>
      <w:color w:val="000000"/>
    </w:rPr>
  </w:style>
  <w:style w:type="character" w:styleId="WW8Num9z1" w:customStyle="1">
    <w:name w:val="WW8Num9z1"/>
    <w:qFormat/>
    <w:rsid w:val="003c1fe7"/>
    <w:rPr/>
  </w:style>
  <w:style w:type="character" w:styleId="WW8Num9z2" w:customStyle="1">
    <w:name w:val="WW8Num9z2"/>
    <w:qFormat/>
    <w:rsid w:val="003c1fe7"/>
    <w:rPr/>
  </w:style>
  <w:style w:type="character" w:styleId="WW8Num9z3" w:customStyle="1">
    <w:name w:val="WW8Num9z3"/>
    <w:qFormat/>
    <w:rsid w:val="003c1fe7"/>
    <w:rPr/>
  </w:style>
  <w:style w:type="character" w:styleId="WW8Num9z4" w:customStyle="1">
    <w:name w:val="WW8Num9z4"/>
    <w:qFormat/>
    <w:rsid w:val="003c1fe7"/>
    <w:rPr/>
  </w:style>
  <w:style w:type="character" w:styleId="WW8Num9z5" w:customStyle="1">
    <w:name w:val="WW8Num9z5"/>
    <w:qFormat/>
    <w:rsid w:val="003c1fe7"/>
    <w:rPr/>
  </w:style>
  <w:style w:type="character" w:styleId="WW8Num9z6" w:customStyle="1">
    <w:name w:val="WW8Num9z6"/>
    <w:qFormat/>
    <w:rsid w:val="003c1fe7"/>
    <w:rPr/>
  </w:style>
  <w:style w:type="character" w:styleId="WW8Num9z7" w:customStyle="1">
    <w:name w:val="WW8Num9z7"/>
    <w:qFormat/>
    <w:rsid w:val="003c1fe7"/>
    <w:rPr/>
  </w:style>
  <w:style w:type="character" w:styleId="WW8Num9z8" w:customStyle="1">
    <w:name w:val="WW8Num9z8"/>
    <w:qFormat/>
    <w:rsid w:val="003c1fe7"/>
    <w:rPr/>
  </w:style>
  <w:style w:type="character" w:styleId="WW8Num10z0" w:customStyle="1">
    <w:name w:val="WW8Num10z0"/>
    <w:qFormat/>
    <w:rsid w:val="003c1fe7"/>
    <w:rPr>
      <w:color w:val="000000"/>
    </w:rPr>
  </w:style>
  <w:style w:type="character" w:styleId="WW8Num10z1" w:customStyle="1">
    <w:name w:val="WW8Num10z1"/>
    <w:qFormat/>
    <w:rsid w:val="003c1fe7"/>
    <w:rPr/>
  </w:style>
  <w:style w:type="character" w:styleId="WW8Num10z2" w:customStyle="1">
    <w:name w:val="WW8Num10z2"/>
    <w:qFormat/>
    <w:rsid w:val="003c1fe7"/>
    <w:rPr/>
  </w:style>
  <w:style w:type="character" w:styleId="WW8Num10z3" w:customStyle="1">
    <w:name w:val="WW8Num10z3"/>
    <w:qFormat/>
    <w:rsid w:val="003c1fe7"/>
    <w:rPr/>
  </w:style>
  <w:style w:type="character" w:styleId="WW8Num10z4" w:customStyle="1">
    <w:name w:val="WW8Num10z4"/>
    <w:qFormat/>
    <w:rsid w:val="003c1fe7"/>
    <w:rPr/>
  </w:style>
  <w:style w:type="character" w:styleId="WW8Num10z5" w:customStyle="1">
    <w:name w:val="WW8Num10z5"/>
    <w:qFormat/>
    <w:rsid w:val="003c1fe7"/>
    <w:rPr/>
  </w:style>
  <w:style w:type="character" w:styleId="WW8Num10z6" w:customStyle="1">
    <w:name w:val="WW8Num10z6"/>
    <w:qFormat/>
    <w:rsid w:val="003c1fe7"/>
    <w:rPr/>
  </w:style>
  <w:style w:type="character" w:styleId="WW8Num10z7" w:customStyle="1">
    <w:name w:val="WW8Num10z7"/>
    <w:qFormat/>
    <w:rsid w:val="003c1fe7"/>
    <w:rPr/>
  </w:style>
  <w:style w:type="character" w:styleId="WW8Num10z8" w:customStyle="1">
    <w:name w:val="WW8Num10z8"/>
    <w:qFormat/>
    <w:rsid w:val="003c1fe7"/>
    <w:rPr/>
  </w:style>
  <w:style w:type="character" w:styleId="WW8Num11z0" w:customStyle="1">
    <w:name w:val="WW8Num11z0"/>
    <w:qFormat/>
    <w:rsid w:val="003c1fe7"/>
    <w:rPr>
      <w:rFonts w:ascii="Times New Roman" w:hAnsi="Times New Roman" w:eastAsia="Times New Roman" w:cs="Times New Roman"/>
    </w:rPr>
  </w:style>
  <w:style w:type="character" w:styleId="WW8Num11z1" w:customStyle="1">
    <w:name w:val="WW8Num11z1"/>
    <w:qFormat/>
    <w:rsid w:val="003c1fe7"/>
    <w:rPr>
      <w:rFonts w:ascii="Courier New" w:hAnsi="Courier New" w:cs="Courier New"/>
    </w:rPr>
  </w:style>
  <w:style w:type="character" w:styleId="WW8Num11z2" w:customStyle="1">
    <w:name w:val="WW8Num11z2"/>
    <w:qFormat/>
    <w:rsid w:val="003c1fe7"/>
    <w:rPr>
      <w:rFonts w:ascii="Wingdings" w:hAnsi="Wingdings" w:cs="Wingdings"/>
    </w:rPr>
  </w:style>
  <w:style w:type="character" w:styleId="WW8Num11z3" w:customStyle="1">
    <w:name w:val="WW8Num11z3"/>
    <w:qFormat/>
    <w:rsid w:val="003c1fe7"/>
    <w:rPr>
      <w:rFonts w:ascii="Symbol" w:hAnsi="Symbol" w:cs="Symbol"/>
    </w:rPr>
  </w:style>
  <w:style w:type="character" w:styleId="WW8Num12z0" w:customStyle="1">
    <w:name w:val="WW8Num12z0"/>
    <w:qFormat/>
    <w:rsid w:val="003c1fe7"/>
    <w:rPr>
      <w:rFonts w:ascii="Times New Roman" w:hAnsi="Times New Roman" w:eastAsia="Times New Roman" w:cs="Times New Roman"/>
    </w:rPr>
  </w:style>
  <w:style w:type="character" w:styleId="WW8Num12z1" w:customStyle="1">
    <w:name w:val="WW8Num12z1"/>
    <w:qFormat/>
    <w:rsid w:val="003c1fe7"/>
    <w:rPr>
      <w:rFonts w:ascii="Courier New" w:hAnsi="Courier New" w:cs="Courier New"/>
    </w:rPr>
  </w:style>
  <w:style w:type="character" w:styleId="WW8Num12z2" w:customStyle="1">
    <w:name w:val="WW8Num12z2"/>
    <w:qFormat/>
    <w:rsid w:val="003c1fe7"/>
    <w:rPr>
      <w:rFonts w:ascii="Wingdings" w:hAnsi="Wingdings" w:cs="Wingdings"/>
    </w:rPr>
  </w:style>
  <w:style w:type="character" w:styleId="WW8Num12z3" w:customStyle="1">
    <w:name w:val="WW8Num12z3"/>
    <w:qFormat/>
    <w:rsid w:val="003c1fe7"/>
    <w:rPr>
      <w:rFonts w:ascii="Symbol" w:hAnsi="Symbol" w:cs="Symbol"/>
    </w:rPr>
  </w:style>
  <w:style w:type="character" w:styleId="WW8Num13z0" w:customStyle="1">
    <w:name w:val="WW8Num13z0"/>
    <w:qFormat/>
    <w:rsid w:val="003c1fe7"/>
    <w:rPr>
      <w:rFonts w:ascii="Times New Roman" w:hAnsi="Times New Roman" w:eastAsia="Times New Roman" w:cs="Times New Roman"/>
      <w:color w:val="000000"/>
    </w:rPr>
  </w:style>
  <w:style w:type="character" w:styleId="WW8Num13z1" w:customStyle="1">
    <w:name w:val="WW8Num13z1"/>
    <w:qFormat/>
    <w:rsid w:val="003c1fe7"/>
    <w:rPr>
      <w:rFonts w:ascii="Courier New" w:hAnsi="Courier New" w:cs="Courier New"/>
    </w:rPr>
  </w:style>
  <w:style w:type="character" w:styleId="WW8Num13z2" w:customStyle="1">
    <w:name w:val="WW8Num13z2"/>
    <w:qFormat/>
    <w:rsid w:val="003c1fe7"/>
    <w:rPr>
      <w:rFonts w:ascii="Wingdings" w:hAnsi="Wingdings" w:cs="Wingdings"/>
    </w:rPr>
  </w:style>
  <w:style w:type="character" w:styleId="WW8Num13z3" w:customStyle="1">
    <w:name w:val="WW8Num13z3"/>
    <w:qFormat/>
    <w:rsid w:val="003c1fe7"/>
    <w:rPr>
      <w:rFonts w:ascii="Symbol" w:hAnsi="Symbol" w:cs="Symbol"/>
    </w:rPr>
  </w:style>
  <w:style w:type="character" w:styleId="WW8Num14z0" w:customStyle="1">
    <w:name w:val="WW8Num14z0"/>
    <w:qFormat/>
    <w:rsid w:val="003c1fe7"/>
    <w:rPr>
      <w:rFonts w:ascii="Times New Roman" w:hAnsi="Times New Roman" w:eastAsia="Times New Roman" w:cs="Times New Roman"/>
      <w:color w:val="000000"/>
    </w:rPr>
  </w:style>
  <w:style w:type="character" w:styleId="WW8Num14z1" w:customStyle="1">
    <w:name w:val="WW8Num14z1"/>
    <w:qFormat/>
    <w:rsid w:val="003c1fe7"/>
    <w:rPr>
      <w:rFonts w:ascii="Courier New" w:hAnsi="Courier New" w:cs="Courier New"/>
    </w:rPr>
  </w:style>
  <w:style w:type="character" w:styleId="WW8Num14z2" w:customStyle="1">
    <w:name w:val="WW8Num14z2"/>
    <w:qFormat/>
    <w:rsid w:val="003c1fe7"/>
    <w:rPr>
      <w:rFonts w:ascii="Wingdings" w:hAnsi="Wingdings" w:cs="Wingdings"/>
    </w:rPr>
  </w:style>
  <w:style w:type="character" w:styleId="WW8Num14z3" w:customStyle="1">
    <w:name w:val="WW8Num14z3"/>
    <w:qFormat/>
    <w:rsid w:val="003c1fe7"/>
    <w:rPr>
      <w:rFonts w:ascii="Symbol" w:hAnsi="Symbol" w:cs="Symbol"/>
    </w:rPr>
  </w:style>
  <w:style w:type="character" w:styleId="WW8Num15z0" w:customStyle="1">
    <w:name w:val="WW8Num15z0"/>
    <w:qFormat/>
    <w:rsid w:val="003c1fe7"/>
    <w:rPr>
      <w:rFonts w:ascii="Times New Roman" w:hAnsi="Times New Roman" w:eastAsia="Times New Roman" w:cs="Times New Roman"/>
      <w:color w:val="000000"/>
    </w:rPr>
  </w:style>
  <w:style w:type="character" w:styleId="WW8Num15z1" w:customStyle="1">
    <w:name w:val="WW8Num15z1"/>
    <w:qFormat/>
    <w:rsid w:val="003c1fe7"/>
    <w:rPr>
      <w:rFonts w:ascii="Courier New" w:hAnsi="Courier New" w:cs="Courier New"/>
    </w:rPr>
  </w:style>
  <w:style w:type="character" w:styleId="WW8Num15z2" w:customStyle="1">
    <w:name w:val="WW8Num15z2"/>
    <w:qFormat/>
    <w:rsid w:val="003c1fe7"/>
    <w:rPr>
      <w:rFonts w:ascii="Wingdings" w:hAnsi="Wingdings" w:cs="Wingdings"/>
    </w:rPr>
  </w:style>
  <w:style w:type="character" w:styleId="WW8Num15z3" w:customStyle="1">
    <w:name w:val="WW8Num15z3"/>
    <w:qFormat/>
    <w:rsid w:val="003c1fe7"/>
    <w:rPr>
      <w:rFonts w:ascii="Symbol" w:hAnsi="Symbol" w:cs="Symbol"/>
    </w:rPr>
  </w:style>
  <w:style w:type="character" w:styleId="WW8Num16z0" w:customStyle="1">
    <w:name w:val="WW8Num16z0"/>
    <w:qFormat/>
    <w:rsid w:val="003c1fe7"/>
    <w:rPr>
      <w:color w:val="000000"/>
    </w:rPr>
  </w:style>
  <w:style w:type="character" w:styleId="WW8Num16z1" w:customStyle="1">
    <w:name w:val="WW8Num16z1"/>
    <w:qFormat/>
    <w:rsid w:val="003c1fe7"/>
    <w:rPr/>
  </w:style>
  <w:style w:type="character" w:styleId="WW8Num16z2" w:customStyle="1">
    <w:name w:val="WW8Num16z2"/>
    <w:qFormat/>
    <w:rsid w:val="003c1fe7"/>
    <w:rPr/>
  </w:style>
  <w:style w:type="character" w:styleId="WW8Num16z3" w:customStyle="1">
    <w:name w:val="WW8Num16z3"/>
    <w:qFormat/>
    <w:rsid w:val="003c1fe7"/>
    <w:rPr/>
  </w:style>
  <w:style w:type="character" w:styleId="WW8Num16z4" w:customStyle="1">
    <w:name w:val="WW8Num16z4"/>
    <w:qFormat/>
    <w:rsid w:val="003c1fe7"/>
    <w:rPr/>
  </w:style>
  <w:style w:type="character" w:styleId="WW8Num16z5" w:customStyle="1">
    <w:name w:val="WW8Num16z5"/>
    <w:qFormat/>
    <w:rsid w:val="003c1fe7"/>
    <w:rPr/>
  </w:style>
  <w:style w:type="character" w:styleId="WW8Num16z6" w:customStyle="1">
    <w:name w:val="WW8Num16z6"/>
    <w:qFormat/>
    <w:rsid w:val="003c1fe7"/>
    <w:rPr/>
  </w:style>
  <w:style w:type="character" w:styleId="WW8Num16z7" w:customStyle="1">
    <w:name w:val="WW8Num16z7"/>
    <w:qFormat/>
    <w:rsid w:val="003c1fe7"/>
    <w:rPr/>
  </w:style>
  <w:style w:type="character" w:styleId="WW8Num16z8" w:customStyle="1">
    <w:name w:val="WW8Num16z8"/>
    <w:qFormat/>
    <w:rsid w:val="003c1fe7"/>
    <w:rPr/>
  </w:style>
  <w:style w:type="character" w:styleId="WW8Num17z0" w:customStyle="1">
    <w:name w:val="WW8Num17z0"/>
    <w:qFormat/>
    <w:rsid w:val="003c1fe7"/>
    <w:rPr>
      <w:rFonts w:ascii="Times New Roman" w:hAnsi="Times New Roman" w:eastAsia="Times New Roman" w:cs="Times New Roman"/>
      <w:color w:val="000000"/>
    </w:rPr>
  </w:style>
  <w:style w:type="character" w:styleId="WW8Num17z1" w:customStyle="1">
    <w:name w:val="WW8Num17z1"/>
    <w:qFormat/>
    <w:rsid w:val="003c1fe7"/>
    <w:rPr>
      <w:rFonts w:ascii="Courier New" w:hAnsi="Courier New" w:cs="Courier New"/>
    </w:rPr>
  </w:style>
  <w:style w:type="character" w:styleId="WW8Num17z2" w:customStyle="1">
    <w:name w:val="WW8Num17z2"/>
    <w:qFormat/>
    <w:rsid w:val="003c1fe7"/>
    <w:rPr>
      <w:rFonts w:ascii="Wingdings" w:hAnsi="Wingdings" w:cs="Wingdings"/>
    </w:rPr>
  </w:style>
  <w:style w:type="character" w:styleId="WW8Num17z3" w:customStyle="1">
    <w:name w:val="WW8Num17z3"/>
    <w:qFormat/>
    <w:rsid w:val="003c1fe7"/>
    <w:rPr>
      <w:rFonts w:ascii="Symbol" w:hAnsi="Symbol" w:cs="Symbol"/>
    </w:rPr>
  </w:style>
  <w:style w:type="character" w:styleId="WW8Num18z0" w:customStyle="1">
    <w:name w:val="WW8Num18z0"/>
    <w:qFormat/>
    <w:rsid w:val="003c1fe7"/>
    <w:rPr>
      <w:rFonts w:ascii="Times New Roman" w:hAnsi="Times New Roman" w:eastAsia="Times New Roman" w:cs="Times New Roman"/>
    </w:rPr>
  </w:style>
  <w:style w:type="character" w:styleId="WW8Num18z1" w:customStyle="1">
    <w:name w:val="WW8Num18z1"/>
    <w:qFormat/>
    <w:rsid w:val="003c1fe7"/>
    <w:rPr>
      <w:rFonts w:ascii="Courier New" w:hAnsi="Courier New" w:cs="Courier New"/>
    </w:rPr>
  </w:style>
  <w:style w:type="character" w:styleId="WW8Num18z2" w:customStyle="1">
    <w:name w:val="WW8Num18z2"/>
    <w:qFormat/>
    <w:rsid w:val="003c1fe7"/>
    <w:rPr>
      <w:rFonts w:ascii="Wingdings" w:hAnsi="Wingdings" w:cs="Wingdings"/>
    </w:rPr>
  </w:style>
  <w:style w:type="character" w:styleId="WW8Num18z3" w:customStyle="1">
    <w:name w:val="WW8Num18z3"/>
    <w:qFormat/>
    <w:rsid w:val="003c1fe7"/>
    <w:rPr>
      <w:rFonts w:ascii="Symbol" w:hAnsi="Symbol" w:cs="Symbol"/>
    </w:rPr>
  </w:style>
  <w:style w:type="character" w:styleId="WW8Num19z0" w:customStyle="1">
    <w:name w:val="WW8Num19z0"/>
    <w:qFormat/>
    <w:rsid w:val="003c1fe7"/>
    <w:rPr>
      <w:rFonts w:ascii="Times New Roman" w:hAnsi="Times New Roman" w:eastAsia="Times New Roman" w:cs="Times New Roman"/>
    </w:rPr>
  </w:style>
  <w:style w:type="character" w:styleId="WW8Num19z1" w:customStyle="1">
    <w:name w:val="WW8Num19z1"/>
    <w:qFormat/>
    <w:rsid w:val="003c1fe7"/>
    <w:rPr>
      <w:rFonts w:ascii="Courier New" w:hAnsi="Courier New" w:cs="Courier New"/>
    </w:rPr>
  </w:style>
  <w:style w:type="character" w:styleId="WW8Num19z2" w:customStyle="1">
    <w:name w:val="WW8Num19z2"/>
    <w:qFormat/>
    <w:rsid w:val="003c1fe7"/>
    <w:rPr>
      <w:rFonts w:ascii="Wingdings" w:hAnsi="Wingdings" w:cs="Wingdings"/>
    </w:rPr>
  </w:style>
  <w:style w:type="character" w:styleId="WW8Num19z3" w:customStyle="1">
    <w:name w:val="WW8Num19z3"/>
    <w:qFormat/>
    <w:rsid w:val="003c1fe7"/>
    <w:rPr>
      <w:rFonts w:ascii="Symbol" w:hAnsi="Symbol" w:cs="Symbol"/>
    </w:rPr>
  </w:style>
  <w:style w:type="character" w:styleId="WW8Num20z0" w:customStyle="1">
    <w:name w:val="WW8Num20z0"/>
    <w:qFormat/>
    <w:rsid w:val="003c1fe7"/>
    <w:rPr>
      <w:rFonts w:ascii="Times New Roman" w:hAnsi="Times New Roman" w:eastAsia="Times New Roman" w:cs="Times New Roman"/>
    </w:rPr>
  </w:style>
  <w:style w:type="character" w:styleId="WW8Num20z1" w:customStyle="1">
    <w:name w:val="WW8Num20z1"/>
    <w:qFormat/>
    <w:rsid w:val="003c1fe7"/>
    <w:rPr>
      <w:rFonts w:ascii="Courier New" w:hAnsi="Courier New" w:cs="Courier New"/>
    </w:rPr>
  </w:style>
  <w:style w:type="character" w:styleId="WW8Num20z2" w:customStyle="1">
    <w:name w:val="WW8Num20z2"/>
    <w:qFormat/>
    <w:rsid w:val="003c1fe7"/>
    <w:rPr>
      <w:rFonts w:ascii="Wingdings" w:hAnsi="Wingdings" w:cs="Wingdings"/>
    </w:rPr>
  </w:style>
  <w:style w:type="character" w:styleId="WW8Num20z3" w:customStyle="1">
    <w:name w:val="WW8Num20z3"/>
    <w:qFormat/>
    <w:rsid w:val="003c1fe7"/>
    <w:rPr>
      <w:rFonts w:ascii="Symbol" w:hAnsi="Symbol" w:cs="Symbol"/>
    </w:rPr>
  </w:style>
  <w:style w:type="character" w:styleId="WW8Num21z0" w:customStyle="1">
    <w:name w:val="WW8Num21z0"/>
    <w:qFormat/>
    <w:rsid w:val="003c1fe7"/>
    <w:rPr>
      <w:rFonts w:ascii="Times New Roman" w:hAnsi="Times New Roman" w:eastAsia="Times New Roman" w:cs="Times New Roman"/>
      <w:color w:val="000000"/>
    </w:rPr>
  </w:style>
  <w:style w:type="character" w:styleId="WW8Num21z1" w:customStyle="1">
    <w:name w:val="WW8Num21z1"/>
    <w:qFormat/>
    <w:rsid w:val="003c1fe7"/>
    <w:rPr>
      <w:rFonts w:ascii="Courier New" w:hAnsi="Courier New" w:cs="Courier New"/>
    </w:rPr>
  </w:style>
  <w:style w:type="character" w:styleId="WW8Num21z2" w:customStyle="1">
    <w:name w:val="WW8Num21z2"/>
    <w:qFormat/>
    <w:rsid w:val="003c1fe7"/>
    <w:rPr>
      <w:rFonts w:ascii="Wingdings" w:hAnsi="Wingdings" w:cs="Wingdings"/>
    </w:rPr>
  </w:style>
  <w:style w:type="character" w:styleId="WW8Num21z3" w:customStyle="1">
    <w:name w:val="WW8Num21z3"/>
    <w:qFormat/>
    <w:rsid w:val="003c1fe7"/>
    <w:rPr>
      <w:rFonts w:ascii="Symbol" w:hAnsi="Symbol" w:cs="Symbol"/>
    </w:rPr>
  </w:style>
  <w:style w:type="character" w:styleId="WW8Num22z0" w:customStyle="1">
    <w:name w:val="WW8Num22z0"/>
    <w:qFormat/>
    <w:rsid w:val="003c1fe7"/>
    <w:rPr>
      <w:color w:val="000000"/>
    </w:rPr>
  </w:style>
  <w:style w:type="character" w:styleId="WW8Num22z1" w:customStyle="1">
    <w:name w:val="WW8Num22z1"/>
    <w:qFormat/>
    <w:rsid w:val="003c1fe7"/>
    <w:rPr/>
  </w:style>
  <w:style w:type="character" w:styleId="WW8Num22z2" w:customStyle="1">
    <w:name w:val="WW8Num22z2"/>
    <w:qFormat/>
    <w:rsid w:val="003c1fe7"/>
    <w:rPr/>
  </w:style>
  <w:style w:type="character" w:styleId="WW8Num22z3" w:customStyle="1">
    <w:name w:val="WW8Num22z3"/>
    <w:qFormat/>
    <w:rsid w:val="003c1fe7"/>
    <w:rPr/>
  </w:style>
  <w:style w:type="character" w:styleId="WW8Num22z4" w:customStyle="1">
    <w:name w:val="WW8Num22z4"/>
    <w:qFormat/>
    <w:rsid w:val="003c1fe7"/>
    <w:rPr/>
  </w:style>
  <w:style w:type="character" w:styleId="WW8Num22z5" w:customStyle="1">
    <w:name w:val="WW8Num22z5"/>
    <w:qFormat/>
    <w:rsid w:val="003c1fe7"/>
    <w:rPr/>
  </w:style>
  <w:style w:type="character" w:styleId="WW8Num22z6" w:customStyle="1">
    <w:name w:val="WW8Num22z6"/>
    <w:qFormat/>
    <w:rsid w:val="003c1fe7"/>
    <w:rPr/>
  </w:style>
  <w:style w:type="character" w:styleId="WW8Num22z7" w:customStyle="1">
    <w:name w:val="WW8Num22z7"/>
    <w:qFormat/>
    <w:rsid w:val="003c1fe7"/>
    <w:rPr/>
  </w:style>
  <w:style w:type="character" w:styleId="WW8Num22z8" w:customStyle="1">
    <w:name w:val="WW8Num22z8"/>
    <w:qFormat/>
    <w:rsid w:val="003c1fe7"/>
    <w:rPr/>
  </w:style>
  <w:style w:type="character" w:styleId="WW8Num23z0" w:customStyle="1">
    <w:name w:val="WW8Num23z0"/>
    <w:qFormat/>
    <w:rsid w:val="003c1fe7"/>
    <w:rPr>
      <w:rFonts w:ascii="Times New Roman" w:hAnsi="Times New Roman" w:eastAsia="Times New Roman" w:cs="Times New Roman"/>
    </w:rPr>
  </w:style>
  <w:style w:type="character" w:styleId="WW8Num23z1" w:customStyle="1">
    <w:name w:val="WW8Num23z1"/>
    <w:qFormat/>
    <w:rsid w:val="003c1fe7"/>
    <w:rPr>
      <w:rFonts w:ascii="Courier New" w:hAnsi="Courier New" w:cs="Courier New"/>
    </w:rPr>
  </w:style>
  <w:style w:type="character" w:styleId="WW8Num23z2" w:customStyle="1">
    <w:name w:val="WW8Num23z2"/>
    <w:qFormat/>
    <w:rsid w:val="003c1fe7"/>
    <w:rPr>
      <w:rFonts w:ascii="Wingdings" w:hAnsi="Wingdings" w:cs="Wingdings"/>
    </w:rPr>
  </w:style>
  <w:style w:type="character" w:styleId="WW8Num23z3" w:customStyle="1">
    <w:name w:val="WW8Num23z3"/>
    <w:qFormat/>
    <w:rsid w:val="003c1fe7"/>
    <w:rPr>
      <w:rFonts w:ascii="Symbol" w:hAnsi="Symbol" w:cs="Symbol"/>
    </w:rPr>
  </w:style>
  <w:style w:type="character" w:styleId="WW8Num24z0" w:customStyle="1">
    <w:name w:val="WW8Num24z0"/>
    <w:qFormat/>
    <w:rsid w:val="003c1fe7"/>
    <w:rPr>
      <w:rFonts w:ascii="Times New Roman" w:hAnsi="Times New Roman" w:eastAsia="Times New Roman" w:cs="Times New Roman"/>
      <w:color w:val="000000"/>
    </w:rPr>
  </w:style>
  <w:style w:type="character" w:styleId="WW8Num24z1" w:customStyle="1">
    <w:name w:val="WW8Num24z1"/>
    <w:qFormat/>
    <w:rsid w:val="003c1fe7"/>
    <w:rPr>
      <w:rFonts w:ascii="Courier New" w:hAnsi="Courier New" w:cs="Courier New"/>
    </w:rPr>
  </w:style>
  <w:style w:type="character" w:styleId="WW8Num24z2" w:customStyle="1">
    <w:name w:val="WW8Num24z2"/>
    <w:qFormat/>
    <w:rsid w:val="003c1fe7"/>
    <w:rPr>
      <w:rFonts w:ascii="Wingdings" w:hAnsi="Wingdings" w:cs="Wingdings"/>
    </w:rPr>
  </w:style>
  <w:style w:type="character" w:styleId="WW8Num24z3" w:customStyle="1">
    <w:name w:val="WW8Num24z3"/>
    <w:qFormat/>
    <w:rsid w:val="003c1fe7"/>
    <w:rPr>
      <w:rFonts w:ascii="Symbol" w:hAnsi="Symbol" w:cs="Symbol"/>
    </w:rPr>
  </w:style>
  <w:style w:type="character" w:styleId="WW8Num25z0" w:customStyle="1">
    <w:name w:val="WW8Num25z0"/>
    <w:qFormat/>
    <w:rsid w:val="003c1fe7"/>
    <w:rPr>
      <w:rFonts w:ascii="Times New Roman" w:hAnsi="Times New Roman" w:eastAsia="Times New Roman" w:cs="Times New Roman"/>
    </w:rPr>
  </w:style>
  <w:style w:type="character" w:styleId="WW8Num25z1" w:customStyle="1">
    <w:name w:val="WW8Num25z1"/>
    <w:qFormat/>
    <w:rsid w:val="003c1fe7"/>
    <w:rPr>
      <w:rFonts w:ascii="Courier New" w:hAnsi="Courier New" w:cs="Courier New"/>
    </w:rPr>
  </w:style>
  <w:style w:type="character" w:styleId="WW8Num25z2" w:customStyle="1">
    <w:name w:val="WW8Num25z2"/>
    <w:qFormat/>
    <w:rsid w:val="003c1fe7"/>
    <w:rPr>
      <w:rFonts w:ascii="Wingdings" w:hAnsi="Wingdings" w:cs="Wingdings"/>
    </w:rPr>
  </w:style>
  <w:style w:type="character" w:styleId="WW8Num25z3" w:customStyle="1">
    <w:name w:val="WW8Num25z3"/>
    <w:qFormat/>
    <w:rsid w:val="003c1fe7"/>
    <w:rPr>
      <w:rFonts w:ascii="Symbol" w:hAnsi="Symbol" w:cs="Symbol"/>
    </w:rPr>
  </w:style>
  <w:style w:type="character" w:styleId="WW8Num26z0" w:customStyle="1">
    <w:name w:val="WW8Num26z0"/>
    <w:qFormat/>
    <w:rsid w:val="003c1fe7"/>
    <w:rPr/>
  </w:style>
  <w:style w:type="character" w:styleId="WW8Num26z1" w:customStyle="1">
    <w:name w:val="WW8Num26z1"/>
    <w:qFormat/>
    <w:rsid w:val="003c1fe7"/>
    <w:rPr/>
  </w:style>
  <w:style w:type="character" w:styleId="WW8Num26z2" w:customStyle="1">
    <w:name w:val="WW8Num26z2"/>
    <w:qFormat/>
    <w:rsid w:val="003c1fe7"/>
    <w:rPr/>
  </w:style>
  <w:style w:type="character" w:styleId="WW8Num26z3" w:customStyle="1">
    <w:name w:val="WW8Num26z3"/>
    <w:qFormat/>
    <w:rsid w:val="003c1fe7"/>
    <w:rPr/>
  </w:style>
  <w:style w:type="character" w:styleId="WW8Num26z4" w:customStyle="1">
    <w:name w:val="WW8Num26z4"/>
    <w:qFormat/>
    <w:rsid w:val="003c1fe7"/>
    <w:rPr/>
  </w:style>
  <w:style w:type="character" w:styleId="WW8Num26z5" w:customStyle="1">
    <w:name w:val="WW8Num26z5"/>
    <w:qFormat/>
    <w:rsid w:val="003c1fe7"/>
    <w:rPr/>
  </w:style>
  <w:style w:type="character" w:styleId="WW8Num26z6" w:customStyle="1">
    <w:name w:val="WW8Num26z6"/>
    <w:qFormat/>
    <w:rsid w:val="003c1fe7"/>
    <w:rPr/>
  </w:style>
  <w:style w:type="character" w:styleId="WW8Num26z7" w:customStyle="1">
    <w:name w:val="WW8Num26z7"/>
    <w:qFormat/>
    <w:rsid w:val="003c1fe7"/>
    <w:rPr/>
  </w:style>
  <w:style w:type="character" w:styleId="WW8Num26z8" w:customStyle="1">
    <w:name w:val="WW8Num26z8"/>
    <w:qFormat/>
    <w:rsid w:val="003c1fe7"/>
    <w:rPr/>
  </w:style>
  <w:style w:type="character" w:styleId="WW8Num27z0" w:customStyle="1">
    <w:name w:val="WW8Num27z0"/>
    <w:qFormat/>
    <w:rsid w:val="003c1fe7"/>
    <w:rPr>
      <w:b/>
      <w:color w:val="000000"/>
    </w:rPr>
  </w:style>
  <w:style w:type="character" w:styleId="WW8Num27z1" w:customStyle="1">
    <w:name w:val="WW8Num27z1"/>
    <w:qFormat/>
    <w:rsid w:val="003c1fe7"/>
    <w:rPr/>
  </w:style>
  <w:style w:type="character" w:styleId="WW8Num27z2" w:customStyle="1">
    <w:name w:val="WW8Num27z2"/>
    <w:qFormat/>
    <w:rsid w:val="003c1fe7"/>
    <w:rPr/>
  </w:style>
  <w:style w:type="character" w:styleId="WW8Num27z3" w:customStyle="1">
    <w:name w:val="WW8Num27z3"/>
    <w:qFormat/>
    <w:rsid w:val="003c1fe7"/>
    <w:rPr/>
  </w:style>
  <w:style w:type="character" w:styleId="WW8Num27z4" w:customStyle="1">
    <w:name w:val="WW8Num27z4"/>
    <w:qFormat/>
    <w:rsid w:val="003c1fe7"/>
    <w:rPr/>
  </w:style>
  <w:style w:type="character" w:styleId="WW8Num27z5" w:customStyle="1">
    <w:name w:val="WW8Num27z5"/>
    <w:qFormat/>
    <w:rsid w:val="003c1fe7"/>
    <w:rPr/>
  </w:style>
  <w:style w:type="character" w:styleId="WW8Num27z6" w:customStyle="1">
    <w:name w:val="WW8Num27z6"/>
    <w:qFormat/>
    <w:rsid w:val="003c1fe7"/>
    <w:rPr/>
  </w:style>
  <w:style w:type="character" w:styleId="WW8Num27z7" w:customStyle="1">
    <w:name w:val="WW8Num27z7"/>
    <w:qFormat/>
    <w:rsid w:val="003c1fe7"/>
    <w:rPr/>
  </w:style>
  <w:style w:type="character" w:styleId="WW8Num27z8" w:customStyle="1">
    <w:name w:val="WW8Num27z8"/>
    <w:qFormat/>
    <w:rsid w:val="003c1fe7"/>
    <w:rPr/>
  </w:style>
  <w:style w:type="character" w:styleId="WW8Num28z0" w:customStyle="1">
    <w:name w:val="WW8Num28z0"/>
    <w:qFormat/>
    <w:rsid w:val="003c1fe7"/>
    <w:rPr>
      <w:color w:val="000000"/>
    </w:rPr>
  </w:style>
  <w:style w:type="character" w:styleId="WW8Num28z1" w:customStyle="1">
    <w:name w:val="WW8Num28z1"/>
    <w:qFormat/>
    <w:rsid w:val="003c1fe7"/>
    <w:rPr/>
  </w:style>
  <w:style w:type="character" w:styleId="WW8Num28z2" w:customStyle="1">
    <w:name w:val="WW8Num28z2"/>
    <w:qFormat/>
    <w:rsid w:val="003c1fe7"/>
    <w:rPr/>
  </w:style>
  <w:style w:type="character" w:styleId="WW8Num28z3" w:customStyle="1">
    <w:name w:val="WW8Num28z3"/>
    <w:qFormat/>
    <w:rsid w:val="003c1fe7"/>
    <w:rPr/>
  </w:style>
  <w:style w:type="character" w:styleId="WW8Num28z4" w:customStyle="1">
    <w:name w:val="WW8Num28z4"/>
    <w:qFormat/>
    <w:rsid w:val="003c1fe7"/>
    <w:rPr/>
  </w:style>
  <w:style w:type="character" w:styleId="WW8Num28z5" w:customStyle="1">
    <w:name w:val="WW8Num28z5"/>
    <w:qFormat/>
    <w:rsid w:val="003c1fe7"/>
    <w:rPr/>
  </w:style>
  <w:style w:type="character" w:styleId="WW8Num28z6" w:customStyle="1">
    <w:name w:val="WW8Num28z6"/>
    <w:qFormat/>
    <w:rsid w:val="003c1fe7"/>
    <w:rPr/>
  </w:style>
  <w:style w:type="character" w:styleId="WW8Num28z7" w:customStyle="1">
    <w:name w:val="WW8Num28z7"/>
    <w:qFormat/>
    <w:rsid w:val="003c1fe7"/>
    <w:rPr/>
  </w:style>
  <w:style w:type="character" w:styleId="WW8Num28z8" w:customStyle="1">
    <w:name w:val="WW8Num28z8"/>
    <w:qFormat/>
    <w:rsid w:val="003c1fe7"/>
    <w:rPr/>
  </w:style>
  <w:style w:type="character" w:styleId="WW8Num29z0" w:customStyle="1">
    <w:name w:val="WW8Num29z0"/>
    <w:qFormat/>
    <w:rsid w:val="003c1fe7"/>
    <w:rPr>
      <w:color w:val="000000"/>
    </w:rPr>
  </w:style>
  <w:style w:type="character" w:styleId="WW8Num29z1" w:customStyle="1">
    <w:name w:val="WW8Num29z1"/>
    <w:qFormat/>
    <w:rsid w:val="003c1fe7"/>
    <w:rPr/>
  </w:style>
  <w:style w:type="character" w:styleId="WW8Num29z2" w:customStyle="1">
    <w:name w:val="WW8Num29z2"/>
    <w:qFormat/>
    <w:rsid w:val="003c1fe7"/>
    <w:rPr/>
  </w:style>
  <w:style w:type="character" w:styleId="WW8Num29z3" w:customStyle="1">
    <w:name w:val="WW8Num29z3"/>
    <w:qFormat/>
    <w:rsid w:val="003c1fe7"/>
    <w:rPr/>
  </w:style>
  <w:style w:type="character" w:styleId="WW8Num29z4" w:customStyle="1">
    <w:name w:val="WW8Num29z4"/>
    <w:qFormat/>
    <w:rsid w:val="003c1fe7"/>
    <w:rPr/>
  </w:style>
  <w:style w:type="character" w:styleId="WW8Num29z5" w:customStyle="1">
    <w:name w:val="WW8Num29z5"/>
    <w:qFormat/>
    <w:rsid w:val="003c1fe7"/>
    <w:rPr/>
  </w:style>
  <w:style w:type="character" w:styleId="WW8Num29z6" w:customStyle="1">
    <w:name w:val="WW8Num29z6"/>
    <w:qFormat/>
    <w:rsid w:val="003c1fe7"/>
    <w:rPr/>
  </w:style>
  <w:style w:type="character" w:styleId="WW8Num29z7" w:customStyle="1">
    <w:name w:val="WW8Num29z7"/>
    <w:qFormat/>
    <w:rsid w:val="003c1fe7"/>
    <w:rPr/>
  </w:style>
  <w:style w:type="character" w:styleId="WW8Num29z8" w:customStyle="1">
    <w:name w:val="WW8Num29z8"/>
    <w:qFormat/>
    <w:rsid w:val="003c1fe7"/>
    <w:rPr/>
  </w:style>
  <w:style w:type="character" w:styleId="WW8Num30z0" w:customStyle="1">
    <w:name w:val="WW8Num30z0"/>
    <w:qFormat/>
    <w:rsid w:val="003c1fe7"/>
    <w:rPr>
      <w:rFonts w:ascii="Times New Roman" w:hAnsi="Times New Roman" w:eastAsia="Times New Roman" w:cs="Times New Roman"/>
    </w:rPr>
  </w:style>
  <w:style w:type="character" w:styleId="WW8Num30z1" w:customStyle="1">
    <w:name w:val="WW8Num30z1"/>
    <w:qFormat/>
    <w:rsid w:val="003c1fe7"/>
    <w:rPr>
      <w:rFonts w:ascii="Courier New" w:hAnsi="Courier New" w:cs="Courier New"/>
    </w:rPr>
  </w:style>
  <w:style w:type="character" w:styleId="WW8Num30z2" w:customStyle="1">
    <w:name w:val="WW8Num30z2"/>
    <w:qFormat/>
    <w:rsid w:val="003c1fe7"/>
    <w:rPr>
      <w:rFonts w:ascii="Wingdings" w:hAnsi="Wingdings" w:cs="Wingdings"/>
    </w:rPr>
  </w:style>
  <w:style w:type="character" w:styleId="WW8Num30z3" w:customStyle="1">
    <w:name w:val="WW8Num30z3"/>
    <w:qFormat/>
    <w:rsid w:val="003c1fe7"/>
    <w:rPr>
      <w:rFonts w:ascii="Symbol" w:hAnsi="Symbol" w:cs="Symbol"/>
    </w:rPr>
  </w:style>
  <w:style w:type="character" w:styleId="WW8Num31z0" w:customStyle="1">
    <w:name w:val="WW8Num31z0"/>
    <w:qFormat/>
    <w:rsid w:val="003c1fe7"/>
    <w:rPr>
      <w:color w:val="000000"/>
    </w:rPr>
  </w:style>
  <w:style w:type="character" w:styleId="WW8Num31z1" w:customStyle="1">
    <w:name w:val="WW8Num31z1"/>
    <w:qFormat/>
    <w:rsid w:val="003c1fe7"/>
    <w:rPr/>
  </w:style>
  <w:style w:type="character" w:styleId="WW8Num31z2" w:customStyle="1">
    <w:name w:val="WW8Num31z2"/>
    <w:qFormat/>
    <w:rsid w:val="003c1fe7"/>
    <w:rPr/>
  </w:style>
  <w:style w:type="character" w:styleId="WW8Num31z3" w:customStyle="1">
    <w:name w:val="WW8Num31z3"/>
    <w:qFormat/>
    <w:rsid w:val="003c1fe7"/>
    <w:rPr/>
  </w:style>
  <w:style w:type="character" w:styleId="WW8Num31z4" w:customStyle="1">
    <w:name w:val="WW8Num31z4"/>
    <w:qFormat/>
    <w:rsid w:val="003c1fe7"/>
    <w:rPr/>
  </w:style>
  <w:style w:type="character" w:styleId="WW8Num31z5" w:customStyle="1">
    <w:name w:val="WW8Num31z5"/>
    <w:qFormat/>
    <w:rsid w:val="003c1fe7"/>
    <w:rPr/>
  </w:style>
  <w:style w:type="character" w:styleId="WW8Num31z6" w:customStyle="1">
    <w:name w:val="WW8Num31z6"/>
    <w:qFormat/>
    <w:rsid w:val="003c1fe7"/>
    <w:rPr/>
  </w:style>
  <w:style w:type="character" w:styleId="WW8Num31z7" w:customStyle="1">
    <w:name w:val="WW8Num31z7"/>
    <w:qFormat/>
    <w:rsid w:val="003c1fe7"/>
    <w:rPr/>
  </w:style>
  <w:style w:type="character" w:styleId="WW8Num31z8" w:customStyle="1">
    <w:name w:val="WW8Num31z8"/>
    <w:qFormat/>
    <w:rsid w:val="003c1fe7"/>
    <w:rPr/>
  </w:style>
  <w:style w:type="character" w:styleId="3" w:customStyle="1">
    <w:name w:val="Основной шрифт абзаца3"/>
    <w:qFormat/>
    <w:rsid w:val="003c1fe7"/>
    <w:rPr/>
  </w:style>
  <w:style w:type="character" w:styleId="2" w:customStyle="1">
    <w:name w:val="Основной шрифт абзаца2"/>
    <w:qFormat/>
    <w:rsid w:val="003c1fe7"/>
    <w:rPr/>
  </w:style>
  <w:style w:type="character" w:styleId="1" w:customStyle="1">
    <w:name w:val="Основной шрифт абзаца1"/>
    <w:qFormat/>
    <w:rsid w:val="003c1fe7"/>
    <w:rPr/>
  </w:style>
  <w:style w:type="character" w:styleId="PageNumber">
    <w:name w:val="page number"/>
    <w:basedOn w:val="1"/>
    <w:rsid w:val="003c1fe7"/>
    <w:rPr/>
  </w:style>
  <w:style w:type="character" w:styleId="FontStyle13" w:customStyle="1">
    <w:name w:val="Font Style13"/>
    <w:qFormat/>
    <w:rsid w:val="003c1fe7"/>
    <w:rPr>
      <w:rFonts w:ascii="Times New Roman" w:hAnsi="Times New Roman" w:cs="Times New Roman"/>
      <w:sz w:val="22"/>
      <w:szCs w:val="22"/>
    </w:rPr>
  </w:style>
  <w:style w:type="character" w:styleId="Style10" w:customStyle="1">
    <w:name w:val="Название Знак"/>
    <w:qFormat/>
    <w:rsid w:val="003c1fe7"/>
    <w:rPr>
      <w:lang w:val="ru-RU" w:bidi="ar-SA"/>
    </w:rPr>
  </w:style>
  <w:style w:type="character" w:styleId="rvts37" w:customStyle="1">
    <w:name w:val="rvts37"/>
    <w:qFormat/>
    <w:rsid w:val="003c1fe7"/>
    <w:rPr>
      <w:rFonts w:cs="Times New Roman"/>
    </w:rPr>
  </w:style>
  <w:style w:type="character" w:styleId="Style11" w:customStyle="1">
    <w:name w:val="Нижний колонтитул Знак"/>
    <w:qFormat/>
    <w:rsid w:val="003c1fe7"/>
    <w:rPr/>
  </w:style>
  <w:style w:type="character" w:styleId="Style12" w:customStyle="1">
    <w:name w:val="Верхний колонтитул Знак"/>
    <w:qFormat/>
    <w:rsid w:val="003c1fe7"/>
    <w:rPr/>
  </w:style>
  <w:style w:type="character" w:styleId="Style13" w:customStyle="1">
    <w:name w:val="Символи виноски"/>
    <w:qFormat/>
    <w:rsid w:val="003c1fe7"/>
    <w:rPr/>
  </w:style>
  <w:style w:type="character" w:styleId="15" w:customStyle="1">
    <w:name w:val="Знак сноски1"/>
    <w:qFormat/>
    <w:rsid w:val="003c1fe7"/>
    <w:rPr>
      <w:vertAlign w:val="superscript"/>
    </w:rPr>
  </w:style>
  <w:style w:type="paragraph" w:styleId="Style14" w:customStyle="1">
    <w:name w:val="Заголовок"/>
    <w:basedOn w:val="Normal"/>
    <w:next w:val="BodyText"/>
    <w:qFormat/>
    <w:rsid w:val="003c1fe7"/>
    <w:pPr>
      <w:jc w:val="center"/>
    </w:pPr>
    <w:rPr/>
  </w:style>
  <w:style w:type="paragraph" w:styleId="BodyText">
    <w:name w:val="Body Text"/>
    <w:basedOn w:val="Normal"/>
    <w:rsid w:val="003c1fe7"/>
    <w:pPr/>
    <w:rPr>
      <w:sz w:val="24"/>
      <w:lang w:val="uk-UA"/>
    </w:rPr>
  </w:style>
  <w:style w:type="paragraph" w:styleId="List">
    <w:name w:val="List"/>
    <w:basedOn w:val="BodyText"/>
    <w:rsid w:val="003c1fe7"/>
    <w:pPr/>
    <w:rPr>
      <w:rFonts w:cs="Arial"/>
    </w:rPr>
  </w:style>
  <w:style w:type="paragraph" w:styleId="Caption">
    <w:name w:val="caption"/>
    <w:basedOn w:val="Normal"/>
    <w:qFormat/>
    <w:rsid w:val="003c1fe7"/>
    <w:pPr>
      <w:suppressLineNumbers/>
      <w:spacing w:before="120" w:after="120"/>
    </w:pPr>
    <w:rPr>
      <w:rFonts w:cs="Lucida Sans"/>
      <w:i/>
      <w:iCs/>
      <w:sz w:val="24"/>
      <w:szCs w:val="24"/>
    </w:rPr>
  </w:style>
  <w:style w:type="paragraph" w:styleId="Style15" w:customStyle="1">
    <w:name w:val="Покажчик"/>
    <w:basedOn w:val="Normal"/>
    <w:qFormat/>
    <w:rsid w:val="003c1fe7"/>
    <w:pPr>
      <w:suppressLineNumbers/>
    </w:pPr>
    <w:rPr>
      <w:rFonts w:cs="Arial"/>
    </w:rPr>
  </w:style>
  <w:style w:type="paragraph" w:styleId="131" w:customStyle="1">
    <w:name w:val="Название объекта13"/>
    <w:basedOn w:val="Normal"/>
    <w:qFormat/>
    <w:rsid w:val="003c1fe7"/>
    <w:pPr>
      <w:suppressLineNumbers/>
      <w:spacing w:before="120" w:after="120"/>
    </w:pPr>
    <w:rPr>
      <w:rFonts w:cs="Lucida Sans"/>
      <w:i/>
      <w:iCs/>
      <w:sz w:val="24"/>
      <w:szCs w:val="24"/>
    </w:rPr>
  </w:style>
  <w:style w:type="paragraph" w:styleId="121" w:customStyle="1">
    <w:name w:val="Название объекта12"/>
    <w:basedOn w:val="Normal"/>
    <w:qFormat/>
    <w:rsid w:val="003c1fe7"/>
    <w:pPr>
      <w:suppressLineNumbers/>
      <w:spacing w:before="120" w:after="120"/>
    </w:pPr>
    <w:rPr>
      <w:rFonts w:cs="Lucida Sans"/>
      <w:i/>
      <w:iCs/>
      <w:sz w:val="24"/>
      <w:szCs w:val="24"/>
    </w:rPr>
  </w:style>
  <w:style w:type="paragraph" w:styleId="111" w:customStyle="1">
    <w:name w:val="Название объекта11"/>
    <w:basedOn w:val="Normal"/>
    <w:qFormat/>
    <w:rsid w:val="003c1fe7"/>
    <w:pPr>
      <w:suppressLineNumbers/>
      <w:spacing w:before="120" w:after="120"/>
    </w:pPr>
    <w:rPr>
      <w:rFonts w:cs="Lucida Sans"/>
      <w:i/>
      <w:iCs/>
      <w:sz w:val="24"/>
      <w:szCs w:val="24"/>
    </w:rPr>
  </w:style>
  <w:style w:type="paragraph" w:styleId="101" w:customStyle="1">
    <w:name w:val="Название объекта10"/>
    <w:basedOn w:val="Normal"/>
    <w:qFormat/>
    <w:rsid w:val="003c1fe7"/>
    <w:pPr>
      <w:suppressLineNumbers/>
      <w:spacing w:before="120" w:after="120"/>
    </w:pPr>
    <w:rPr>
      <w:rFonts w:cs="Lucida Sans"/>
      <w:i/>
      <w:iCs/>
      <w:sz w:val="24"/>
      <w:szCs w:val="24"/>
    </w:rPr>
  </w:style>
  <w:style w:type="paragraph" w:styleId="91" w:customStyle="1">
    <w:name w:val="Название объекта9"/>
    <w:basedOn w:val="Normal"/>
    <w:qFormat/>
    <w:rsid w:val="003c1fe7"/>
    <w:pPr>
      <w:suppressLineNumbers/>
      <w:spacing w:before="120" w:after="120"/>
    </w:pPr>
    <w:rPr>
      <w:rFonts w:cs="Lucida Sans"/>
      <w:i/>
      <w:iCs/>
      <w:sz w:val="24"/>
      <w:szCs w:val="24"/>
    </w:rPr>
  </w:style>
  <w:style w:type="paragraph" w:styleId="81" w:customStyle="1">
    <w:name w:val="Название объекта8"/>
    <w:basedOn w:val="Normal"/>
    <w:qFormat/>
    <w:rsid w:val="003c1fe7"/>
    <w:pPr>
      <w:suppressLineNumbers/>
      <w:spacing w:before="120" w:after="120"/>
    </w:pPr>
    <w:rPr>
      <w:rFonts w:cs="Lucida Sans"/>
      <w:i/>
      <w:iCs/>
      <w:sz w:val="24"/>
      <w:szCs w:val="24"/>
    </w:rPr>
  </w:style>
  <w:style w:type="paragraph" w:styleId="71" w:customStyle="1">
    <w:name w:val="Название объекта7"/>
    <w:basedOn w:val="Normal"/>
    <w:qFormat/>
    <w:rsid w:val="003c1fe7"/>
    <w:pPr>
      <w:suppressLineNumbers/>
      <w:spacing w:before="120" w:after="120"/>
    </w:pPr>
    <w:rPr>
      <w:rFonts w:cs="Lucida Sans"/>
      <w:i/>
      <w:iCs/>
      <w:sz w:val="24"/>
      <w:szCs w:val="24"/>
    </w:rPr>
  </w:style>
  <w:style w:type="paragraph" w:styleId="61" w:customStyle="1">
    <w:name w:val="Название объекта6"/>
    <w:basedOn w:val="Normal"/>
    <w:qFormat/>
    <w:rsid w:val="003c1fe7"/>
    <w:pPr>
      <w:suppressLineNumbers/>
      <w:spacing w:before="120" w:after="120"/>
    </w:pPr>
    <w:rPr>
      <w:rFonts w:cs="Arial"/>
      <w:i/>
      <w:iCs/>
      <w:sz w:val="24"/>
      <w:szCs w:val="24"/>
    </w:rPr>
  </w:style>
  <w:style w:type="paragraph" w:styleId="51" w:customStyle="1">
    <w:name w:val="Название объекта5"/>
    <w:basedOn w:val="Normal"/>
    <w:qFormat/>
    <w:rsid w:val="003c1fe7"/>
    <w:pPr>
      <w:suppressLineNumbers/>
      <w:spacing w:before="120" w:after="120"/>
    </w:pPr>
    <w:rPr>
      <w:rFonts w:cs="Arial"/>
      <w:i/>
      <w:iCs/>
      <w:sz w:val="24"/>
      <w:szCs w:val="24"/>
    </w:rPr>
  </w:style>
  <w:style w:type="paragraph" w:styleId="41" w:customStyle="1">
    <w:name w:val="Название объекта4"/>
    <w:basedOn w:val="Normal"/>
    <w:qFormat/>
    <w:rsid w:val="003c1fe7"/>
    <w:pPr>
      <w:suppressLineNumbers/>
      <w:spacing w:before="120" w:after="120"/>
    </w:pPr>
    <w:rPr>
      <w:rFonts w:cs="Arial"/>
      <w:i/>
      <w:iCs/>
      <w:sz w:val="24"/>
      <w:szCs w:val="24"/>
    </w:rPr>
  </w:style>
  <w:style w:type="paragraph" w:styleId="31" w:customStyle="1">
    <w:name w:val="Название объекта3"/>
    <w:basedOn w:val="Normal"/>
    <w:qFormat/>
    <w:rsid w:val="003c1fe7"/>
    <w:pPr>
      <w:suppressLineNumbers/>
      <w:spacing w:before="120" w:after="120"/>
    </w:pPr>
    <w:rPr>
      <w:rFonts w:cs="Arial"/>
      <w:i/>
      <w:iCs/>
      <w:sz w:val="24"/>
      <w:szCs w:val="24"/>
    </w:rPr>
  </w:style>
  <w:style w:type="paragraph" w:styleId="21" w:customStyle="1">
    <w:name w:val="Название объекта2"/>
    <w:basedOn w:val="Normal"/>
    <w:qFormat/>
    <w:rsid w:val="003c1fe7"/>
    <w:pPr>
      <w:suppressLineNumbers/>
      <w:spacing w:before="120" w:after="120"/>
    </w:pPr>
    <w:rPr>
      <w:rFonts w:cs="Arial"/>
      <w:i/>
      <w:iCs/>
      <w:sz w:val="24"/>
      <w:szCs w:val="24"/>
    </w:rPr>
  </w:style>
  <w:style w:type="paragraph" w:styleId="16" w:customStyle="1">
    <w:name w:val="Название объекта1"/>
    <w:basedOn w:val="Normal"/>
    <w:qFormat/>
    <w:rsid w:val="003c1fe7"/>
    <w:pPr>
      <w:suppressLineNumbers/>
      <w:spacing w:before="120" w:after="120"/>
    </w:pPr>
    <w:rPr>
      <w:rFonts w:cs="Arial"/>
      <w:i/>
      <w:iCs/>
      <w:sz w:val="24"/>
      <w:szCs w:val="24"/>
    </w:rPr>
  </w:style>
  <w:style w:type="paragraph" w:styleId="Style16" w:customStyle="1">
    <w:name w:val="Верхній і нижній колонтитули"/>
    <w:basedOn w:val="Normal"/>
    <w:qFormat/>
    <w:rsid w:val="003c1fe7"/>
    <w:pPr>
      <w:suppressLineNumbers/>
      <w:tabs>
        <w:tab w:val="clear" w:pos="408"/>
        <w:tab w:val="center" w:pos="4819" w:leader="none"/>
        <w:tab w:val="right" w:pos="9638" w:leader="none"/>
      </w:tabs>
    </w:pPr>
    <w:rPr/>
  </w:style>
  <w:style w:type="paragraph" w:styleId="Footer">
    <w:name w:val="footer"/>
    <w:basedOn w:val="Normal"/>
    <w:rsid w:val="003c1fe7"/>
    <w:pPr>
      <w:tabs>
        <w:tab w:val="clear" w:pos="408"/>
        <w:tab w:val="center" w:pos="4153" w:leader="none"/>
        <w:tab w:val="right" w:pos="8306" w:leader="none"/>
      </w:tabs>
    </w:pPr>
    <w:rPr/>
  </w:style>
  <w:style w:type="paragraph" w:styleId="BodyTextIndent">
    <w:name w:val="Body Text Indent"/>
    <w:basedOn w:val="Normal"/>
    <w:rsid w:val="003c1fe7"/>
    <w:pPr>
      <w:ind w:firstLine="141" w:left="-567"/>
      <w:jc w:val="both"/>
    </w:pPr>
    <w:rPr>
      <w:sz w:val="24"/>
      <w:lang w:val="uk-UA"/>
    </w:rPr>
  </w:style>
  <w:style w:type="paragraph" w:styleId="211" w:customStyle="1">
    <w:name w:val="Основной текст с отступом 21"/>
    <w:basedOn w:val="Normal"/>
    <w:qFormat/>
    <w:rsid w:val="003c1fe7"/>
    <w:pPr>
      <w:ind w:firstLine="426" w:left="-426"/>
      <w:jc w:val="both"/>
    </w:pPr>
    <w:rPr>
      <w:sz w:val="24"/>
      <w:lang w:val="uk-UA"/>
    </w:rPr>
  </w:style>
  <w:style w:type="paragraph" w:styleId="Header">
    <w:name w:val="header"/>
    <w:basedOn w:val="Normal"/>
    <w:rsid w:val="003c1fe7"/>
    <w:pPr>
      <w:tabs>
        <w:tab w:val="clear" w:pos="408"/>
        <w:tab w:val="center" w:pos="4819" w:leader="none"/>
        <w:tab w:val="right" w:pos="9639" w:leader="none"/>
      </w:tabs>
    </w:pPr>
    <w:rPr/>
  </w:style>
  <w:style w:type="paragraph" w:styleId="Style17" w:customStyle="1">
    <w:name w:val="Знак Знак Знак Знак Знак Знак Знак Знак Знак Знак"/>
    <w:basedOn w:val="Normal"/>
    <w:qFormat/>
    <w:rsid w:val="003c1fe7"/>
    <w:pPr/>
    <w:rPr>
      <w:rFonts w:ascii="Verdana" w:hAnsi="Verdana" w:eastAsia="MS Mincho" w:cs="Verdana"/>
      <w:lang w:val="en-US"/>
    </w:rPr>
  </w:style>
  <w:style w:type="paragraph" w:styleId="BalloonText">
    <w:name w:val="Balloon Text"/>
    <w:basedOn w:val="Normal"/>
    <w:qFormat/>
    <w:rsid w:val="003c1fe7"/>
    <w:pPr/>
    <w:rPr>
      <w:rFonts w:ascii="Tahoma" w:hAnsi="Tahoma" w:cs="Tahoma"/>
      <w:sz w:val="16"/>
      <w:szCs w:val="16"/>
    </w:rPr>
  </w:style>
  <w:style w:type="paragraph" w:styleId="NormalWeb">
    <w:name w:val="Normal (Web)"/>
    <w:basedOn w:val="Normal"/>
    <w:qFormat/>
    <w:rsid w:val="003c1fe7"/>
    <w:pPr>
      <w:spacing w:before="0" w:after="75"/>
    </w:pPr>
    <w:rPr>
      <w:sz w:val="24"/>
      <w:szCs w:val="24"/>
    </w:rPr>
  </w:style>
  <w:style w:type="paragraph" w:styleId="Style18" w:customStyle="1">
    <w:name w:val="Знак Знак Знак Знак Знак Знак Знак Знак Знак Знак Знак"/>
    <w:basedOn w:val="Normal"/>
    <w:qFormat/>
    <w:rsid w:val="003c1fe7"/>
    <w:pPr/>
    <w:rPr>
      <w:rFonts w:ascii="Verdana" w:hAnsi="Verdana" w:eastAsia="MS Mincho" w:cs="Verdana"/>
      <w:lang w:val="en-US"/>
    </w:rPr>
  </w:style>
  <w:style w:type="paragraph" w:styleId="17" w:customStyle="1">
    <w:name w:val="Знак Знак Знак1 Знак Знак Знак Знак Знак Знак"/>
    <w:basedOn w:val="Normal"/>
    <w:qFormat/>
    <w:rsid w:val="003c1fe7"/>
    <w:pPr/>
    <w:rPr>
      <w:rFonts w:ascii="Verdana" w:hAnsi="Verdana" w:eastAsia="MS Mincho" w:cs="Verdana"/>
      <w:lang w:val="en-US"/>
    </w:rPr>
  </w:style>
  <w:style w:type="paragraph" w:styleId="212" w:customStyle="1">
    <w:name w:val="Основной текст 21"/>
    <w:basedOn w:val="Normal"/>
    <w:qFormat/>
    <w:rsid w:val="003c1fe7"/>
    <w:pPr/>
    <w:rPr>
      <w:sz w:val="28"/>
    </w:rPr>
  </w:style>
  <w:style w:type="paragraph" w:styleId="18" w:customStyle="1">
    <w:name w:val="Знак Знак Знак1 Знак Знак Знак"/>
    <w:basedOn w:val="Normal"/>
    <w:qFormat/>
    <w:rsid w:val="003c1fe7"/>
    <w:pPr/>
    <w:rPr>
      <w:rFonts w:ascii="Verdana" w:hAnsi="Verdana" w:eastAsia="MS Mincho" w:cs="Verdana"/>
      <w:lang w:val="en-US"/>
    </w:rPr>
  </w:style>
  <w:style w:type="paragraph" w:styleId="22" w:customStyle="1">
    <w:name w:val="Основной текст с отступом 22"/>
    <w:basedOn w:val="Normal"/>
    <w:qFormat/>
    <w:rsid w:val="003c1fe7"/>
    <w:pPr>
      <w:spacing w:lineRule="auto" w:line="480" w:before="0" w:after="120"/>
      <w:ind w:left="283"/>
    </w:pPr>
    <w:rPr>
      <w:sz w:val="24"/>
      <w:szCs w:val="24"/>
    </w:rPr>
  </w:style>
  <w:style w:type="paragraph" w:styleId="112" w:customStyle="1">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Normal"/>
    <w:qFormat/>
    <w:rsid w:val="003c1fe7"/>
    <w:pPr/>
    <w:rPr>
      <w:rFonts w:ascii="Verdana" w:hAnsi="Verdana" w:eastAsia="MS Mincho" w:cs="Verdana"/>
      <w:lang w:val="en-US"/>
    </w:rPr>
  </w:style>
  <w:style w:type="paragraph" w:styleId="Style19" w:customStyle="1">
    <w:name w:val="Знак Знак Знак"/>
    <w:basedOn w:val="Normal"/>
    <w:qFormat/>
    <w:rsid w:val="003c1fe7"/>
    <w:pPr/>
    <w:rPr>
      <w:rFonts w:ascii="Verdana" w:hAnsi="Verdana" w:eastAsia="MS Mincho" w:cs="Verdana"/>
      <w:lang w:val="en-US"/>
    </w:rPr>
  </w:style>
  <w:style w:type="paragraph" w:styleId="Style20" w:customStyle="1">
    <w:name w:val="Знак Знак Знак Знак Знак Знак Знак"/>
    <w:basedOn w:val="Normal"/>
    <w:qFormat/>
    <w:rsid w:val="003c1fe7"/>
    <w:pPr/>
    <w:rPr>
      <w:rFonts w:ascii="Verdana" w:hAnsi="Verdana" w:eastAsia="MS Mincho" w:cs="Verdana"/>
      <w:lang w:val="en-US"/>
    </w:rPr>
  </w:style>
  <w:style w:type="paragraph" w:styleId="Style21" w:customStyle="1">
    <w:name w:val="Знак Знак Знак Знак Знак Знак Знак Знак Знак"/>
    <w:basedOn w:val="Normal"/>
    <w:qFormat/>
    <w:rsid w:val="003c1fe7"/>
    <w:pPr/>
    <w:rPr>
      <w:rFonts w:ascii="Verdana" w:hAnsi="Verdana" w:eastAsia="MS Mincho" w:cs="Verdana"/>
      <w:lang w:val="en-US"/>
    </w:rPr>
  </w:style>
  <w:style w:type="paragraph" w:styleId="19" w:customStyle="1">
    <w:name w:val="Знак Знак Знак Знак Знак Знак Знак Знак Знак1 Знак Знак Знак Знак Знак Знак Знак Знак Знак Знак Знак Знак"/>
    <w:basedOn w:val="Normal"/>
    <w:qFormat/>
    <w:rsid w:val="003c1fe7"/>
    <w:pPr/>
    <w:rPr>
      <w:rFonts w:ascii="Verdana" w:hAnsi="Verdana" w:eastAsia="MS Mincho" w:cs="Verdana"/>
      <w:lang w:val="en-US"/>
    </w:rPr>
  </w:style>
  <w:style w:type="paragraph" w:styleId="110" w:customStyle="1">
    <w:name w:val="Абзац списка1"/>
    <w:basedOn w:val="Normal"/>
    <w:qFormat/>
    <w:rsid w:val="003c1fe7"/>
    <w:pPr>
      <w:ind w:left="720"/>
    </w:pPr>
    <w:rPr>
      <w:rFonts w:eastAsia="Calibri"/>
      <w:sz w:val="24"/>
      <w:szCs w:val="24"/>
      <w:lang w:val="uk-UA"/>
    </w:rPr>
  </w:style>
  <w:style w:type="paragraph" w:styleId="113" w:customStyle="1">
    <w:name w:val="Знак Знак Знак Знак Знак Знак Знак Знак Знак1 Знак Знак Знак"/>
    <w:basedOn w:val="Normal"/>
    <w:qFormat/>
    <w:rsid w:val="003c1fe7"/>
    <w:pPr/>
    <w:rPr>
      <w:rFonts w:ascii="Verdana" w:hAnsi="Verdana" w:eastAsia="MS Mincho" w:cs="Verdana"/>
      <w:lang w:val="en-US"/>
    </w:rPr>
  </w:style>
  <w:style w:type="paragraph" w:styleId="114" w:customStyle="1">
    <w:name w:val="Знак Знак Знак Знак Знак Знак Знак Знак Знак1 Знак Знак Знак Знак Знак"/>
    <w:basedOn w:val="Normal"/>
    <w:qFormat/>
    <w:rsid w:val="003c1fe7"/>
    <w:pPr/>
    <w:rPr>
      <w:rFonts w:ascii="Verdana" w:hAnsi="Verdana" w:eastAsia="MS Mincho" w:cs="Verdana"/>
      <w:lang w:val="en-US"/>
    </w:rPr>
  </w:style>
  <w:style w:type="paragraph" w:styleId="115" w:customStyle="1">
    <w:name w:val="Знак Знак Знак Знак Знак Знак Знак Знак Знак1 Знак Знак Знак Знак Знак Знак"/>
    <w:basedOn w:val="Normal"/>
    <w:qFormat/>
    <w:rsid w:val="003c1fe7"/>
    <w:pPr/>
    <w:rPr>
      <w:rFonts w:ascii="Verdana" w:hAnsi="Verdana" w:eastAsia="MS Mincho" w:cs="Verdana"/>
      <w:lang w:val="en-US"/>
    </w:rPr>
  </w:style>
  <w:style w:type="paragraph" w:styleId="StyleOstRed" w:customStyle="1">
    <w:name w:val="StyleOstRed"/>
    <w:basedOn w:val="Normal"/>
    <w:qFormat/>
    <w:rsid w:val="003c1fe7"/>
    <w:pPr>
      <w:spacing w:before="0" w:after="120"/>
      <w:ind w:firstLine="720"/>
      <w:jc w:val="both"/>
    </w:pPr>
    <w:rPr>
      <w:rFonts w:eastAsia="Calibri"/>
      <w:sz w:val="28"/>
      <w:szCs w:val="28"/>
      <w:lang w:val="uk-UA"/>
    </w:rPr>
  </w:style>
  <w:style w:type="paragraph" w:styleId="Style22" w:customStyle="1">
    <w:name w:val="Нормальний текст"/>
    <w:basedOn w:val="Normal"/>
    <w:qFormat/>
    <w:rsid w:val="003c1fe7"/>
    <w:pPr>
      <w:spacing w:before="120" w:after="0"/>
      <w:ind w:firstLine="567"/>
    </w:pPr>
    <w:rPr>
      <w:sz w:val="24"/>
      <w:szCs w:val="24"/>
      <w:lang w:val="uk-UA"/>
    </w:rPr>
  </w:style>
  <w:style w:type="paragraph" w:styleId="122" w:customStyle="1">
    <w:name w:val="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2 Знак Знак Знак Знак Знак Знак Знак Знак"/>
    <w:basedOn w:val="Normal"/>
    <w:qFormat/>
    <w:rsid w:val="003c1fe7"/>
    <w:pPr/>
    <w:rPr>
      <w:rFonts w:ascii="Verdana" w:hAnsi="Verdana" w:eastAsia="MS Mincho" w:cs="Verdana"/>
      <w:lang w:val="en-US"/>
    </w:rPr>
  </w:style>
  <w:style w:type="paragraph" w:styleId="Style23" w:customStyle="1">
    <w:name w:val="Знак Знак Знак Знак Знак Знак Знак Знак Знак Знак Знак Знак Знак Знак Знак Знак Знак Знак Знак Знак Знак Знак Знак"/>
    <w:basedOn w:val="Normal"/>
    <w:qFormat/>
    <w:rsid w:val="003c1fe7"/>
    <w:pPr/>
    <w:rPr>
      <w:rFonts w:ascii="Verdana" w:hAnsi="Verdana" w:eastAsia="MS Mincho" w:cs="Verdana"/>
      <w:lang w:val="en-US"/>
    </w:rPr>
  </w:style>
  <w:style w:type="paragraph" w:styleId="Style24" w:customStyle="1">
    <w:name w:val="Знак Знак Знак Знак Знак Знак Знак Знак Знак Знак Знак Знак Знак Знак Знак Знак Знак Знак Знак Знак"/>
    <w:basedOn w:val="Normal"/>
    <w:qFormat/>
    <w:rsid w:val="003c1fe7"/>
    <w:pPr/>
    <w:rPr>
      <w:rFonts w:ascii="Verdana" w:hAnsi="Verdana" w:eastAsia="MS Mincho" w:cs="Verdana"/>
      <w:lang w:val="en-US"/>
    </w:rPr>
  </w:style>
  <w:style w:type="paragraph" w:styleId="116" w:customStyle="1">
    <w:name w:val="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w:basedOn w:val="Normal"/>
    <w:qFormat/>
    <w:rsid w:val="003c1fe7"/>
    <w:pPr/>
    <w:rPr>
      <w:rFonts w:ascii="Verdana" w:hAnsi="Verdana" w:eastAsia="MS Mincho" w:cs="Verdana"/>
      <w:lang w:val="en-US"/>
    </w:rPr>
  </w:style>
  <w:style w:type="paragraph" w:styleId="117" w:customStyle="1">
    <w:name w:val="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1"/>
    <w:basedOn w:val="Normal"/>
    <w:qFormat/>
    <w:rsid w:val="003c1fe7"/>
    <w:pPr/>
    <w:rPr>
      <w:rFonts w:ascii="Verdana" w:hAnsi="Verdana" w:eastAsia="MS Mincho" w:cs="Verdana"/>
      <w:lang w:val="en-US"/>
    </w:rPr>
  </w:style>
  <w:style w:type="paragraph" w:styleId="123" w:customStyle="1">
    <w:name w:val="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2 Знак Знак Знак Знак"/>
    <w:basedOn w:val="Normal"/>
    <w:qFormat/>
    <w:rsid w:val="003c1fe7"/>
    <w:pPr/>
    <w:rPr>
      <w:rFonts w:ascii="Verdana" w:hAnsi="Verdana" w:eastAsia="MS Mincho" w:cs="Verdana"/>
      <w:lang w:val="en-US"/>
    </w:rPr>
  </w:style>
  <w:style w:type="paragraph" w:styleId="118" w:customStyle="1">
    <w:name w:val="Знак Знак Знак Знак Знак Знак Знак Знак Знак Знак Знак1 Знак"/>
    <w:basedOn w:val="Normal"/>
    <w:qFormat/>
    <w:rsid w:val="003c1fe7"/>
    <w:pPr/>
    <w:rPr>
      <w:rFonts w:ascii="Verdana" w:hAnsi="Verdana" w:eastAsia="MS Mincho" w:cs="Verdana"/>
      <w:lang w:val="en-US"/>
    </w:rPr>
  </w:style>
  <w:style w:type="paragraph" w:styleId="Style25" w:customStyle="1">
    <w:name w:val="Знак Знак Знак Знак Знак Знак"/>
    <w:basedOn w:val="Normal"/>
    <w:qFormat/>
    <w:rsid w:val="003c1fe7"/>
    <w:pPr/>
    <w:rPr>
      <w:rFonts w:ascii="Verdana" w:hAnsi="Verdana" w:eastAsia="MS Mincho" w:cs="Verdana"/>
      <w:lang w:val="en-US"/>
    </w:rPr>
  </w:style>
  <w:style w:type="paragraph" w:styleId="Style26" w:customStyle="1">
    <w:name w:val="Вміст таблиці"/>
    <w:basedOn w:val="Normal"/>
    <w:qFormat/>
    <w:rsid w:val="003c1fe7"/>
    <w:pPr>
      <w:suppressLineNumbers/>
    </w:pPr>
    <w:rPr/>
  </w:style>
  <w:style w:type="paragraph" w:styleId="Style27" w:customStyle="1">
    <w:name w:val="Заголовок таблиці"/>
    <w:basedOn w:val="Style26"/>
    <w:qFormat/>
    <w:rsid w:val="003c1fe7"/>
    <w:pPr>
      <w:jc w:val="center"/>
    </w:pPr>
    <w:rPr>
      <w:b/>
      <w:bCs/>
    </w:rPr>
  </w:style>
  <w:style w:type="paragraph" w:styleId="FootnoteText">
    <w:name w:val="footnote text"/>
    <w:basedOn w:val="Normal"/>
    <w:rsid w:val="003c1fe7"/>
    <w:pPr>
      <w:suppressLineNumbers/>
      <w:ind w:hanging="339" w:left="339"/>
    </w:pPr>
    <w:rPr/>
  </w:style>
  <w:style w:type="numbering" w:styleId="Style28" w:customStyle="1">
    <w:name w:val="Без маркерів"/>
    <w:uiPriority w:val="99"/>
    <w:semiHidden/>
    <w:unhideWhenUsed/>
    <w:qFormat/>
    <w:rsid w:val="00d93354"/>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7A1127-8EE0-4D37-B9ED-142FFAD62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Application>LibreOffice/24.8.4.2$Windows_X86_64 LibreOffice_project/bb3cfa12c7b1bf994ecc5649a80400d06cd71002</Application>
  <AppVersion>15.0000</AppVersion>
  <Pages>14</Pages>
  <Words>3417</Words>
  <Characters>18741</Characters>
  <CharactersWithSpaces>21323</CharactersWithSpaces>
  <Paragraphs>1407</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2022-05-06T08:11:00Z</dcterms:created>
  <dc:creator>Карчевська Леся</dc:creator>
  <dc:description/>
  <dc:language>uk-UA</dc:language>
  <cp:lastModifiedBy/>
  <cp:lastPrinted>2024-11-13T09:54:00Z</cp:lastPrinted>
  <dcterms:modified xsi:type="dcterms:W3CDTF">2025-02-10T12:43:46Z</dcterms:modified>
  <cp:revision>21</cp:revision>
  <dc:subject/>
  <dc:title>Луцька міська рада</dc:title>
</cp:coreProperties>
</file>

<file path=docProps/custom.xml><?xml version="1.0" encoding="utf-8"?>
<Properties xmlns="http://schemas.openxmlformats.org/officeDocument/2006/custom-properties" xmlns:vt="http://schemas.openxmlformats.org/officeDocument/2006/docPropsVTypes"/>
</file>