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lang w:val="ru-RU"/>
        </w:rPr>
      </w:pPr>
      <w:r>
        <w:rPr/>
        <mc:AlternateContent>
          <mc:Choice Requires="wps">
            <w:drawing>
              <wp:anchor behindDoc="0" distT="0" distB="0" distL="635" distR="0" simplePos="0" locked="0" layoutInCell="1" allowOverlap="1" relativeHeight="2">
                <wp:simplePos x="0" y="0"/>
                <wp:positionH relativeFrom="column">
                  <wp:posOffset>635</wp:posOffset>
                </wp:positionH>
                <wp:positionV relativeFrom="paragraph">
                  <wp:posOffset>635</wp:posOffset>
                </wp:positionV>
                <wp:extent cx="635000" cy="635000"/>
                <wp:effectExtent l="635" t="0" r="0" b="0"/>
                <wp:wrapNone/>
                <wp:docPr id="1" name="_x0000_tole_rId2"/>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fillRef idx="0"/>
                        <a:effectRef idx="0"/>
                        <a:fontRef idx="minor"/>
                      </wps:style>
                      <wps:bodyPr/>
                    </wps:wsp>
                  </a:graphicData>
                </a:graphic>
              </wp:anchor>
            </w:drawing>
          </mc:Choice>
          <mc:Fallback>
            <w:pict>
              <v:rect id="shape_0" ID="_x0000_tole_rId2" path="m0,0l-2147483645,0l-2147483645,-2147483646l0,-2147483646xe" stroked="f" o:allowincell="f" style="position:absolute;margin-left:0.05pt;margin-top:0.05pt;width:49.95pt;height:49.9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4pt;height:58.4pt;mso-wrap-distance-right:0pt" filled="f" o:ole="">
            <v:imagedata r:id="rId3" o:title=""/>
          </v:shape>
          <o:OLEObject Type="Embed" ProgID="PBrush" ShapeID="ole_rId2" DrawAspect="Content" ObjectID="_892084526" r:id="rId2"/>
        </w:object>
      </w:r>
    </w:p>
    <w:p>
      <w:pPr>
        <w:pStyle w:val="Heading1"/>
        <w:widowControl w:val="false"/>
        <w:numPr>
          <w:ilvl w:val="0"/>
          <w:numId w:val="1"/>
        </w:numPr>
        <w:rPr/>
      </w:pPr>
      <w:r>
        <w:rPr>
          <w:sz w:val="28"/>
          <w:szCs w:val="28"/>
          <w:lang w:val="ru-RU"/>
        </w:rPr>
        <w:t xml:space="preserve"> </w:t>
      </w:r>
      <w:r>
        <w:rPr>
          <w:sz w:val="28"/>
          <w:szCs w:val="28"/>
        </w:rPr>
        <w:t>ЛУЦЬКА  МІСЬКА  РАДА</w:t>
      </w:r>
    </w:p>
    <w:p>
      <w:pPr>
        <w:pStyle w:val="Heading2"/>
        <w:widowControl w:val="false"/>
        <w:numPr>
          <w:ilvl w:val="1"/>
          <w:numId w:val="1"/>
        </w:numPr>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rPr>
          <w:i/>
          <w:i/>
          <w:sz w:val="12"/>
          <w:szCs w:val="12"/>
        </w:rPr>
      </w:pPr>
      <w:r>
        <w:rPr>
          <w:i/>
          <w:sz w:val="12"/>
          <w:szCs w:val="12"/>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pPr>
      <w:r>
        <w:rPr>
          <w:sz w:val="22"/>
          <w:szCs w:val="22"/>
        </w:rPr>
        <w:t xml:space="preserve">             </w:t>
      </w:r>
      <w:r>
        <w:rPr>
          <w:sz w:val="16"/>
          <w:szCs w:val="16"/>
        </w:rPr>
        <w:t xml:space="preserve">                                    </w:t>
      </w:r>
    </w:p>
    <w:p>
      <w:pPr>
        <w:pStyle w:val="Normal"/>
        <w:ind w:right="-868"/>
        <w:jc w:val="both"/>
        <w:rPr/>
      </w:pPr>
      <w:r>
        <w:rPr>
          <w:szCs w:val="28"/>
        </w:rPr>
        <w:t>Про повторний  розгляд заяви громадянина</w:t>
      </w:r>
    </w:p>
    <w:p>
      <w:pPr>
        <w:pStyle w:val="Normal"/>
        <w:ind w:right="-868"/>
        <w:jc w:val="both"/>
        <w:rPr/>
      </w:pPr>
      <w:r>
        <w:rPr>
          <w:szCs w:val="28"/>
        </w:rPr>
        <w:t>Кравчика Р.С.  від 03.01.2022  про</w:t>
      </w:r>
      <w:r>
        <w:rPr>
          <w:sz w:val="36"/>
          <w:szCs w:val="36"/>
        </w:rPr>
        <w:t xml:space="preserve"> </w:t>
      </w:r>
      <w:r>
        <w:rPr>
          <w:szCs w:val="28"/>
        </w:rPr>
        <w:t xml:space="preserve"> надання</w:t>
      </w:r>
    </w:p>
    <w:p>
      <w:pPr>
        <w:pStyle w:val="Normal"/>
        <w:ind w:right="-868"/>
        <w:jc w:val="both"/>
        <w:rPr/>
      </w:pPr>
      <w:r>
        <w:rPr>
          <w:szCs w:val="28"/>
        </w:rPr>
        <w:t>дозволу</w:t>
      </w:r>
      <w:r>
        <w:rPr>
          <w:sz w:val="40"/>
          <w:szCs w:val="40"/>
        </w:rPr>
        <w:t xml:space="preserve"> </w:t>
      </w:r>
      <w:r>
        <w:rPr>
          <w:szCs w:val="28"/>
        </w:rPr>
        <w:t>на  розроблення  детального плану</w:t>
      </w:r>
    </w:p>
    <w:p>
      <w:pPr>
        <w:pStyle w:val="Normal"/>
        <w:ind w:right="-868"/>
        <w:jc w:val="both"/>
        <w:rPr/>
      </w:pPr>
      <w:r>
        <w:rPr>
          <w:szCs w:val="28"/>
        </w:rPr>
        <w:t>території,</w:t>
      </w:r>
      <w:r>
        <w:rPr>
          <w:sz w:val="14"/>
          <w:szCs w:val="14"/>
        </w:rPr>
        <w:t xml:space="preserve">  </w:t>
      </w:r>
      <w:r>
        <w:rPr>
          <w:szCs w:val="28"/>
        </w:rPr>
        <w:t>проєкту</w:t>
      </w:r>
      <w:r>
        <w:rPr>
          <w:sz w:val="14"/>
          <w:szCs w:val="14"/>
        </w:rPr>
        <w:t xml:space="preserve">  </w:t>
      </w:r>
      <w:r>
        <w:rPr>
          <w:szCs w:val="28"/>
        </w:rPr>
        <w:t>землеустрою</w:t>
      </w:r>
      <w:r>
        <w:rPr>
          <w:sz w:val="14"/>
          <w:szCs w:val="14"/>
        </w:rPr>
        <w:t xml:space="preserve">  </w:t>
      </w:r>
      <w:r>
        <w:rPr>
          <w:szCs w:val="28"/>
        </w:rPr>
        <w:t>щодо</w:t>
      </w:r>
      <w:r>
        <w:rPr>
          <w:sz w:val="14"/>
          <w:szCs w:val="14"/>
        </w:rPr>
        <w:t xml:space="preserve"> </w:t>
      </w:r>
      <w:r>
        <w:rPr>
          <w:szCs w:val="28"/>
        </w:rPr>
        <w:t>відве-</w:t>
      </w:r>
    </w:p>
    <w:p>
      <w:pPr>
        <w:pStyle w:val="Normal"/>
        <w:ind w:right="-868"/>
        <w:jc w:val="both"/>
        <w:rPr/>
      </w:pPr>
      <w:r>
        <w:rPr>
          <w:szCs w:val="28"/>
        </w:rPr>
        <w:t>дення   земельної  ділянки  для</w:t>
      </w:r>
      <w:r>
        <w:rPr>
          <w:sz w:val="12"/>
          <w:szCs w:val="12"/>
        </w:rPr>
        <w:t xml:space="preserve">  </w:t>
      </w:r>
      <w:r>
        <w:rPr>
          <w:szCs w:val="28"/>
        </w:rPr>
        <w:t>будівництва</w:t>
      </w:r>
    </w:p>
    <w:p>
      <w:pPr>
        <w:pStyle w:val="Normal"/>
        <w:ind w:right="-868"/>
        <w:jc w:val="both"/>
        <w:rPr>
          <w:spacing w:val="-2"/>
        </w:rPr>
      </w:pPr>
      <w:r>
        <w:rPr>
          <w:spacing w:val="-2"/>
          <w:szCs w:val="28"/>
        </w:rPr>
        <w:t>і</w:t>
      </w:r>
      <w:r>
        <w:rPr>
          <w:spacing w:val="-2"/>
          <w:sz w:val="12"/>
          <w:szCs w:val="12"/>
        </w:rPr>
        <w:t xml:space="preserve"> </w:t>
      </w:r>
      <w:r>
        <w:rPr>
          <w:spacing w:val="-2"/>
          <w:sz w:val="28"/>
          <w:szCs w:val="28"/>
        </w:rPr>
        <w:t>обслуговування житлового</w:t>
      </w:r>
      <w:r>
        <w:rPr>
          <w:spacing w:val="-2"/>
          <w:szCs w:val="28"/>
        </w:rPr>
        <w:t xml:space="preserve"> будинку, госпо-</w:t>
      </w:r>
    </w:p>
    <w:p>
      <w:pPr>
        <w:pStyle w:val="Normal"/>
        <w:ind w:right="-868"/>
        <w:jc w:val="both"/>
        <w:rPr/>
      </w:pPr>
      <w:r>
        <w:rPr>
          <w:szCs w:val="28"/>
        </w:rPr>
        <w:t>дарських</w:t>
      </w:r>
      <w:r>
        <w:rPr>
          <w:sz w:val="32"/>
          <w:szCs w:val="32"/>
        </w:rPr>
        <w:t xml:space="preserve">  </w:t>
      </w:r>
      <w:r>
        <w:rPr>
          <w:szCs w:val="28"/>
        </w:rPr>
        <w:t>буді</w:t>
      </w:r>
      <w:r>
        <w:rPr>
          <w:color w:val="000000"/>
          <w:szCs w:val="28"/>
        </w:rPr>
        <w:t>вель</w:t>
      </w:r>
      <w:r>
        <w:rPr>
          <w:color w:val="000000"/>
          <w:sz w:val="36"/>
          <w:szCs w:val="36"/>
        </w:rPr>
        <w:t xml:space="preserve">  </w:t>
      </w:r>
      <w:r>
        <w:rPr>
          <w:color w:val="000000"/>
          <w:spacing w:val="4"/>
          <w:szCs w:val="28"/>
        </w:rPr>
        <w:t>і  споруд</w:t>
      </w:r>
      <w:r>
        <w:rPr>
          <w:color w:val="000000"/>
          <w:spacing w:val="4"/>
          <w:sz w:val="32"/>
          <w:szCs w:val="32"/>
        </w:rPr>
        <w:t xml:space="preserve">  </w:t>
      </w:r>
      <w:r>
        <w:rPr>
          <w:color w:val="000000"/>
          <w:spacing w:val="4"/>
          <w:szCs w:val="28"/>
        </w:rPr>
        <w:t>(присадибна</w:t>
      </w:r>
    </w:p>
    <w:p>
      <w:pPr>
        <w:pStyle w:val="Normal"/>
        <w:ind w:right="-868"/>
        <w:jc w:val="both"/>
        <w:rPr/>
      </w:pPr>
      <w:r>
        <w:rPr>
          <w:color w:val="000000"/>
          <w:spacing w:val="4"/>
          <w:szCs w:val="28"/>
        </w:rPr>
        <w:t>ділянка)</w:t>
      </w:r>
      <w:r>
        <w:rPr>
          <w:color w:val="000000"/>
          <w:spacing w:val="4"/>
          <w:sz w:val="32"/>
          <w:szCs w:val="32"/>
        </w:rPr>
        <w:t xml:space="preserve">  </w:t>
      </w:r>
      <w:r>
        <w:rPr>
          <w:color w:val="000000"/>
          <w:spacing w:val="4"/>
          <w:szCs w:val="28"/>
        </w:rPr>
        <w:t>у</w:t>
      </w:r>
      <w:r>
        <w:rPr>
          <w:color w:val="000000"/>
          <w:spacing w:val="4"/>
          <w:sz w:val="30"/>
          <w:szCs w:val="30"/>
        </w:rPr>
        <w:t xml:space="preserve">  </w:t>
      </w:r>
      <w:r>
        <w:rPr>
          <w:color w:val="000000"/>
          <w:spacing w:val="4"/>
          <w:szCs w:val="28"/>
        </w:rPr>
        <w:t xml:space="preserve">с. Зміїнець   </w:t>
      </w:r>
      <w:r>
        <w:rPr>
          <w:color w:val="000000"/>
          <w:spacing w:val="2"/>
          <w:szCs w:val="28"/>
        </w:rPr>
        <w:t>Луцького</w:t>
      </w:r>
      <w:r>
        <w:rPr>
          <w:color w:val="000000"/>
          <w:spacing w:val="2"/>
          <w:sz w:val="32"/>
          <w:szCs w:val="32"/>
        </w:rPr>
        <w:t xml:space="preserve">  </w:t>
      </w:r>
      <w:r>
        <w:rPr>
          <w:color w:val="000000"/>
          <w:spacing w:val="2"/>
          <w:szCs w:val="28"/>
        </w:rPr>
        <w:t>району</w:t>
      </w:r>
    </w:p>
    <w:p>
      <w:pPr>
        <w:pStyle w:val="Normal"/>
        <w:ind w:right="-868"/>
        <w:jc w:val="both"/>
        <w:rPr/>
      </w:pPr>
      <w:r>
        <w:rPr>
          <w:color w:val="000000"/>
          <w:spacing w:val="2"/>
          <w:szCs w:val="28"/>
        </w:rPr>
        <w:t>Волинської області</w:t>
      </w:r>
    </w:p>
    <w:p>
      <w:pPr>
        <w:pStyle w:val="Normal"/>
        <w:ind w:right="-868"/>
        <w:jc w:val="both"/>
        <w:rPr>
          <w:color w:val="000000"/>
          <w:szCs w:val="28"/>
        </w:rPr>
      </w:pPr>
      <w:r>
        <w:rPr>
          <w:color w:val="000000"/>
          <w:szCs w:val="28"/>
        </w:rPr>
      </w:r>
    </w:p>
    <w:p>
      <w:pPr>
        <w:pStyle w:val="Normal"/>
        <w:widowControl/>
        <w:suppressAutoHyphens w:val="true"/>
        <w:bidi w:val="0"/>
        <w:spacing w:before="0" w:after="0"/>
        <w:ind w:firstLine="567" w:left="0" w:right="0"/>
        <w:jc w:val="both"/>
        <w:rPr/>
      </w:pPr>
      <w:r>
        <w:rPr>
          <w:szCs w:val="28"/>
        </w:rPr>
        <w:t xml:space="preserve">На виконання рішення Волинського окружного адміністративного суду від 14.06.2022, справа №140/3747/22 про повторний розгляд заяви громадянина Кравчика Романа Сергійовича від 03.01.2022 «про надання дозволу на розробку детального плану території, документації із землеустрою щодо відведення мені земельної ділянки у власність із цільовим призначенням для будівництва і обслуговування житлового будинку, господарських будівель і споруд (присадибна ділянка), орієнтовною площею 0,12 га, яка розташована у с. Зміїнець Луцької міської об’єднаної територіальної громади», викопіювання з Публічної кадастрової карти України, на якому зазначено бажане місце розташування земельної ділянки,  </w:t>
      </w:r>
      <w:r>
        <w:rPr>
          <w:rFonts w:eastAsia="Times New Roman" w:cs="Times New Roman"/>
          <w:b w:val="false"/>
          <w:bCs w:val="false"/>
          <w:i w:val="false"/>
          <w:iCs w:val="false"/>
          <w:caps w:val="false"/>
          <w:smallCaps w:val="false"/>
          <w:color w:val="000000"/>
          <w:spacing w:val="0"/>
          <w:w w:val="100"/>
          <w:kern w:val="0"/>
          <w:sz w:val="28"/>
          <w:szCs w:val="28"/>
          <w:u w:val="none"/>
          <w:lang w:val="uk-UA" w:eastAsia="zh-CN" w:bidi="ar-SA"/>
        </w:rPr>
        <w:t xml:space="preserve">враховуючи </w:t>
      </w:r>
      <w:r>
        <w:rPr>
          <w:rFonts w:eastAsia="Times New Roman" w:cs="Times New Roman"/>
          <w:i w:val="false"/>
          <w:iCs w:val="false"/>
          <w:color w:val="000000"/>
          <w:spacing w:val="-4"/>
          <w:kern w:val="0"/>
          <w:sz w:val="28"/>
          <w:szCs w:val="28"/>
          <w:u w:val="none"/>
          <w:lang w:val="uk-UA" w:eastAsia="zh-CN" w:bidi="ar-SA"/>
        </w:rPr>
        <w:t>Указ Президента України від 24.02.2022 № 64/2022 «Про введення воєнного стану в Україні» яким введено в Україні воєнний стан, який з урахуванням наступних указів Президента України продовжує діяти і відповідно до вимог підпункту 5 пункту 27 розділу Х «Перехідні положення» Земельного кодексу України під час дії воєнного стану земельні відносини регулюються з урахуванням таких особливостей: безоплатна передача земель державної, комунальної власності у приватну власність, надання дозволів на розроблення документації із землеустрою з метою такої безоплатної передачі, розроблення такої документації, забороняється, а також, що чинне законодавство, яке регулює відносини у період воєнного стану не містить винятків у застосуванні положення підпункту 5 пункту 27 розділу Х «Перехідні положення» Земельного кодексу України та не містить застережень, що розгляд поданих клопотань про надання дозволів на розроблення документації із землеустрою переноситься на період після припинення воєнного стану</w:t>
      </w:r>
      <w:r>
        <w:rPr>
          <w:rFonts w:eastAsia="Times New Roman" w:cs="Times New Roman"/>
          <w:i w:val="false"/>
          <w:iCs w:val="false"/>
          <w:color w:val="000000"/>
          <w:spacing w:val="-4"/>
          <w:kern w:val="0"/>
          <w:sz w:val="28"/>
          <w:szCs w:val="28"/>
          <w:u w:val="none"/>
          <w:shd w:fill="FFFFFF" w:val="clear"/>
          <w:lang w:val="uk-UA" w:eastAsia="zh-CN" w:bidi="ar-SA"/>
        </w:rPr>
        <w:t xml:space="preserve">, </w:t>
      </w:r>
      <w:r>
        <w:rPr>
          <w:szCs w:val="28"/>
        </w:rPr>
        <w:t xml:space="preserve">керуючись статтею 12, </w:t>
      </w:r>
      <w:r>
        <w:rPr>
          <w:rFonts w:eastAsia="Times New Roman" w:cs="Times New Roman"/>
          <w:i w:val="false"/>
          <w:iCs w:val="false"/>
          <w:color w:val="000000"/>
          <w:spacing w:val="-4"/>
          <w:kern w:val="0"/>
          <w:sz w:val="28"/>
          <w:szCs w:val="28"/>
          <w:u w:val="none"/>
          <w:lang w:val="uk-UA" w:eastAsia="zh-CN" w:bidi="ar-SA"/>
        </w:rPr>
        <w:t>підпунктом 5 пункту 27 розділу Х «Перехідні положення» Земельного кодексу України</w:t>
      </w:r>
      <w:r>
        <w:rPr>
          <w:szCs w:val="28"/>
        </w:rPr>
        <w:t>,</w:t>
      </w:r>
      <w:r>
        <w:rPr>
          <w:rFonts w:eastAsia="Times New Roman" w:cs="Times New Roman"/>
          <w:i w:val="false"/>
          <w:iCs w:val="false"/>
          <w:color w:val="000000"/>
          <w:spacing w:val="-4"/>
          <w:kern w:val="0"/>
          <w:sz w:val="28"/>
          <w:szCs w:val="28"/>
          <w:u w:val="none"/>
          <w:lang w:val="uk-UA" w:eastAsia="zh-CN" w:bidi="ar-SA"/>
        </w:rPr>
        <w:t xml:space="preserve"> статтями 19, 20, 22, 25-30, 122 Кодексу адміністративного судочинства України,</w:t>
      </w:r>
      <w:r>
        <w:rPr>
          <w:szCs w:val="28"/>
        </w:rPr>
        <w:t xml:space="preserve"> Законом України «Про землеустрій», Законом України «Про Державний земельни</w:t>
      </w:r>
      <w:r>
        <w:rPr>
          <w:rFonts w:eastAsia="Times New Roman" w:cs="Times New Roman"/>
          <w:color w:val="auto"/>
          <w:kern w:val="0"/>
          <w:sz w:val="28"/>
          <w:szCs w:val="28"/>
          <w:u w:val="none"/>
          <w:lang w:val="uk-UA" w:eastAsia="zh-CN" w:bidi="ar-SA"/>
        </w:rPr>
        <w:t xml:space="preserve">й кадастр», </w:t>
      </w:r>
      <w:r>
        <w:rPr>
          <w:rStyle w:val="Emphasis"/>
          <w:rFonts w:eastAsia="Times New Roman" w:cs="Times New Roman"/>
          <w:i w:val="false"/>
          <w:iCs w:val="false"/>
          <w:color w:val="auto"/>
          <w:kern w:val="0"/>
          <w:sz w:val="28"/>
          <w:szCs w:val="28"/>
          <w:u w:val="none"/>
          <w:lang w:val="uk-UA" w:eastAsia="zh-CN" w:bidi="ar-SA"/>
        </w:rPr>
        <w:t>Законом України «Про адміністративну процедуру»,</w:t>
      </w:r>
      <w:r>
        <w:rPr>
          <w:rFonts w:eastAsia="Times New Roman" w:cs="Times New Roman"/>
          <w:i w:val="false"/>
          <w:iCs w:val="false"/>
          <w:color w:val="auto"/>
          <w:kern w:val="0"/>
          <w:sz w:val="28"/>
          <w:szCs w:val="28"/>
          <w:u w:val="none"/>
          <w:lang w:val="uk-UA" w:eastAsia="zh-CN" w:bidi="ar-SA"/>
        </w:rPr>
        <w:t xml:space="preserve"> п</w:t>
      </w:r>
      <w:r>
        <w:rPr>
          <w:i w:val="false"/>
          <w:iCs w:val="false"/>
          <w:color w:val="000000"/>
          <w:szCs w:val="28"/>
        </w:rPr>
        <w:t>остановою Кабінету Міністрів України від 17.10.2012 № 1051 «Про затве</w:t>
      </w:r>
      <w:r>
        <w:rPr>
          <w:color w:val="000000"/>
          <w:szCs w:val="28"/>
        </w:rPr>
        <w:t xml:space="preserve">рдження Порядку ведення Державного земельного кадастру», </w:t>
      </w:r>
      <w:r>
        <w:rPr>
          <w:color w:val="000000"/>
          <w:spacing w:val="-2"/>
          <w:kern w:val="2"/>
          <w:szCs w:val="28"/>
          <w:shd w:fill="FFFFFF" w:val="clear"/>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року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рішенням Луцької міської ради від 17.12.2020 № 1/20 </w:t>
      </w:r>
      <w:r>
        <w:rPr>
          <w:color w:val="000000"/>
          <w:spacing w:val="-2"/>
          <w:kern w:val="2"/>
          <w:szCs w:val="28"/>
          <w:highlight w:val="white"/>
          <w:shd w:fill="FFFFFF" w:val="clear"/>
        </w:rPr>
        <w:t>«</w:t>
      </w:r>
      <w:r>
        <w:rPr>
          <w:color w:val="000000"/>
          <w:spacing w:val="-2"/>
          <w:kern w:val="2"/>
          <w:szCs w:val="28"/>
          <w:shd w:fill="FFFFFF" w:val="clear"/>
        </w:rPr>
        <w:t>Про реорганізацію сільських рад шляхом приєднання до Луцької міської ради</w:t>
      </w:r>
      <w:r>
        <w:rPr>
          <w:color w:val="000000"/>
          <w:spacing w:val="-2"/>
          <w:kern w:val="2"/>
          <w:szCs w:val="28"/>
          <w:highlight w:val="white"/>
          <w:shd w:fill="FFFFFF" w:val="clear"/>
        </w:rPr>
        <w:t>»</w:t>
      </w:r>
      <w:r>
        <w:rPr>
          <w:color w:val="000000"/>
          <w:spacing w:val="-2"/>
          <w:kern w:val="2"/>
          <w:szCs w:val="28"/>
          <w:shd w:fill="FFFFFF" w:val="clear"/>
          <w:lang w:eastAsia="uk-UA"/>
        </w:rPr>
        <w:t>, статтями 26, 59 та пунктом 6</w:t>
      </w:r>
      <w:r>
        <w:rPr>
          <w:color w:val="000000"/>
          <w:spacing w:val="-2"/>
          <w:kern w:val="2"/>
          <w:szCs w:val="28"/>
          <w:shd w:fill="FFFFFF" w:val="clear"/>
          <w:vertAlign w:val="superscript"/>
          <w:lang w:eastAsia="uk-UA"/>
        </w:rPr>
        <w:t>-1</w:t>
      </w:r>
      <w:r>
        <w:rPr>
          <w:color w:val="000000"/>
          <w:spacing w:val="-2"/>
          <w:kern w:val="2"/>
          <w:szCs w:val="28"/>
          <w:shd w:fill="FFFFFF" w:val="clear"/>
          <w:lang w:eastAsia="uk-UA"/>
        </w:rPr>
        <w:t xml:space="preserve"> розділу </w:t>
      </w:r>
      <w:r>
        <w:rPr>
          <w:color w:val="000000"/>
          <w:spacing w:val="-2"/>
          <w:kern w:val="2"/>
          <w:szCs w:val="28"/>
          <w:shd w:fill="FFFFFF" w:val="clear"/>
          <w:lang w:val="en-US" w:eastAsia="uk-UA"/>
        </w:rPr>
        <w:t>V</w:t>
      </w:r>
      <w:r>
        <w:rPr>
          <w:color w:val="000000"/>
          <w:spacing w:val="-2"/>
          <w:kern w:val="2"/>
          <w:szCs w:val="28"/>
          <w:shd w:fill="FFFFFF" w:val="clear"/>
          <w:lang w:eastAsia="uk-UA"/>
        </w:rPr>
        <w:t xml:space="preserve"> Прикінцевих та перехідних положень Закону України </w:t>
      </w:r>
      <w:r>
        <w:rPr>
          <w:color w:val="000000"/>
          <w:spacing w:val="-2"/>
          <w:kern w:val="2"/>
          <w:szCs w:val="28"/>
          <w:highlight w:val="white"/>
          <w:shd w:fill="FFFFFF" w:val="clear"/>
          <w:lang w:eastAsia="uk-UA"/>
        </w:rPr>
        <w:t>«</w:t>
      </w:r>
      <w:r>
        <w:rPr>
          <w:color w:val="000000"/>
          <w:spacing w:val="-2"/>
          <w:kern w:val="2"/>
          <w:szCs w:val="28"/>
          <w:shd w:fill="FFFFFF" w:val="clear"/>
          <w:lang w:eastAsia="uk-UA"/>
        </w:rPr>
        <w:t>Про місцеве самоврядування в Україні</w:t>
      </w:r>
      <w:r>
        <w:rPr>
          <w:color w:val="000000"/>
          <w:spacing w:val="-2"/>
          <w:kern w:val="2"/>
          <w:szCs w:val="28"/>
          <w:highlight w:val="white"/>
          <w:shd w:fill="FFFFFF" w:val="clear"/>
          <w:lang w:eastAsia="uk-UA"/>
        </w:rPr>
        <w:t>»</w:t>
      </w:r>
      <w:r>
        <w:rPr>
          <w:color w:val="000000"/>
          <w:spacing w:val="-2"/>
          <w:kern w:val="2"/>
          <w:szCs w:val="28"/>
          <w:shd w:fill="FFFFFF" w:val="clear"/>
        </w:rPr>
        <w:t>, міська рада</w:t>
      </w:r>
    </w:p>
    <w:p>
      <w:pPr>
        <w:pStyle w:val="Normal"/>
        <w:ind w:firstLine="709"/>
        <w:jc w:val="both"/>
        <w:rPr>
          <w:color w:val="000000"/>
          <w:spacing w:val="-2"/>
          <w:kern w:val="2"/>
          <w:szCs w:val="28"/>
          <w:shd w:fill="FFFFFF" w:val="clear"/>
        </w:rPr>
      </w:pPr>
      <w:r>
        <w:rPr>
          <w:color w:val="000000"/>
          <w:spacing w:val="-2"/>
          <w:kern w:val="2"/>
          <w:szCs w:val="28"/>
          <w:shd w:fill="FFFFFF" w:val="clear"/>
        </w:rPr>
      </w:r>
    </w:p>
    <w:p>
      <w:pPr>
        <w:pStyle w:val="Normal"/>
        <w:jc w:val="both"/>
        <w:rPr>
          <w:szCs w:val="28"/>
        </w:rPr>
      </w:pPr>
      <w:r>
        <w:rPr>
          <w:szCs w:val="28"/>
        </w:rPr>
        <w:t>ВИРІШИЛА:</w:t>
      </w:r>
    </w:p>
    <w:p>
      <w:pPr>
        <w:pStyle w:val="Normal"/>
        <w:tabs>
          <w:tab w:val="clear" w:pos="708"/>
          <w:tab w:val="left" w:pos="1035" w:leader="none"/>
        </w:tabs>
        <w:ind w:right="43"/>
        <w:jc w:val="both"/>
        <w:rPr>
          <w:szCs w:val="28"/>
        </w:rPr>
      </w:pPr>
      <w:r>
        <w:rPr>
          <w:szCs w:val="28"/>
        </w:rPr>
      </w:r>
    </w:p>
    <w:p>
      <w:pPr>
        <w:pStyle w:val="Normal"/>
        <w:widowControl/>
        <w:tabs>
          <w:tab w:val="clear" w:pos="708"/>
          <w:tab w:val="left" w:pos="855" w:leader="none"/>
        </w:tabs>
        <w:suppressAutoHyphens w:val="true"/>
        <w:bidi w:val="0"/>
        <w:spacing w:before="0" w:after="0"/>
        <w:ind w:firstLine="567" w:left="0" w:right="0"/>
        <w:jc w:val="both"/>
        <w:rPr/>
      </w:pPr>
      <w:r>
        <w:rPr>
          <w:szCs w:val="28"/>
        </w:rPr>
        <w:t>1. Відмовити громадянину Кравчику Роману Сергійовичу у наданні дозволу на розроблення проєкту землеустрою щодо відведення земельної ділянки у власність для будівництва і обслуговування житлового будинку, господарських будівель і споруд (присадибна ділянка) у с. Зміїнець Луцького району Волинської області, орієнтовною площею 0,12 га, згідно з заявою від 03.01.2022. </w:t>
      </w:r>
    </w:p>
    <w:p>
      <w:pPr>
        <w:pStyle w:val="Normal"/>
        <w:tabs>
          <w:tab w:val="clear" w:pos="708"/>
          <w:tab w:val="left" w:pos="855" w:leader="none"/>
        </w:tabs>
        <w:ind w:firstLine="567"/>
        <w:jc w:val="both"/>
        <w:rPr/>
      </w:pPr>
      <w:r>
        <w:rPr>
          <w:szCs w:val="28"/>
        </w:rPr>
        <w:t>2.</w:t>
      </w:r>
      <w:r>
        <w:rPr>
          <w:rFonts w:eastAsia="Times New Roman" w:cs="Times New Roman"/>
          <w:i w:val="false"/>
          <w:iCs w:val="false"/>
          <w:color w:val="000000"/>
          <w:spacing w:val="-2"/>
          <w:kern w:val="2"/>
          <w:sz w:val="28"/>
          <w:szCs w:val="28"/>
          <w:u w:val="none"/>
          <w:shd w:fill="FFFFFF" w:val="clear"/>
          <w:lang w:val="uk-UA" w:eastAsia="zh-CN" w:bidi="ar-SA"/>
        </w:rPr>
        <w:t xml:space="preserve"> Довести до відома громадянина Кравчика Романа Сергійовича, що після закінчення воєнного стану, або внесення змін до законодавства України, він може звернутись із заявою про надання  дозволу на розроблення проєкту землеустрою щодо відведення земельної ділянки у власність для будівництва і обслуговування житлового будинку, господарських будівель і споруд (присадибна ділянка) орієнтовною площею 0,12 га у с. Зміїнець Луцького </w:t>
      </w:r>
      <w:r>
        <w:rPr>
          <w:i w:val="false"/>
          <w:iCs w:val="false"/>
          <w:color w:val="000000"/>
          <w:spacing w:val="-2"/>
          <w:kern w:val="2"/>
          <w:szCs w:val="28"/>
          <w:u w:val="none"/>
          <w:shd w:fill="FFFFFF" w:val="clear"/>
        </w:rPr>
        <w:t>району Волинської області.</w:t>
      </w:r>
    </w:p>
    <w:p>
      <w:pPr>
        <w:pStyle w:val="Normal"/>
        <w:tabs>
          <w:tab w:val="clear" w:pos="708"/>
          <w:tab w:val="left" w:pos="855" w:leader="none"/>
        </w:tabs>
        <w:ind w:firstLine="567"/>
        <w:jc w:val="both"/>
        <w:rPr/>
      </w:pPr>
      <w:r>
        <w:rPr>
          <w:rStyle w:val="Emphasis"/>
          <w:i w:val="false"/>
          <w:iCs w:val="false"/>
          <w:color w:val="000000"/>
          <w:spacing w:val="-2"/>
          <w:kern w:val="2"/>
          <w:szCs w:val="28"/>
          <w:u w:val="none"/>
          <w:shd w:fill="FFFFFF" w:val="clear"/>
        </w:rPr>
        <w:t>3. Це рішення може бути оскаржене в порядку та строки, передбачені  статтями 19, 20, 22, 25-30, 122 Кодексу адміністративного судочинства України.</w:t>
      </w:r>
    </w:p>
    <w:p>
      <w:pPr>
        <w:pStyle w:val="Normal"/>
        <w:tabs>
          <w:tab w:val="clear" w:pos="708"/>
          <w:tab w:val="left" w:pos="855" w:leader="none"/>
        </w:tabs>
        <w:ind w:firstLine="567"/>
        <w:jc w:val="both"/>
        <w:rPr/>
      </w:pPr>
      <w:bookmarkStart w:id="0" w:name="_GoBack"/>
      <w:bookmarkEnd w:id="0"/>
      <w:r>
        <w:rPr>
          <w:i w:val="false"/>
          <w:iCs w:val="false"/>
          <w:color w:val="000000"/>
          <w:spacing w:val="-2"/>
          <w:kern w:val="2"/>
          <w:szCs w:val="28"/>
          <w:u w:val="none"/>
          <w:shd w:fill="FFFFFF" w:val="clear"/>
        </w:rPr>
        <w:t>4. Контроль за виконанням рішення покласти на заступника міського голови Ірину Чебелюк, постійну комісію міської ради з питань земель</w:t>
      </w:r>
      <w:r>
        <w:rPr>
          <w:szCs w:val="28"/>
        </w:rPr>
        <w:t>них відносин та земельного кадастру.</w:t>
      </w:r>
    </w:p>
    <w:p>
      <w:pPr>
        <w:pStyle w:val="Normal"/>
        <w:jc w:val="both"/>
        <w:rPr>
          <w:szCs w:val="28"/>
          <w:lang w:val="ru-RU"/>
        </w:rPr>
      </w:pPr>
      <w:r>
        <w:rPr>
          <w:szCs w:val="28"/>
          <w:lang w:val="ru-RU"/>
        </w:rPr>
      </w:r>
    </w:p>
    <w:p>
      <w:pPr>
        <w:pStyle w:val="Normal"/>
        <w:jc w:val="both"/>
        <w:rPr>
          <w:szCs w:val="28"/>
          <w:lang w:val="ru-RU"/>
        </w:rPr>
      </w:pPr>
      <w:r>
        <w:rPr>
          <w:szCs w:val="28"/>
          <w:lang w:val="ru-RU"/>
        </w:rPr>
      </w:r>
    </w:p>
    <w:p>
      <w:pPr>
        <w:pStyle w:val="Normal"/>
        <w:widowControl w:val="false"/>
        <w:ind w:right="-868"/>
        <w:jc w:val="both"/>
        <w:rPr/>
      </w:pPr>
      <w:r>
        <w:rPr>
          <w:szCs w:val="28"/>
        </w:rPr>
        <w:t>Міський голова                                                                           Ігор ПОЛІЩУК</w:t>
      </w:r>
    </w:p>
    <w:p>
      <w:pPr>
        <w:pStyle w:val="Normal"/>
        <w:widowControl w:val="false"/>
        <w:ind w:right="-868"/>
        <w:jc w:val="both"/>
        <w:rPr/>
      </w:pPr>
      <w:r>
        <w:rPr/>
      </w:r>
    </w:p>
    <w:p>
      <w:pPr>
        <w:pStyle w:val="Normal"/>
        <w:widowControl w:val="false"/>
        <w:ind w:right="-868"/>
        <w:jc w:val="both"/>
        <w:rPr/>
      </w:pPr>
      <w:r>
        <w:rPr/>
      </w:r>
    </w:p>
    <w:p>
      <w:pPr>
        <w:pStyle w:val="Normal"/>
        <w:widowControl w:val="false"/>
        <w:ind w:right="-868"/>
        <w:jc w:val="both"/>
        <w:rPr>
          <w:sz w:val="24"/>
        </w:rPr>
      </w:pPr>
      <w:r>
        <w:rPr>
          <w:sz w:val="24"/>
        </w:rPr>
        <w:t>Туз 777 863</w:t>
      </w:r>
    </w:p>
    <w:sectPr>
      <w:type w:val="nextPage"/>
      <w:pgSz w:w="11906" w:h="16838"/>
      <w:pgMar w:left="1985" w:right="567" w:gutter="0" w:header="0" w:top="567" w:footer="0" w:bottom="1418"/>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WW-WW8Num1ztrue7111111111111111111111111111111111111" w:customStyle="1">
    <w:name w:val="WW-WW8Num1ztrue7111111111111111111111111111111111111"/>
    <w:qFormat/>
    <w:rPr/>
  </w:style>
  <w:style w:type="character" w:styleId="WW-WW8Num1ztrue11111111111111111111111111111111111111" w:customStyle="1">
    <w:name w:val="WW-WW8Num1ztrue11111111111111111111111111111111111111"/>
    <w:qFormat/>
    <w:rPr/>
  </w:style>
  <w:style w:type="character" w:styleId="WW-WW8Num1ztrue21111111111111111111111111111111111111" w:customStyle="1">
    <w:name w:val="WW-WW8Num1ztrue21111111111111111111111111111111111111"/>
    <w:qFormat/>
    <w:rPr/>
  </w:style>
  <w:style w:type="character" w:styleId="WW-WW8Num1ztrue31111111111111111111111111111111111111" w:customStyle="1">
    <w:name w:val="WW-WW8Num1ztrue31111111111111111111111111111111111111"/>
    <w:qFormat/>
    <w:rPr/>
  </w:style>
  <w:style w:type="character" w:styleId="WW-WW8Num1ztrue41111111111111111111111111111111111111" w:customStyle="1">
    <w:name w:val="WW-WW8Num1ztrue41111111111111111111111111111111111111"/>
    <w:qFormat/>
    <w:rPr/>
  </w:style>
  <w:style w:type="character" w:styleId="WW-WW8Num1ztrue51111111111111111111111111111111111111" w:customStyle="1">
    <w:name w:val="WW-WW8Num1ztrue51111111111111111111111111111111111111"/>
    <w:qFormat/>
    <w:rPr/>
  </w:style>
  <w:style w:type="character" w:styleId="WW-WW8Num1ztrue61111111111111111111111111111111111111" w:customStyle="1">
    <w:name w:val="WW-WW8Num1ztrue61111111111111111111111111111111111111"/>
    <w:qFormat/>
    <w:rPr/>
  </w:style>
  <w:style w:type="character" w:styleId="WW-WW8Num1ztrue71111111111111111111111111111111111111" w:customStyle="1">
    <w:name w:val="WW-WW8Num1ztrue71111111111111111111111111111111111111"/>
    <w:qFormat/>
    <w:rPr/>
  </w:style>
  <w:style w:type="character" w:styleId="WW-WW8Num1ztrue111111111111111111111111111111111111111" w:customStyle="1">
    <w:name w:val="WW-WW8Num1ztrue111111111111111111111111111111111111111"/>
    <w:qFormat/>
    <w:rPr/>
  </w:style>
  <w:style w:type="character" w:styleId="WW-WW8Num1ztrue211111111111111111111111111111111111111" w:customStyle="1">
    <w:name w:val="WW-WW8Num1ztrue211111111111111111111111111111111111111"/>
    <w:qFormat/>
    <w:rPr/>
  </w:style>
  <w:style w:type="character" w:styleId="WW-WW8Num1ztrue311111111111111111111111111111111111111" w:customStyle="1">
    <w:name w:val="WW-WW8Num1ztrue311111111111111111111111111111111111111"/>
    <w:qFormat/>
    <w:rPr/>
  </w:style>
  <w:style w:type="character" w:styleId="WW-WW8Num1ztrue411111111111111111111111111111111111111" w:customStyle="1">
    <w:name w:val="WW-WW8Num1ztrue411111111111111111111111111111111111111"/>
    <w:qFormat/>
    <w:rPr/>
  </w:style>
  <w:style w:type="character" w:styleId="WW-WW8Num1ztrue511111111111111111111111111111111111111" w:customStyle="1">
    <w:name w:val="WW-WW8Num1ztrue511111111111111111111111111111111111111"/>
    <w:qFormat/>
    <w:rPr/>
  </w:style>
  <w:style w:type="character" w:styleId="WW-WW8Num1ztrue611111111111111111111111111111111111111" w:customStyle="1">
    <w:name w:val="WW-WW8Num1ztrue611111111111111111111111111111111111111"/>
    <w:qFormat/>
    <w:rPr/>
  </w:style>
  <w:style w:type="character" w:styleId="WW-WW8Num1ztrue711111111111111111111111111111111111111" w:customStyle="1">
    <w:name w:val="WW-WW8Num1ztrue711111111111111111111111111111111111111"/>
    <w:qFormat/>
    <w:rPr/>
  </w:style>
  <w:style w:type="character" w:styleId="WW-WW8Num1ztrue1111111111111111111111111111111111111111" w:customStyle="1">
    <w:name w:val="WW-WW8Num1ztrue1111111111111111111111111111111111111111"/>
    <w:qFormat/>
    <w:rPr/>
  </w:style>
  <w:style w:type="character" w:styleId="WW-WW8Num1ztrue2111111111111111111111111111111111111111" w:customStyle="1">
    <w:name w:val="WW-WW8Num1ztrue2111111111111111111111111111111111111111"/>
    <w:qFormat/>
    <w:rPr/>
  </w:style>
  <w:style w:type="character" w:styleId="WW-WW8Num1ztrue3111111111111111111111111111111111111111" w:customStyle="1">
    <w:name w:val="WW-WW8Num1ztrue3111111111111111111111111111111111111111"/>
    <w:qFormat/>
    <w:rPr/>
  </w:style>
  <w:style w:type="character" w:styleId="WW-WW8Num1ztrue4111111111111111111111111111111111111111" w:customStyle="1">
    <w:name w:val="WW-WW8Num1ztrue4111111111111111111111111111111111111111"/>
    <w:qFormat/>
    <w:rPr/>
  </w:style>
  <w:style w:type="character" w:styleId="WW-WW8Num1ztrue5111111111111111111111111111111111111111" w:customStyle="1">
    <w:name w:val="WW-WW8Num1ztrue5111111111111111111111111111111111111111"/>
    <w:qFormat/>
    <w:rPr/>
  </w:style>
  <w:style w:type="character" w:styleId="WW-WW8Num1ztrue6111111111111111111111111111111111111111" w:customStyle="1">
    <w:name w:val="WW-WW8Num1ztrue6111111111111111111111111111111111111111"/>
    <w:qFormat/>
    <w:rPr/>
  </w:style>
  <w:style w:type="character" w:styleId="1" w:customStyle="1">
    <w:name w:val="Основной шрифт абзаца1"/>
    <w:qFormat/>
    <w:rPr/>
  </w:style>
  <w:style w:type="character" w:styleId="Emphasis">
    <w:name w:val="Emphasis"/>
    <w:qFormat/>
    <w:rPr>
      <w:i/>
      <w:iCs/>
    </w:rPr>
  </w:style>
  <w:style w:type="paragraph" w:styleId="Style12"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Lucida Sans"/>
      <w:i/>
      <w:iCs/>
      <w:sz w:val="24"/>
      <w:szCs w:val="24"/>
    </w:rPr>
  </w:style>
  <w:style w:type="paragraph" w:styleId="Style13"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4" w:customStyle="1">
    <w:name w:val="Верхній і нижній колонтитули"/>
    <w:basedOn w:val="Normal"/>
    <w:qFormat/>
    <w:pPr>
      <w:suppressLineNumbers/>
      <w:tabs>
        <w:tab w:val="clear" w:pos="708"/>
        <w:tab w:val="center" w:pos="4819" w:leader="none"/>
        <w:tab w:val="right" w:pos="9638" w:leader="none"/>
      </w:tabs>
    </w:pPr>
    <w:rPr/>
  </w:style>
  <w:style w:type="paragraph" w:styleId="Footer">
    <w:name w:val="footer"/>
    <w:basedOn w:val="Normal"/>
    <w:pPr>
      <w:suppressLineNumbers/>
      <w:tabs>
        <w:tab w:val="clear" w:pos="708"/>
        <w:tab w:val="center" w:pos="4677" w:leader="none"/>
        <w:tab w:val="right" w:pos="9354" w:leader="none"/>
      </w:tabs>
    </w:pPr>
    <w:rPr/>
  </w:style>
  <w:style w:type="numbering" w:styleId="Style15"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509</TotalTime>
  <Application>LibreOffice/24.8.4.2$Windows_X86_64 LibreOffice_project/bb3cfa12c7b1bf994ecc5649a80400d06cd71002</Application>
  <AppVersion>15.0000</AppVersion>
  <Pages>2</Pages>
  <Words>559</Words>
  <Characters>3735</Characters>
  <CharactersWithSpaces>4507</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2020-05-28T11:40:00Z</dcterms:created>
  <dc:creator>burko</dc:creator>
  <dc:description/>
  <dc:language>uk-UA</dc:language>
  <cp:lastModifiedBy/>
  <cp:lastPrinted>2025-02-07T13:53:01Z</cp:lastPrinted>
  <dcterms:modified xsi:type="dcterms:W3CDTF">2025-02-07T14:07:39Z</dcterms:modified>
  <cp:revision>87</cp:revision>
  <dc:subject/>
  <dc:title> </dc:title>
</cp:coreProperties>
</file>

<file path=docProps/custom.xml><?xml version="1.0" encoding="utf-8"?>
<Properties xmlns="http://schemas.openxmlformats.org/officeDocument/2006/custom-properties" xmlns:vt="http://schemas.openxmlformats.org/officeDocument/2006/docPropsVTypes"/>
</file>