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pPr>
      <w:r>
        <w:rPr/>
        <w:drawing>
          <wp:inline distT="0" distB="0" distL="0" distR="0">
            <wp:extent cx="502920" cy="617220"/>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2920" cy="617220"/>
                    </a:xfrm>
                    <a:prstGeom prst="rect">
                      <a:avLst/>
                    </a:prstGeom>
                  </pic:spPr>
                </pic:pic>
              </a:graphicData>
            </a:graphic>
          </wp:inline>
        </w:drawing>
      </w:r>
    </w:p>
    <w:p>
      <w:pPr>
        <w:pStyle w:val="Normal"/>
        <w:widowControl w:val="false"/>
        <w:jc w:val="center"/>
        <w:rPr/>
      </w:pPr>
      <w:r>
        <w:rPr/>
      </w:r>
    </w:p>
    <w:p>
      <w:pPr>
        <w:pStyle w:val="1"/>
        <w:widowControl w:val="false"/>
        <w:numPr>
          <w:ilvl w:val="0"/>
          <w:numId w:val="2"/>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2"/>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sz w:val="28"/>
          <w:szCs w:val="28"/>
        </w:rPr>
      </w:pPr>
      <w:r>
        <w:rPr>
          <w:rFonts w:eastAsia="Times New Roman" w:cs="Times New Roman"/>
          <w:b w:val="false"/>
          <w:bCs w:val="false"/>
          <w:color w:val="auto"/>
          <w:spacing w:val="-6"/>
          <w:kern w:val="0"/>
          <w:sz w:val="28"/>
          <w:szCs w:val="28"/>
          <w:lang w:val="uk-UA" w:eastAsia="zh-CN" w:bidi="ar-SA"/>
        </w:rPr>
        <w:t xml:space="preserve">Про надання </w:t>
      </w:r>
      <w:r>
        <w:rPr>
          <w:rFonts w:eastAsia="Times New Roman" w:cs="Times New Roman"/>
          <w:b w:val="false"/>
          <w:bCs w:val="false"/>
          <w:color w:val="auto"/>
          <w:spacing w:val="4"/>
          <w:kern w:val="0"/>
          <w:sz w:val="28"/>
          <w:szCs w:val="28"/>
          <w:lang w:val="uk-UA" w:eastAsia="zh-CN" w:bidi="ar-SA"/>
        </w:rPr>
        <w:t>ПрАТ «СКФ УКРАЇНА»</w:t>
      </w:r>
    </w:p>
    <w:p>
      <w:pPr>
        <w:pStyle w:val="Normal"/>
        <w:rPr>
          <w:sz w:val="28"/>
          <w:szCs w:val="28"/>
        </w:rPr>
      </w:pPr>
      <w:r>
        <w:rPr>
          <w:rFonts w:eastAsia="Times New Roman" w:cs="Times New Roman"/>
          <w:b w:val="false"/>
          <w:bCs w:val="false"/>
          <w:color w:val="auto"/>
          <w:spacing w:val="-6"/>
          <w:kern w:val="0"/>
          <w:sz w:val="28"/>
          <w:szCs w:val="28"/>
          <w:lang w:val="uk-UA" w:eastAsia="zh-CN" w:bidi="ar-SA"/>
        </w:rPr>
        <w:t>дозволу на розроблення технічної доку-</w:t>
      </w:r>
    </w:p>
    <w:p>
      <w:pPr>
        <w:pStyle w:val="Normal"/>
        <w:rPr>
          <w:sz w:val="28"/>
          <w:szCs w:val="28"/>
        </w:rPr>
      </w:pPr>
      <w:r>
        <w:rPr>
          <w:rFonts w:eastAsia="Times New Roman" w:cs="Times New Roman"/>
          <w:b w:val="false"/>
          <w:bCs w:val="false"/>
          <w:color w:val="auto"/>
          <w:spacing w:val="-6"/>
          <w:kern w:val="0"/>
          <w:sz w:val="28"/>
          <w:szCs w:val="28"/>
          <w:lang w:val="uk-UA" w:eastAsia="zh-CN" w:bidi="ar-SA"/>
        </w:rPr>
        <w:t>ментації із землеустрою щодо  встанов-</w:t>
      </w:r>
    </w:p>
    <w:p>
      <w:pPr>
        <w:pStyle w:val="Normal"/>
        <w:rPr>
          <w:sz w:val="28"/>
          <w:szCs w:val="28"/>
        </w:rPr>
      </w:pPr>
      <w:r>
        <w:rPr>
          <w:rFonts w:eastAsia="Times New Roman" w:cs="Times New Roman"/>
          <w:b w:val="false"/>
          <w:bCs w:val="false"/>
          <w:color w:val="auto"/>
          <w:spacing w:val="-6"/>
          <w:kern w:val="0"/>
          <w:sz w:val="28"/>
          <w:szCs w:val="28"/>
          <w:lang w:val="uk-UA" w:eastAsia="zh-CN" w:bidi="ar-SA"/>
        </w:rPr>
        <w:t>лення   (відновлення)    меж    земельної</w:t>
      </w:r>
    </w:p>
    <w:p>
      <w:pPr>
        <w:pStyle w:val="Normal"/>
        <w:rPr>
          <w:sz w:val="28"/>
          <w:szCs w:val="28"/>
        </w:rPr>
      </w:pPr>
      <w:r>
        <w:rPr>
          <w:rFonts w:eastAsia="Times New Roman" w:cs="Times New Roman"/>
          <w:b w:val="false"/>
          <w:bCs w:val="false"/>
          <w:color w:val="auto"/>
          <w:spacing w:val="-6"/>
          <w:kern w:val="0"/>
          <w:sz w:val="28"/>
          <w:szCs w:val="28"/>
          <w:lang w:val="uk-UA" w:eastAsia="zh-CN" w:bidi="ar-SA"/>
        </w:rPr>
        <w:t>ділянки   в    натурі   (на місцевості)   на</w:t>
      </w:r>
    </w:p>
    <w:p>
      <w:pPr>
        <w:pStyle w:val="Normal"/>
        <w:rPr>
          <w:sz w:val="28"/>
          <w:szCs w:val="28"/>
        </w:rPr>
      </w:pPr>
      <w:r>
        <w:rPr>
          <w:rFonts w:eastAsia="Times New Roman" w:cs="Times New Roman"/>
          <w:b w:val="false"/>
          <w:bCs/>
          <w:i w:val="false"/>
          <w:iCs w:val="false"/>
          <w:color w:val="auto"/>
          <w:spacing w:val="-6"/>
          <w:kern w:val="0"/>
          <w:sz w:val="28"/>
          <w:szCs w:val="28"/>
          <w:lang w:val="uk-UA" w:eastAsia="zh-CN" w:bidi="ar-SA"/>
        </w:rPr>
        <w:t>вул. Виробничій, 34</w:t>
      </w:r>
      <w:r>
        <w:rPr>
          <w:rFonts w:eastAsia="Times New Roman" w:cs="Times New Roman"/>
          <w:b w:val="false"/>
          <w:bCs/>
          <w:color w:val="000000"/>
          <w:spacing w:val="4"/>
          <w:kern w:val="0"/>
          <w:sz w:val="28"/>
          <w:szCs w:val="28"/>
          <w:lang w:val="uk-UA" w:eastAsia="zh-CN" w:bidi="ar-SA"/>
        </w:rPr>
        <w:t xml:space="preserve"> </w:t>
      </w:r>
      <w:r>
        <w:rPr>
          <w:rFonts w:eastAsia="Times New Roman" w:cs="Times New Roman"/>
          <w:b w:val="false"/>
          <w:bCs w:val="false"/>
          <w:color w:val="auto"/>
          <w:spacing w:val="-6"/>
          <w:kern w:val="0"/>
          <w:sz w:val="28"/>
          <w:szCs w:val="28"/>
          <w:lang w:val="uk-UA" w:eastAsia="zh-CN" w:bidi="ar-SA"/>
        </w:rPr>
        <w:t>у м. Луцьку</w:t>
      </w:r>
    </w:p>
    <w:p>
      <w:pPr>
        <w:pStyle w:val="Normal"/>
        <w:widowControl w:val="false"/>
        <w:rPr>
          <w:rFonts w:ascii="Times New Roman" w:hAnsi="Times New Roman" w:eastAsia="Times New Roman" w:cs="Times New Roman"/>
          <w:b w:val="false"/>
          <w:b w:val="false"/>
          <w:bCs w:val="false"/>
          <w:color w:val="auto"/>
          <w:spacing w:val="-6"/>
          <w:kern w:val="0"/>
          <w:sz w:val="28"/>
          <w:szCs w:val="28"/>
          <w:lang w:val="uk-UA" w:eastAsia="zh-CN" w:bidi="ar-SA"/>
        </w:rPr>
      </w:pPr>
      <w:r>
        <w:rPr>
          <w:rFonts w:eastAsia="Times New Roman" w:cs="Times New Roman"/>
          <w:b w:val="false"/>
          <w:bCs w:val="false"/>
          <w:color w:val="auto"/>
          <w:spacing w:val="-6"/>
          <w:kern w:val="0"/>
          <w:sz w:val="28"/>
          <w:szCs w:val="28"/>
          <w:lang w:val="uk-UA" w:eastAsia="zh-CN" w:bidi="ar-SA"/>
        </w:rPr>
      </w:r>
    </w:p>
    <w:p>
      <w:pPr>
        <w:pStyle w:val="Normal"/>
        <w:widowControl/>
        <w:suppressAutoHyphens w:val="true"/>
        <w:overflowPunct w:val="true"/>
        <w:bidi w:val="0"/>
        <w:spacing w:before="0" w:after="0"/>
        <w:ind w:left="0" w:right="0" w:firstLine="567"/>
        <w:jc w:val="both"/>
        <w:rPr>
          <w:sz w:val="28"/>
          <w:szCs w:val="28"/>
        </w:rPr>
      </w:pPr>
      <w:r>
        <w:rPr>
          <w:rFonts w:eastAsia="Times New Roman" w:cs="Times New Roman"/>
          <w:b w:val="false"/>
          <w:bCs w:val="false"/>
          <w:color w:val="auto"/>
          <w:spacing w:val="-6"/>
          <w:kern w:val="0"/>
          <w:sz w:val="28"/>
          <w:szCs w:val="28"/>
          <w:lang w:val="uk-UA" w:eastAsia="zh-CN" w:bidi="ar-SA"/>
        </w:rPr>
        <w:t>Розглянувши заяву ПРИВАТНОГО АКЦІОНЕРНОГО ТОВАРИСТВА «СКФ УКРАЇНА»</w:t>
      </w:r>
      <w:r>
        <w:rPr>
          <w:rFonts w:eastAsia="Times New Roman" w:cs="Times New Roman"/>
          <w:b w:val="false"/>
          <w:bCs w:val="false"/>
          <w:i w:val="false"/>
          <w:caps w:val="false"/>
          <w:smallCaps w:val="false"/>
          <w:color w:val="000000"/>
          <w:spacing w:val="-4"/>
          <w:kern w:val="0"/>
          <w:sz w:val="28"/>
          <w:szCs w:val="28"/>
          <w:lang w:val="uk-UA" w:eastAsia="zh-CN" w:bidi="ar-SA"/>
        </w:rPr>
        <w:t xml:space="preserve"> </w:t>
      </w:r>
      <w:r>
        <w:rPr>
          <w:rFonts w:eastAsia="Times New Roman" w:cs="Times New Roman"/>
          <w:b w:val="false"/>
          <w:bCs w:val="false"/>
          <w:color w:val="auto"/>
          <w:spacing w:val="-6"/>
          <w:kern w:val="0"/>
          <w:sz w:val="28"/>
          <w:szCs w:val="28"/>
          <w:lang w:val="uk-UA" w:eastAsia="zh-CN" w:bidi="ar-SA"/>
        </w:rPr>
        <w:t xml:space="preserve">про надання дозволу на розроблення технічної документації із землеустрою щодо </w:t>
      </w:r>
      <w:r>
        <w:rPr>
          <w:rFonts w:eastAsia="Times New Roman" w:cs="Times New Roman"/>
          <w:b w:val="false"/>
          <w:bCs/>
          <w:i w:val="false"/>
          <w:iCs w:val="false"/>
          <w:color w:val="000000"/>
          <w:spacing w:val="-6"/>
          <w:kern w:val="0"/>
          <w:sz w:val="28"/>
          <w:szCs w:val="28"/>
          <w:shd w:fill="FFFFFF" w:val="clear"/>
          <w:lang w:val="uk-UA" w:eastAsia="zh-CN" w:bidi="ar-SA"/>
        </w:rPr>
        <w:t xml:space="preserve">встановлення (відновлення) меж земельної ділянки в натурі (на місцевості) на вул. Виробничій, 34 (вул. Боженка, 34) у м. Луцьку, </w:t>
      </w:r>
      <w:r>
        <w:rPr>
          <w:rFonts w:eastAsia="Times New Roman" w:cs="Times New Roman"/>
          <w:b w:val="false"/>
          <w:bCs/>
          <w:i w:val="false"/>
          <w:iCs w:val="false"/>
          <w:caps w:val="false"/>
          <w:smallCaps w:val="false"/>
          <w:color w:val="000000"/>
          <w:spacing w:val="-6"/>
          <w:kern w:val="0"/>
          <w:sz w:val="28"/>
          <w:szCs w:val="28"/>
          <w:highlight w:val="white"/>
          <w:shd w:fill="FFFFFF" w:val="clear"/>
          <w:lang w:val="uk-UA" w:eastAsia="zh-CN" w:bidi="ar-SA"/>
        </w:rPr>
        <w:t>враховуючи довідк</w:t>
      </w:r>
      <w:r>
        <w:rPr>
          <w:rFonts w:eastAsia="Times New Roman" w:cs="Times New Roman"/>
          <w:b w:val="false"/>
          <w:bCs/>
          <w:i w:val="false"/>
          <w:iCs w:val="false"/>
          <w:caps w:val="false"/>
          <w:smallCaps w:val="false"/>
          <w:color w:val="000000"/>
          <w:spacing w:val="-6"/>
          <w:kern w:val="0"/>
          <w:sz w:val="28"/>
          <w:szCs w:val="28"/>
          <w:highlight w:val="white"/>
          <w:shd w:fill="FFFFFF" w:val="clear"/>
          <w:lang w:val="uk-UA" w:eastAsia="zh-CN" w:bidi="ar-SA"/>
        </w:rPr>
        <w:t>и</w:t>
      </w:r>
      <w:r>
        <w:rPr>
          <w:rFonts w:eastAsia="Times New Roman" w:cs="Times New Roman"/>
          <w:b w:val="false"/>
          <w:bCs/>
          <w:i w:val="false"/>
          <w:iCs w:val="false"/>
          <w:caps w:val="false"/>
          <w:smallCaps w:val="false"/>
          <w:color w:val="000000"/>
          <w:spacing w:val="-6"/>
          <w:kern w:val="0"/>
          <w:sz w:val="28"/>
          <w:szCs w:val="28"/>
          <w:highlight w:val="white"/>
          <w:shd w:fill="FFFFFF" w:val="clear"/>
          <w:lang w:val="uk-UA" w:eastAsia="zh-CN" w:bidi="ar-SA"/>
        </w:rPr>
        <w:t xml:space="preserve"> ПРИВАТНОГО АКЦІОНЕРНОГО ТОВАРИСТВА «СКФ УКРАЇНА» про балансову належність технологічної естакади від 26.12.2024 № 9513/325 </w:t>
      </w:r>
      <w:r>
        <w:rPr>
          <w:rFonts w:eastAsia="Times New Roman" w:cs="Times New Roman"/>
          <w:b w:val="false"/>
          <w:bCs/>
          <w:i w:val="false"/>
          <w:iCs w:val="false"/>
          <w:caps w:val="false"/>
          <w:smallCaps w:val="false"/>
          <w:color w:val="000000"/>
          <w:spacing w:val="-6"/>
          <w:kern w:val="0"/>
          <w:sz w:val="28"/>
          <w:szCs w:val="28"/>
          <w:highlight w:val="white"/>
          <w:shd w:fill="FFFFFF" w:val="clear"/>
          <w:lang w:val="uk-UA" w:eastAsia="zh-CN" w:bidi="ar-SA"/>
        </w:rPr>
        <w:t>та залізничної під</w:t>
      </w:r>
      <w:r>
        <w:rPr>
          <w:rFonts w:eastAsia="Times New Roman" w:cs="Times New Roman"/>
          <w:b w:val="false"/>
          <w:bCs/>
          <w:i w:val="false"/>
          <w:iCs w:val="false"/>
          <w:caps w:val="false"/>
          <w:smallCaps w:val="false"/>
          <w:color w:val="000000"/>
          <w:spacing w:val="-4"/>
          <w:kern w:val="0"/>
          <w:sz w:val="28"/>
          <w:szCs w:val="28"/>
          <w:highlight w:val="white"/>
          <w:shd w:fill="FFFFFF" w:val="clear"/>
          <w:lang w:val="uk-UA" w:eastAsia="ru-RU" w:bidi="ar-SA"/>
        </w:rPr>
        <w:t>’</w:t>
      </w:r>
      <w:r>
        <w:rPr>
          <w:rFonts w:eastAsia="Times New Roman" w:cs="Times New Roman"/>
          <w:b w:val="false"/>
          <w:bCs/>
          <w:i w:val="false"/>
          <w:iCs w:val="false"/>
          <w:caps w:val="false"/>
          <w:smallCaps w:val="false"/>
          <w:color w:val="000000"/>
          <w:spacing w:val="-6"/>
          <w:kern w:val="0"/>
          <w:sz w:val="28"/>
          <w:szCs w:val="28"/>
          <w:highlight w:val="white"/>
          <w:shd w:fill="FFFFFF" w:val="clear"/>
          <w:lang w:val="uk-UA" w:eastAsia="zh-CN" w:bidi="ar-SA"/>
        </w:rPr>
        <w:t xml:space="preserve">їзної колії від 26.02.2025 № 9513/25, </w:t>
      </w:r>
      <w:r>
        <w:rPr>
          <w:rFonts w:eastAsia="Times New Roman" w:cs="Times New Roman"/>
          <w:b w:val="false"/>
          <w:bCs/>
          <w:i w:val="false"/>
          <w:iCs w:val="false"/>
          <w:caps w:val="false"/>
          <w:smallCaps w:val="false"/>
          <w:color w:val="000000"/>
          <w:spacing w:val="-6"/>
          <w:kern w:val="0"/>
          <w:sz w:val="28"/>
          <w:szCs w:val="28"/>
          <w:highlight w:val="white"/>
          <w:shd w:fill="FFFFFF" w:val="clear"/>
          <w:lang w:val="uk-UA" w:eastAsia="zh-CN" w:bidi="ar-SA"/>
        </w:rPr>
        <w:t>договір орен</w:t>
      </w:r>
      <w:r>
        <w:rPr>
          <w:rFonts w:eastAsia="Times New Roman" w:cs="Times New Roman"/>
          <w:b w:val="false"/>
          <w:bCs w:val="false"/>
          <w:color w:val="auto"/>
          <w:spacing w:val="-6"/>
          <w:kern w:val="0"/>
          <w:sz w:val="28"/>
          <w:szCs w:val="28"/>
          <w:lang w:val="uk-UA" w:eastAsia="zh-CN" w:bidi="ar-SA"/>
        </w:rPr>
        <w:t xml:space="preserve">ди землі, укладений між Луцькою міською радою та </w:t>
      </w:r>
      <w:r>
        <w:rPr>
          <w:rFonts w:eastAsia="Times New Roman" w:cs="Times New Roman"/>
          <w:b w:val="false"/>
          <w:bCs/>
          <w:i w:val="false"/>
          <w:iCs w:val="false"/>
          <w:caps w:val="false"/>
          <w:smallCaps w:val="false"/>
          <w:color w:val="000000"/>
          <w:spacing w:val="-6"/>
          <w:kern w:val="0"/>
          <w:sz w:val="28"/>
          <w:szCs w:val="28"/>
          <w:highlight w:val="white"/>
          <w:shd w:fill="FFFFFF" w:val="clear"/>
          <w:lang w:val="uk-UA" w:eastAsia="zh-CN" w:bidi="ar-SA"/>
        </w:rPr>
        <w:t>ПРИВАТНИМ АКЦІОНЕРНИМ ТОВАРИСТВОМ «СКФ УКРАЇНА»</w:t>
      </w:r>
      <w:r>
        <w:rPr>
          <w:rFonts w:eastAsia="Times New Roman" w:cs="Times New Roman"/>
          <w:b w:val="false"/>
          <w:bCs w:val="false"/>
          <w:i w:val="false"/>
          <w:caps w:val="false"/>
          <w:smallCaps w:val="false"/>
          <w:color w:val="000000"/>
          <w:spacing w:val="-4"/>
          <w:kern w:val="0"/>
          <w:sz w:val="28"/>
          <w:szCs w:val="28"/>
          <w:lang w:val="uk-UA" w:eastAsia="zh-CN" w:bidi="ar-SA"/>
        </w:rPr>
        <w:t xml:space="preserve">, </w:t>
      </w:r>
      <w:r>
        <w:rPr>
          <w:rFonts w:eastAsia="Times New Roman" w:cs="Times New Roman"/>
          <w:b w:val="false"/>
          <w:bCs w:val="false"/>
          <w:color w:val="auto"/>
          <w:spacing w:val="-6"/>
          <w:kern w:val="0"/>
          <w:sz w:val="28"/>
          <w:szCs w:val="28"/>
          <w:lang w:val="uk-UA" w:eastAsia="zh-CN" w:bidi="ar-SA"/>
        </w:rPr>
        <w:t xml:space="preserve">зареєстрований в книзі записів державної реєстрації договорів оренди землі 20.04.2006 за № 040607700123, строк дії якого закінчився,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акт приймання-передачі земельної ділянки від 11.11.2014, лист Державного комунального підприємства  </w:t>
      </w:r>
      <w:r>
        <w:rPr>
          <w:rFonts w:eastAsia="Times New Roman" w:cs="Times New Roman"/>
          <w:b w:val="false"/>
          <w:bCs w:val="false"/>
          <w:i w:val="false"/>
          <w:iCs w:val="false"/>
          <w:caps w:val="false"/>
          <w:smallCaps w:val="false"/>
          <w:color w:val="000000"/>
          <w:spacing w:val="-4"/>
          <w:kern w:val="0"/>
          <w:sz w:val="28"/>
          <w:szCs w:val="28"/>
          <w:highlight w:val="white"/>
          <w:lang w:val="uk-UA" w:eastAsia="zh-CN" w:bidi="ar-SA"/>
        </w:rPr>
        <w:t>«Луцьктепло» від 26.08.2021 № 764/101-07-09-28/2021 про пог</w:t>
      </w:r>
      <w:r>
        <w:rPr>
          <w:rFonts w:eastAsia="Times New Roman" w:cs="Times New Roman"/>
          <w:b w:val="false"/>
          <w:bCs w:val="false"/>
          <w:i w:val="false"/>
          <w:iCs w:val="false"/>
          <w:caps w:val="false"/>
          <w:smallCaps w:val="false"/>
          <w:color w:val="auto"/>
          <w:spacing w:val="-6"/>
          <w:kern w:val="0"/>
          <w:sz w:val="28"/>
          <w:szCs w:val="28"/>
          <w:highlight w:val="white"/>
          <w:lang w:val="uk-UA" w:eastAsia="zh-CN" w:bidi="ar-SA"/>
        </w:rPr>
        <w:t xml:space="preserve">одження встановлення земельного сервітуту на земельній ділянці площею 0,0614 га з кадастровим номером 0710100000:32:110:0007 для забезпечення проїзду до земельної ділянки, яка перебуває в постійному користуванні, рішення Луцької міської ради від 27.04.2022 № 31/15 «Про завершення процесу декомунізації з перейменування вулиць міста Луцька та інших населених пунктів Луцької міської територіальної громади», із змінами, внесеними рішенням від 28.09.2022 № 35/52 “Про внесення змін до рішення міської ради від 27.04.2022 № 31/15 «Про завершення процесу декомунізації з перейменування вулиць міста Луцька та інших населених пунктів Луцької міської територіальної громади»”, </w:t>
      </w:r>
      <w:r>
        <w:rPr>
          <w:rFonts w:eastAsia="Times New Roman" w:cs="Times New Roman"/>
          <w:b w:val="false"/>
          <w:bCs w:val="false"/>
          <w:color w:val="auto"/>
          <w:spacing w:val="-6"/>
          <w:kern w:val="0"/>
          <w:sz w:val="28"/>
          <w:szCs w:val="28"/>
          <w:lang w:val="uk-UA" w:eastAsia="zh-CN" w:bidi="ar-SA"/>
        </w:rPr>
        <w:t xml:space="preserve">керуючись статтями 12, 79-1, 93, 120, 122-123, частиною другою статті 134 Земельного кодексу України, </w:t>
      </w:r>
      <w:r>
        <w:rPr>
          <w:rFonts w:eastAsia="Times New Roman" w:cs="Times New Roman"/>
          <w:b w:val="false"/>
          <w:bCs w:val="false"/>
          <w:i w:val="false"/>
          <w:iCs w:val="false"/>
          <w:color w:val="auto"/>
          <w:spacing w:val="-6"/>
          <w:kern w:val="0"/>
          <w:sz w:val="28"/>
          <w:szCs w:val="28"/>
          <w:lang w:val="uk-UA" w:eastAsia="zh-CN" w:bidi="ar-SA"/>
        </w:rPr>
        <w:t>пунктом 3 розділу ІІ «</w:t>
      </w:r>
      <w:r>
        <w:rPr>
          <w:rFonts w:eastAsia="Times New Roman" w:cs="Times New Roman"/>
          <w:b w:val="false"/>
          <w:bCs w:val="false"/>
          <w:i w:val="false"/>
          <w:caps w:val="false"/>
          <w:smallCaps w:val="false"/>
          <w:color w:val="auto"/>
          <w:spacing w:val="-6"/>
          <w:kern w:val="0"/>
          <w:sz w:val="28"/>
          <w:szCs w:val="28"/>
          <w:lang w:val="uk-UA" w:eastAsia="zh-CN" w:bidi="ar-SA"/>
        </w:rPr>
        <w:t>Прикінцеві та перехідні положення</w:t>
      </w:r>
      <w:r>
        <w:rPr>
          <w:rFonts w:eastAsia="Times New Roman" w:cs="Times New Roman"/>
          <w:b w:val="false"/>
          <w:bCs w:val="false"/>
          <w:i w:val="false"/>
          <w:iCs w:val="false"/>
          <w:caps w:val="false"/>
          <w:smallCaps w:val="false"/>
          <w:color w:val="auto"/>
          <w:spacing w:val="-6"/>
          <w:kern w:val="0"/>
          <w:sz w:val="28"/>
          <w:szCs w:val="28"/>
          <w:lang w:val="uk-UA" w:eastAsia="zh-CN" w:bidi="ar-SA"/>
        </w:rPr>
        <w:t>»</w:t>
      </w:r>
      <w:r>
        <w:rPr>
          <w:rFonts w:eastAsia="Times New Roman" w:cs="Times New Roman"/>
          <w:b w:val="false"/>
          <w:bCs w:val="false"/>
          <w:color w:val="auto"/>
          <w:spacing w:val="-6"/>
          <w:kern w:val="0"/>
          <w:sz w:val="28"/>
          <w:szCs w:val="28"/>
          <w:lang w:val="uk-UA" w:eastAsia="zh-CN" w:bidi="ar-SA"/>
        </w:rPr>
        <w:t xml:space="preserve"> Закону України «Про внесення змін до деяких законодавчих актів України щодо розмежування земель державної та комунальної власності», статтями 25, 55 Закону України «Про землеустрій»,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міська рада</w:t>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jc w:val="both"/>
        <w:rPr>
          <w:sz w:val="28"/>
          <w:szCs w:val="28"/>
        </w:rPr>
      </w:pPr>
      <w:r>
        <w:rPr>
          <w:sz w:val="28"/>
          <w:szCs w:val="28"/>
          <w:lang w:val="uk-UA"/>
        </w:rPr>
        <w:t>ВИРІШИЛА:</w:t>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suppressAutoHyphens w:val="true"/>
        <w:overflowPunct w:val="true"/>
        <w:bidi w:val="0"/>
        <w:spacing w:before="0" w:after="0"/>
        <w:ind w:left="0" w:right="0" w:firstLine="567"/>
        <w:jc w:val="both"/>
        <w:rPr>
          <w:sz w:val="28"/>
          <w:szCs w:val="28"/>
        </w:rPr>
      </w:pPr>
      <w:r>
        <w:rPr>
          <w:rFonts w:eastAsia="Times New Roman" w:cs="Times New Roman"/>
          <w:b w:val="false"/>
          <w:bCs w:val="false"/>
          <w:color w:val="auto"/>
          <w:spacing w:val="-6"/>
          <w:kern w:val="0"/>
          <w:sz w:val="28"/>
          <w:szCs w:val="28"/>
          <w:lang w:val="uk-UA" w:eastAsia="zh-CN" w:bidi="ar-SA"/>
        </w:rPr>
        <w:t xml:space="preserve">1. Надати </w:t>
      </w:r>
      <w:r>
        <w:rPr>
          <w:rFonts w:eastAsia="Times New Roman" w:cs="Times New Roman"/>
          <w:b w:val="false"/>
          <w:bCs w:val="false"/>
          <w:i w:val="false"/>
          <w:caps w:val="false"/>
          <w:smallCaps w:val="false"/>
          <w:color w:val="auto"/>
          <w:spacing w:val="-6"/>
          <w:kern w:val="0"/>
          <w:sz w:val="28"/>
          <w:szCs w:val="28"/>
          <w:lang w:val="uk-UA" w:eastAsia="zh-CN" w:bidi="ar-SA"/>
        </w:rPr>
        <w:t>ПРИВАТНОМУ АКЦІОНЕРНОМУ ТОВАРИСТВУ «СКФ УКРАЇНА»</w:t>
      </w:r>
      <w:r>
        <w:rPr>
          <w:rFonts w:eastAsia="Times New Roman" w:cs="Times New Roman"/>
          <w:b w:val="false"/>
          <w:bCs w:val="false"/>
          <w:color w:val="auto"/>
          <w:spacing w:val="-6"/>
          <w:kern w:val="0"/>
          <w:sz w:val="28"/>
          <w:szCs w:val="28"/>
          <w:lang w:val="uk-UA" w:eastAsia="zh-CN" w:bidi="ar-SA"/>
        </w:rPr>
        <w:t xml:space="preserve"> дозвіл на розроблення технічної документації із землеустрою щодо  встановлення (відновлення) меж земельної ділянки в натурі (на місцевості) на </w:t>
      </w:r>
      <w:r>
        <w:rPr>
          <w:rFonts w:eastAsia="Times New Roman" w:cs="Times New Roman"/>
          <w:b w:val="false"/>
          <w:bCs/>
          <w:i w:val="false"/>
          <w:iCs w:val="false"/>
          <w:color w:val="000000"/>
          <w:spacing w:val="-6"/>
          <w:kern w:val="0"/>
          <w:sz w:val="28"/>
          <w:szCs w:val="28"/>
          <w:shd w:fill="FFFFFF" w:val="clear"/>
          <w:lang w:val="uk-UA" w:eastAsia="zh-CN" w:bidi="ar-SA"/>
        </w:rPr>
        <w:t>вул. Виробничій, 34</w:t>
      </w:r>
      <w:r>
        <w:rPr>
          <w:rFonts w:eastAsia="Times New Roman" w:cs="Times New Roman"/>
          <w:b w:val="false"/>
          <w:bCs w:val="false"/>
          <w:color w:val="000000"/>
          <w:spacing w:val="-6"/>
          <w:kern w:val="0"/>
          <w:sz w:val="28"/>
          <w:szCs w:val="28"/>
          <w:shd w:fill="FFFFFF" w:val="clear"/>
          <w:lang w:val="uk-UA" w:eastAsia="zh-CN" w:bidi="ar-SA"/>
        </w:rPr>
        <w:t xml:space="preserve"> </w:t>
      </w:r>
      <w:r>
        <w:rPr>
          <w:rFonts w:eastAsia="Times New Roman" w:cs="Times New Roman"/>
          <w:b w:val="false"/>
          <w:bCs w:val="false"/>
          <w:color w:val="auto"/>
          <w:spacing w:val="-6"/>
          <w:kern w:val="0"/>
          <w:sz w:val="28"/>
          <w:szCs w:val="28"/>
          <w:lang w:val="uk-UA" w:eastAsia="zh-CN" w:bidi="ar-SA"/>
        </w:rPr>
        <w:t>у м. Луцьку, площею 0,0614 га.</w:t>
      </w:r>
    </w:p>
    <w:p>
      <w:pPr>
        <w:pStyle w:val="Normal"/>
        <w:widowControl w:val="false"/>
        <w:suppressAutoHyphens w:val="true"/>
        <w:overflowPunct w:val="true"/>
        <w:bidi w:val="0"/>
        <w:spacing w:before="0" w:after="0"/>
        <w:ind w:left="0" w:right="0" w:firstLine="567"/>
        <w:jc w:val="both"/>
        <w:rPr>
          <w:sz w:val="28"/>
          <w:szCs w:val="28"/>
        </w:rPr>
      </w:pPr>
      <w:r>
        <w:rPr>
          <w:rFonts w:eastAsia="Times New Roman" w:cs="Times New Roman"/>
          <w:b w:val="false"/>
          <w:bCs w:val="false"/>
          <w:color w:val="auto"/>
          <w:spacing w:val="-6"/>
          <w:kern w:val="0"/>
          <w:sz w:val="28"/>
          <w:szCs w:val="28"/>
          <w:lang w:val="uk-UA" w:eastAsia="zh-CN" w:bidi="ar-SA"/>
        </w:rPr>
        <w:t xml:space="preserve">2. Зобов’язати </w:t>
      </w:r>
      <w:r>
        <w:rPr>
          <w:rFonts w:eastAsia="Times New Roman" w:cs="Times New Roman"/>
          <w:b w:val="false"/>
          <w:bCs w:val="false"/>
          <w:i w:val="false"/>
          <w:caps w:val="false"/>
          <w:smallCaps w:val="false"/>
          <w:color w:val="000000"/>
          <w:spacing w:val="-6"/>
          <w:kern w:val="0"/>
          <w:sz w:val="28"/>
          <w:szCs w:val="28"/>
          <w:shd w:fill="FFFFFF" w:val="clear"/>
          <w:lang w:val="uk-UA" w:eastAsia="zh-CN" w:bidi="ar-SA"/>
        </w:rPr>
        <w:t xml:space="preserve">ПРИВАТНЕ АКЦІОНЕРНЕ ТОВАРИСТВО «СКФ УКРАЇНА» </w:t>
      </w:r>
      <w:r>
        <w:rPr>
          <w:rFonts w:eastAsia="Times New Roman" w:cs="Times New Roman"/>
          <w:b w:val="false"/>
          <w:bCs w:val="false"/>
          <w:color w:val="auto"/>
          <w:spacing w:val="-6"/>
          <w:kern w:val="0"/>
          <w:sz w:val="28"/>
          <w:szCs w:val="28"/>
          <w:lang w:val="uk-UA" w:eastAsia="zh-CN" w:bidi="ar-SA"/>
        </w:rPr>
        <w:t>розробити технічну документацію із землеустрою щодо встановлення (відновлення) меж земельної ділянки в натурі (на місцевості) та подати її на затвердження до міської ради.</w:t>
      </w:r>
    </w:p>
    <w:p>
      <w:pPr>
        <w:pStyle w:val="Normal"/>
        <w:widowControl/>
        <w:suppressAutoHyphens w:val="true"/>
        <w:overflowPunct w:val="true"/>
        <w:bidi w:val="0"/>
        <w:spacing w:before="0" w:after="0"/>
        <w:ind w:left="0" w:right="0" w:firstLine="567"/>
        <w:jc w:val="both"/>
        <w:rPr>
          <w:sz w:val="28"/>
          <w:szCs w:val="28"/>
        </w:rPr>
      </w:pPr>
      <w:r>
        <w:rPr>
          <w:rFonts w:eastAsia="Times New Roman" w:cs="Times New Roman"/>
          <w:b w:val="false"/>
          <w:bCs w:val="false"/>
          <w:color w:val="auto"/>
          <w:spacing w:val="-6"/>
          <w:kern w:val="0"/>
          <w:sz w:val="28"/>
          <w:szCs w:val="28"/>
          <w:lang w:val="uk-UA" w:eastAsia="zh-CN" w:bidi="ar-SA"/>
        </w:rPr>
        <w:t>3.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cs="Times New Roman"/>
          <w:color w:val="00000A"/>
          <w:sz w:val="28"/>
          <w:szCs w:val="28"/>
          <w:lang w:val="uk-UA" w:eastAsia="zh-CN"/>
        </w:rPr>
      </w:pPr>
      <w:r>
        <w:rPr>
          <w:rFonts w:cs="Times New Roman"/>
          <w:color w:val="00000A"/>
          <w:sz w:val="28"/>
          <w:szCs w:val="28"/>
          <w:lang w:val="uk-UA" w:eastAsia="zh-CN"/>
        </w:rPr>
      </w:r>
    </w:p>
    <w:p>
      <w:pPr>
        <w:pStyle w:val="Normal"/>
        <w:widowControl w:val="false"/>
        <w:ind w:left="0" w:right="0" w:firstLine="763"/>
        <w:jc w:val="both"/>
        <w:rPr>
          <w:rFonts w:ascii="Times New Roman" w:hAnsi="Times New Roman"/>
          <w:sz w:val="28"/>
          <w:szCs w:val="28"/>
          <w:lang w:val="uk-UA"/>
        </w:rPr>
      </w:pPr>
      <w:r>
        <w:rPr>
          <w:sz w:val="28"/>
          <w:szCs w:val="28"/>
          <w:lang w:val="uk-UA"/>
        </w:rPr>
      </w:r>
    </w:p>
    <w:p>
      <w:pPr>
        <w:pStyle w:val="Normal"/>
        <w:widowControl w:val="false"/>
        <w:jc w:val="both"/>
        <w:rPr>
          <w:sz w:val="28"/>
          <w:szCs w:val="28"/>
        </w:rPr>
      </w:pPr>
      <w:r>
        <w:rPr>
          <w:rFonts w:eastAsia="Times New Roman" w:cs="Times New Roman"/>
          <w:b w:val="false"/>
          <w:bCs w:val="false"/>
          <w:color w:val="auto"/>
          <w:spacing w:val="-6"/>
          <w:kern w:val="0"/>
          <w:sz w:val="28"/>
          <w:szCs w:val="28"/>
          <w:lang w:val="uk-UA" w:eastAsia="zh-CN" w:bidi="ar-SA"/>
        </w:rPr>
        <w:t>Міський голова                                                                                         Ігор ПОЛІЩУК</w:t>
      </w:r>
    </w:p>
    <w:p>
      <w:pPr>
        <w:pStyle w:val="Normal"/>
        <w:widowControl w:val="false"/>
        <w:jc w:val="both"/>
        <w:rPr>
          <w:sz w:val="28"/>
          <w:szCs w:val="28"/>
          <w:lang w:val="uk-UA"/>
        </w:rPr>
      </w:pPr>
      <w:r>
        <w:rPr>
          <w:sz w:val="28"/>
          <w:szCs w:val="28"/>
          <w:lang w:val="uk-UA"/>
        </w:rPr>
      </w:r>
    </w:p>
    <w:p>
      <w:pPr>
        <w:pStyle w:val="Normal"/>
        <w:widowControl w:val="false"/>
        <w:jc w:val="both"/>
        <w:rPr>
          <w:sz w:val="28"/>
          <w:szCs w:val="28"/>
          <w:lang w:val="uk-UA"/>
        </w:rPr>
      </w:pPr>
      <w:r>
        <w:rPr>
          <w:sz w:val="28"/>
          <w:szCs w:val="28"/>
          <w:lang w:val="uk-UA"/>
        </w:rPr>
      </w:r>
    </w:p>
    <w:p>
      <w:pPr>
        <w:pStyle w:val="Normal"/>
        <w:widowControl w:val="false"/>
        <w:jc w:val="both"/>
        <w:rPr>
          <w:i w:val="false"/>
          <w:i w:val="false"/>
          <w:iCs w:val="false"/>
          <w:color w:val="000000"/>
          <w:sz w:val="24"/>
          <w:szCs w:val="28"/>
          <w:lang w:val="uk-UA"/>
        </w:rPr>
      </w:pPr>
      <w:r>
        <w:rPr>
          <w:i w:val="false"/>
          <w:iCs w:val="false"/>
          <w:color w:val="000000"/>
          <w:sz w:val="24"/>
          <w:szCs w:val="28"/>
          <w:lang w:val="uk-UA"/>
        </w:rPr>
        <w:t>Туз 777 863</w:t>
      </w:r>
    </w:p>
    <w:sectPr>
      <w:type w:val="nextPage"/>
      <w:pgSz w:w="11906" w:h="16838"/>
      <w:pgMar w:left="1985" w:right="567" w:gutter="0" w:header="0" w:top="795" w:footer="0" w:bottom="1814"/>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rPr>
        <w:rFonts w:cs="Times New Roman"/>
      </w:rPr>
    </w:lvl>
    <w:lvl w:ilvl="1">
      <w:start w:val="1"/>
      <w:numFmt w:val="none"/>
      <w:suff w:val="nothing"/>
      <w:lvlText w:val="%2"/>
      <w:lvlJc w:val="left"/>
      <w:pPr>
        <w:tabs>
          <w:tab w:val="num" w:pos="0"/>
        </w:tabs>
        <w:ind w:left="0" w:hanging="0"/>
      </w:pPr>
      <w:rPr>
        <w:rFonts w:cs="Times New Roman"/>
      </w:rPr>
    </w:lvl>
    <w:lvl w:ilvl="2">
      <w:start w:val="1"/>
      <w:numFmt w:val="none"/>
      <w:suff w:val="nothing"/>
      <w:lvlText w:val="%3"/>
      <w:lvlJc w:val="left"/>
      <w:pPr>
        <w:tabs>
          <w:tab w:val="num" w:pos="0"/>
        </w:tabs>
        <w:ind w:left="0" w:hanging="0"/>
      </w:pPr>
      <w:rPr>
        <w:rFonts w:cs="Times New Roman"/>
      </w:rPr>
    </w:lvl>
    <w:lvl w:ilvl="3">
      <w:start w:val="1"/>
      <w:numFmt w:val="none"/>
      <w:suff w:val="nothing"/>
      <w:lvlText w:val="%4"/>
      <w:lvlJc w:val="left"/>
      <w:pPr>
        <w:tabs>
          <w:tab w:val="num" w:pos="0"/>
        </w:tabs>
        <w:ind w:left="0" w:hanging="0"/>
      </w:pPr>
      <w:rPr>
        <w:rFonts w:cs="Times New Roman"/>
      </w:rPr>
    </w:lvl>
    <w:lvl w:ilvl="4">
      <w:start w:val="1"/>
      <w:numFmt w:val="none"/>
      <w:suff w:val="nothing"/>
      <w:lvlText w:val="%5"/>
      <w:lvlJc w:val="left"/>
      <w:pPr>
        <w:tabs>
          <w:tab w:val="num" w:pos="0"/>
        </w:tabs>
        <w:ind w:left="0" w:hanging="0"/>
      </w:pPr>
      <w:rPr>
        <w:rFonts w:cs="Times New Roman"/>
      </w:rPr>
    </w:lvl>
    <w:lvl w:ilvl="5">
      <w:start w:val="1"/>
      <w:numFmt w:val="none"/>
      <w:suff w:val="nothing"/>
      <w:lvlText w:val="%6"/>
      <w:lvlJc w:val="left"/>
      <w:pPr>
        <w:tabs>
          <w:tab w:val="num" w:pos="0"/>
        </w:tabs>
        <w:ind w:left="0" w:hanging="0"/>
      </w:pPr>
      <w:rPr>
        <w:rFonts w:cs="Times New Roman"/>
      </w:rPr>
    </w:lvl>
    <w:lvl w:ilvl="6">
      <w:start w:val="1"/>
      <w:numFmt w:val="none"/>
      <w:suff w:val="nothing"/>
      <w:lvlText w:val="%7"/>
      <w:lvlJc w:val="left"/>
      <w:pPr>
        <w:tabs>
          <w:tab w:val="num" w:pos="0"/>
        </w:tabs>
        <w:ind w:left="0" w:hanging="0"/>
      </w:pPr>
      <w:rPr>
        <w:rFonts w:cs="Times New Roman"/>
      </w:rPr>
    </w:lvl>
    <w:lvl w:ilvl="7">
      <w:start w:val="1"/>
      <w:numFmt w:val="none"/>
      <w:suff w:val="nothing"/>
      <w:lvlText w:val="%8"/>
      <w:lvlJc w:val="left"/>
      <w:pPr>
        <w:tabs>
          <w:tab w:val="num" w:pos="0"/>
        </w:tabs>
        <w:ind w:left="0" w:hanging="0"/>
      </w:pPr>
      <w:rPr>
        <w:rFonts w:cs="Times New Roman"/>
      </w:rPr>
    </w:lvl>
    <w:lvl w:ilvl="8">
      <w:start w:val="1"/>
      <w:numFmt w:val="none"/>
      <w:suff w:val="nothing"/>
      <w:lvlText w:val="%9"/>
      <w:lvlJc w:val="left"/>
      <w:pPr>
        <w:tabs>
          <w:tab w:val="num" w:pos="0"/>
        </w:tabs>
        <w:ind w:left="0" w:hanging="0"/>
      </w:pPr>
      <w:rPr>
        <w:rFonts w:cs="Times New Roman"/>
      </w:rPr>
    </w:lvl>
  </w:abstractNum>
  <w:abstractNum w:abstractNumId="2">
    <w:lvl w:ilvl="0">
      <w:start w:val="1"/>
      <w:numFmt w:val="none"/>
      <w:suff w:val="nothing"/>
      <w:lvlText w:val="%1"/>
      <w:lvlJc w:val="left"/>
      <w:pPr>
        <w:tabs>
          <w:tab w:val="num" w:pos="0"/>
        </w:tabs>
        <w:ind w:left="0" w:hanging="0"/>
      </w:pPr>
      <w:rPr>
        <w:rFonts w:cs="Times New Roman"/>
      </w:rPr>
    </w:lvl>
    <w:lvl w:ilvl="1">
      <w:start w:val="1"/>
      <w:numFmt w:val="none"/>
      <w:suff w:val="nothing"/>
      <w:lvlText w:val="%2"/>
      <w:lvlJc w:val="left"/>
      <w:pPr>
        <w:tabs>
          <w:tab w:val="num" w:pos="0"/>
        </w:tabs>
        <w:ind w:left="0" w:hanging="0"/>
      </w:pPr>
      <w:rPr>
        <w:rFonts w:cs="Times New Roman"/>
      </w:rPr>
    </w:lvl>
    <w:lvl w:ilvl="2">
      <w:start w:val="1"/>
      <w:numFmt w:val="none"/>
      <w:suff w:val="nothing"/>
      <w:lvlText w:val="%3"/>
      <w:lvlJc w:val="left"/>
      <w:pPr>
        <w:tabs>
          <w:tab w:val="num" w:pos="0"/>
        </w:tabs>
        <w:ind w:left="0" w:hanging="0"/>
      </w:pPr>
      <w:rPr>
        <w:rFonts w:cs="Times New Roman"/>
      </w:rPr>
    </w:lvl>
    <w:lvl w:ilvl="3">
      <w:start w:val="1"/>
      <w:numFmt w:val="none"/>
      <w:suff w:val="nothing"/>
      <w:lvlText w:val="%4"/>
      <w:lvlJc w:val="left"/>
      <w:pPr>
        <w:tabs>
          <w:tab w:val="num" w:pos="0"/>
        </w:tabs>
        <w:ind w:left="0" w:hanging="0"/>
      </w:pPr>
      <w:rPr>
        <w:rFonts w:cs="Times New Roman"/>
      </w:rPr>
    </w:lvl>
    <w:lvl w:ilvl="4">
      <w:start w:val="1"/>
      <w:numFmt w:val="none"/>
      <w:suff w:val="nothing"/>
      <w:lvlText w:val="%5"/>
      <w:lvlJc w:val="left"/>
      <w:pPr>
        <w:tabs>
          <w:tab w:val="num" w:pos="0"/>
        </w:tabs>
        <w:ind w:left="0" w:hanging="0"/>
      </w:pPr>
      <w:rPr>
        <w:rFonts w:cs="Times New Roman"/>
      </w:rPr>
    </w:lvl>
    <w:lvl w:ilvl="5">
      <w:start w:val="1"/>
      <w:numFmt w:val="none"/>
      <w:suff w:val="nothing"/>
      <w:lvlText w:val="%6"/>
      <w:lvlJc w:val="left"/>
      <w:pPr>
        <w:tabs>
          <w:tab w:val="num" w:pos="0"/>
        </w:tabs>
        <w:ind w:left="0" w:hanging="0"/>
      </w:pPr>
      <w:rPr>
        <w:rFonts w:cs="Times New Roman"/>
      </w:rPr>
    </w:lvl>
    <w:lvl w:ilvl="6">
      <w:start w:val="1"/>
      <w:numFmt w:val="none"/>
      <w:suff w:val="nothing"/>
      <w:lvlText w:val="%7"/>
      <w:lvlJc w:val="left"/>
      <w:pPr>
        <w:tabs>
          <w:tab w:val="num" w:pos="0"/>
        </w:tabs>
        <w:ind w:left="0" w:hanging="0"/>
      </w:pPr>
      <w:rPr>
        <w:rFonts w:cs="Times New Roman"/>
      </w:rPr>
    </w:lvl>
    <w:lvl w:ilvl="7">
      <w:start w:val="1"/>
      <w:numFmt w:val="none"/>
      <w:suff w:val="nothing"/>
      <w:lvlText w:val="%8"/>
      <w:lvlJc w:val="left"/>
      <w:pPr>
        <w:tabs>
          <w:tab w:val="num" w:pos="0"/>
        </w:tabs>
        <w:ind w:left="0" w:hanging="0"/>
      </w:pPr>
      <w:rPr>
        <w:rFonts w:cs="Times New Roman"/>
      </w:rPr>
    </w:lvl>
    <w:lvl w:ilvl="8">
      <w:start w:val="1"/>
      <w:numFmt w:val="none"/>
      <w:suff w:val="nothing"/>
      <w:lvlText w:val="%9"/>
      <w:lvlJc w:val="left"/>
      <w:pPr>
        <w:tabs>
          <w:tab w:val="num" w:pos="0"/>
        </w:tabs>
        <w:ind w:left="0" w:hanging="0"/>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60"/>
  <w:defaultTabStop w:val="708"/>
  <w:autoHyphenation w:val="true"/>
  <w:hyphenationZone w:val="425"/>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2"/>
        <w:szCs w:val="22"/>
        <w:lang w:val="uk-UA" w:eastAsia="uk-UA" w:bidi="ar-SA"/>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SimSun" w:cs="Times New Roman"/>
      <w:color w:val="00000A"/>
      <w:kern w:val="0"/>
      <w:sz w:val="28"/>
      <w:szCs w:val="24"/>
      <w:lang w:val="ru-RU" w:eastAsia="zh-CN" w:bidi="ar-SA"/>
    </w:rPr>
  </w:style>
  <w:style w:type="paragraph" w:styleId="1">
    <w:name w:val="Heading 1"/>
    <w:basedOn w:val="Normal"/>
    <w:next w:val="Normal"/>
    <w:link w:val="Heading1Char"/>
    <w:qFormat/>
    <w:pPr>
      <w:keepNext w:val="true"/>
      <w:numPr>
        <w:ilvl w:val="0"/>
        <w:numId w:val="1"/>
      </w:numPr>
      <w:jc w:val="center"/>
      <w:outlineLvl w:val="0"/>
    </w:pPr>
    <w:rPr>
      <w:b/>
      <w:bCs/>
      <w:sz w:val="32"/>
      <w:lang w:val="uk-UA"/>
    </w:rPr>
  </w:style>
  <w:style w:type="paragraph" w:styleId="2">
    <w:name w:val="Heading 2"/>
    <w:basedOn w:val="Normal"/>
    <w:next w:val="Normal"/>
    <w:link w:val="Heading2Char"/>
    <w:qFormat/>
    <w:pPr>
      <w:keepNext w:val="true"/>
      <w:numPr>
        <w:ilvl w:val="1"/>
        <w:numId w:val="1"/>
      </w:numPr>
      <w:jc w:val="center"/>
      <w:outlineLvl w:val="1"/>
    </w:pPr>
    <w:rPr>
      <w:b/>
      <w:bCs/>
      <w:sz w:val="36"/>
      <w:lang w:val="uk-UA"/>
    </w:rPr>
  </w:style>
  <w:style w:type="character" w:styleId="DefaultParagraphFont">
    <w:name w:val="Default Paragraph Font"/>
    <w:qFormat/>
    <w:rPr/>
  </w:style>
  <w:style w:type="character" w:styleId="Heading1Char">
    <w:name w:val="Heading 1 Char"/>
    <w:basedOn w:val="DefaultParagraphFont"/>
    <w:qFormat/>
    <w:rPr>
      <w:rFonts w:ascii="Cambria" w:hAnsi="Cambria" w:cs="Times New Roman"/>
      <w:b/>
      <w:bCs/>
      <w:color w:val="00000A"/>
      <w:kern w:val="2"/>
      <w:sz w:val="32"/>
      <w:szCs w:val="32"/>
      <w:lang w:val="ru-RU" w:eastAsia="zh-CN"/>
    </w:rPr>
  </w:style>
  <w:style w:type="character" w:styleId="Heading2Char">
    <w:name w:val="Heading 2 Char"/>
    <w:basedOn w:val="DefaultParagraphFont"/>
    <w:qFormat/>
    <w:rPr>
      <w:rFonts w:ascii="Cambria" w:hAnsi="Cambria" w:cs="Times New Roman"/>
      <w:b/>
      <w:bCs/>
      <w:i/>
      <w:iCs/>
      <w:color w:val="00000A"/>
      <w:sz w:val="28"/>
      <w:szCs w:val="28"/>
      <w:lang w:val="ru-RU" w:eastAsia="zh-CN"/>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3">
    <w:name w:val="Основной шрифт абзаца3"/>
    <w:qFormat/>
    <w:rPr/>
  </w:style>
  <w:style w:type="character" w:styleId="21">
    <w:name w:val="Основной шрифт абзаца2"/>
    <w:qFormat/>
    <w:rPr/>
  </w:style>
  <w:style w:type="character" w:styleId="WW8Num2z0">
    <w:name w:val="WW8Num2z0"/>
    <w:qFormat/>
    <w:rPr>
      <w:rFonts w:ascii="Symbol" w:hAnsi="Symbol"/>
    </w:rPr>
  </w:style>
  <w:style w:type="character" w:styleId="WW8Num2z1">
    <w:name w:val="WW8Num2z1"/>
    <w:qFormat/>
    <w:rPr>
      <w:rFonts w:ascii="Courier New" w:hAnsi="Courier New"/>
    </w:rPr>
  </w:style>
  <w:style w:type="character" w:styleId="WW8Num2z2">
    <w:name w:val="WW8Num2z2"/>
    <w:qFormat/>
    <w:rPr>
      <w:rFonts w:ascii="Wingdings" w:hAnsi="Wingdings"/>
    </w:rPr>
  </w:style>
  <w:style w:type="character" w:styleId="WW8Num2z3">
    <w:name w:val="WW8Num2z3"/>
    <w:qFormat/>
    <w:rPr>
      <w:rFonts w:ascii="Symbol" w:hAnsi="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23">
    <w:name w:val="rvts23"/>
    <w:basedOn w:val="11"/>
    <w:qFormat/>
    <w:rPr>
      <w:rFonts w:cs="Times New Roman"/>
    </w:rPr>
  </w:style>
  <w:style w:type="character" w:styleId="BodyTextChar">
    <w:name w:val="Body Text Char"/>
    <w:basedOn w:val="DefaultParagraphFont"/>
    <w:qFormat/>
    <w:rPr>
      <w:rFonts w:ascii="Times New Roman" w:hAnsi="Times New Roman" w:cs="Times New Roman"/>
      <w:color w:val="00000A"/>
      <w:sz w:val="24"/>
      <w:szCs w:val="24"/>
      <w:lang w:val="ru-RU" w:eastAsia="zh-CN"/>
    </w:rPr>
  </w:style>
  <w:style w:type="character" w:styleId="BodyTextIndentChar">
    <w:name w:val="Body Text Indent Char"/>
    <w:basedOn w:val="DefaultParagraphFont"/>
    <w:qFormat/>
    <w:rPr>
      <w:rFonts w:ascii="Times New Roman" w:hAnsi="Times New Roman" w:cs="Times New Roman"/>
      <w:color w:val="00000A"/>
      <w:sz w:val="24"/>
      <w:szCs w:val="24"/>
      <w:lang w:val="ru-RU" w:eastAsia="zh-CN"/>
    </w:rPr>
  </w:style>
  <w:style w:type="character" w:styleId="BalloonTextChar">
    <w:name w:val="Balloon Text Char"/>
    <w:basedOn w:val="DefaultParagraphFont"/>
    <w:link w:val="BalloonText"/>
    <w:qFormat/>
    <w:rPr>
      <w:rFonts w:ascii="Times New Roman" w:hAnsi="Times New Roman" w:cs="Times New Roman"/>
      <w:color w:val="00000A"/>
      <w:sz w:val="2"/>
      <w:lang w:val="ru-RU" w:eastAsia="zh-CN"/>
    </w:rPr>
  </w:style>
  <w:style w:type="paragraph" w:styleId="Style12">
    <w:name w:val="Заголовок"/>
    <w:basedOn w:val="Normal"/>
    <w:next w:val="Style13"/>
    <w:qFormat/>
    <w:pPr>
      <w:keepNext w:val="true"/>
      <w:spacing w:before="240" w:after="120"/>
    </w:pPr>
    <w:rPr>
      <w:rFonts w:eastAsia="Microsoft YaHei" w:cs="Arial"/>
      <w:szCs w:val="28"/>
    </w:rPr>
  </w:style>
  <w:style w:type="paragraph" w:styleId="Style13">
    <w:name w:val="Body Text"/>
    <w:basedOn w:val="Normal"/>
    <w:link w:val="BodyTextChar"/>
    <w:pPr>
      <w:spacing w:lineRule="auto" w:line="288" w:before="0" w:after="140"/>
    </w:pPr>
    <w:rPr/>
  </w:style>
  <w:style w:type="paragraph" w:styleId="Style14">
    <w:name w:val="List"/>
    <w:basedOn w:val="Style13"/>
    <w:pPr/>
    <w:rPr>
      <w:rFonts w:cs="Arial"/>
    </w:rPr>
  </w:style>
  <w:style w:type="paragraph" w:styleId="Style15">
    <w:name w:val="Caption"/>
    <w:basedOn w:val="Normal"/>
    <w:qFormat/>
    <w:pPr>
      <w:suppressLineNumbers/>
      <w:spacing w:before="120" w:after="120"/>
    </w:pPr>
    <w:rPr>
      <w:rFonts w:cs="Arial"/>
      <w:i/>
      <w:iCs/>
      <w:sz w:val="24"/>
      <w:szCs w:val="24"/>
    </w:rPr>
  </w:style>
  <w:style w:type="paragraph" w:styleId="Style16">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sz w:val="24"/>
    </w:rPr>
  </w:style>
  <w:style w:type="paragraph" w:styleId="22">
    <w:name w:val="Название объекта2"/>
    <w:basedOn w:val="Normal"/>
    <w:qFormat/>
    <w:pPr>
      <w:suppressLineNumbers/>
      <w:spacing w:before="120" w:after="120"/>
    </w:pPr>
    <w:rPr>
      <w:rFonts w:cs="Arial"/>
      <w:i/>
      <w:iCs/>
      <w:sz w:val="24"/>
    </w:rPr>
  </w:style>
  <w:style w:type="paragraph" w:styleId="12">
    <w:name w:val="Название объекта1"/>
    <w:basedOn w:val="Normal"/>
    <w:qFormat/>
    <w:pPr>
      <w:suppressLineNumbers/>
      <w:spacing w:before="120" w:after="120"/>
    </w:pPr>
    <w:rPr>
      <w:rFonts w:cs="Arial"/>
      <w:i/>
      <w:iCs/>
    </w:rPr>
  </w:style>
  <w:style w:type="paragraph" w:styleId="Style17">
    <w:name w:val="Body Text Indent"/>
    <w:basedOn w:val="Normal"/>
    <w:link w:val="BodyTextIndentChar"/>
    <w:pPr>
      <w:ind w:left="0" w:right="0" w:firstLine="545"/>
      <w:jc w:val="both"/>
    </w:pPr>
    <w:rPr>
      <w:lang w:val="uk-UA"/>
    </w:rPr>
  </w:style>
  <w:style w:type="paragraph" w:styleId="13">
    <w:name w:val="Текст1"/>
    <w:basedOn w:val="Normal"/>
    <w:qFormat/>
    <w:pPr/>
    <w:rPr>
      <w:rFonts w:ascii="Courier New" w:hAnsi="Courier New" w:cs="Courier New"/>
      <w:sz w:val="20"/>
      <w:szCs w:val="20"/>
    </w:rPr>
  </w:style>
  <w:style w:type="paragraph" w:styleId="BalloonText">
    <w:name w:val="Balloon Text"/>
    <w:basedOn w:val="Normal"/>
    <w:link w:val="BalloonTextChar"/>
    <w:qFormat/>
    <w:pPr/>
    <w:rPr>
      <w:rFonts w:ascii="Tahoma" w:hAnsi="Tahoma" w:cs="Tahoma"/>
      <w:sz w:val="16"/>
      <w:szCs w:val="16"/>
    </w:rPr>
  </w:style>
  <w:style w:type="paragraph" w:styleId="Style18">
    <w:name w:val="Знак Знак Знак Знак Знак Знак"/>
    <w:basedOn w:val="Normal"/>
    <w:qFormat/>
    <w:pPr/>
    <w:rPr>
      <w:rFonts w:ascii="Verdana" w:hAnsi="Verdana" w:eastAsia="MS Mincho;ＭＳ 明朝" w:cs="Verdana"/>
      <w:sz w:val="20"/>
      <w:szCs w:val="20"/>
      <w:lang w:val="en-U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Normal_Wordconv</Template>
  <TotalTime>582</TotalTime>
  <Application>LibreOffice/7.4.0.3$Windows_X86_64 LibreOffice_project/f85e47c08ddd19c015c0114a68350214f7066f5a</Application>
  <AppVersion>15.0000</AppVersion>
  <Pages>2</Pages>
  <Words>410</Words>
  <Characters>2703</Characters>
  <CharactersWithSpaces>3339</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2022-08-17T11:29:00Z</dcterms:created>
  <dc:creator>*</dc:creator>
  <dc:description/>
  <dc:language>uk-UA</dc:language>
  <cp:lastModifiedBy/>
  <cp:lastPrinted>2025-03-03T14:43:52Z</cp:lastPrinted>
  <dcterms:modified xsi:type="dcterms:W3CDTF">2025-03-03T14:43:46Z</dcterms:modified>
  <cp:revision>254</cp:revision>
  <dc:subject/>
  <dc:title> </dc:title>
</cp:coreProperties>
</file>

<file path=docProps/custom.xml><?xml version="1.0" encoding="utf-8"?>
<Properties xmlns="http://schemas.openxmlformats.org/officeDocument/2006/custom-properties" xmlns:vt="http://schemas.openxmlformats.org/officeDocument/2006/docPropsVTypes"/>
</file>