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ackground w:color="FFFFFF"/>
  <w:body>
    <w:p>
      <w:pPr>
        <w:pStyle w:val="Normal"/>
        <w:tabs>
          <w:tab w:val="clear" w:pos="708"/>
          <w:tab w:val="left" w:pos="5670" w:leader="none"/>
        </w:tabs>
        <w:jc w:val="center"/>
        <w:rPr>
          <w:sz w:val="16"/>
          <w:szCs w:val="16"/>
        </w:rPr>
      </w:pPr>
      <w:r>
        <w:rPr/>
        <w:object w:dxaOrig="2812" w:dyaOrig="2989">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t" fillcolor="#FFFFFF" o:ole="">
            <v:imagedata r:id="rId3" o:title=""/>
          </v:shape>
          <o:OLEObject Type="Embed" ProgID="" ShapeID="ole_rId2" DrawAspect="Content" ObjectID="_1947937037" r:id="rId2"/>
        </w:object>
      </w:r>
    </w:p>
    <w:p>
      <w:pPr>
        <w:pStyle w:val="Heading1"/>
        <w:numPr>
          <w:ilvl w:val="0"/>
          <w:numId w:val="2"/>
        </w:numPr>
        <w:ind w:hanging="432" w:left="432" w:right="0"/>
        <w:rPr>
          <w:sz w:val="20"/>
          <w:szCs w:val="20"/>
        </w:rPr>
      </w:pPr>
      <w:r>
        <w:rPr>
          <w:sz w:val="28"/>
          <w:szCs w:val="28"/>
        </w:rPr>
        <w:t>ЛУЦЬКА  МІСЬКА  РАДА</w:t>
      </w:r>
    </w:p>
    <w:p>
      <w:pPr>
        <w:pStyle w:val="Normal"/>
        <w:rPr>
          <w:sz w:val="20"/>
          <w:szCs w:val="20"/>
        </w:rPr>
      </w:pPr>
      <w:r>
        <w:rPr>
          <w:sz w:val="20"/>
          <w:szCs w:val="20"/>
        </w:rPr>
      </w:r>
    </w:p>
    <w:p>
      <w:pPr>
        <w:pStyle w:val="Heading2"/>
        <w:numPr>
          <w:ilvl w:val="1"/>
          <w:numId w:val="2"/>
        </w:numPr>
        <w:tabs>
          <w:tab w:val="clear" w:pos="0"/>
          <w:tab w:val="left" w:pos="4218" w:leader="none"/>
          <w:tab w:val="left" w:pos="4674" w:leader="none"/>
        </w:tabs>
        <w:spacing w:before="0" w:after="0"/>
        <w:ind w:hanging="576" w:left="576" w:right="0"/>
        <w:jc w:val="center"/>
        <w:rPr>
          <w:bCs w:val="false"/>
          <w:sz w:val="40"/>
          <w:szCs w:val="40"/>
        </w:rPr>
      </w:pPr>
      <w:r>
        <w:rPr>
          <w:rFonts w:cs="Times New Roman" w:ascii="Times New Roman" w:hAnsi="Times New Roman"/>
          <w:i w:val="false"/>
          <w:sz w:val="32"/>
          <w:szCs w:val="32"/>
        </w:rPr>
        <w:t>Р І Ш Е Н Н Я</w:t>
      </w:r>
    </w:p>
    <w:p>
      <w:pPr>
        <w:pStyle w:val="Normal"/>
        <w:jc w:val="center"/>
        <w:rPr>
          <w:b/>
          <w:bCs/>
          <w:sz w:val="40"/>
          <w:szCs w:val="40"/>
        </w:rPr>
      </w:pPr>
      <w:r>
        <w:rPr>
          <w:b/>
          <w:bCs/>
          <w:sz w:val="40"/>
          <w:szCs w:val="40"/>
        </w:rPr>
      </w:r>
    </w:p>
    <w:p>
      <w:pPr>
        <w:pStyle w:val="Normal"/>
        <w:widowControl w:val="false"/>
        <w:tabs>
          <w:tab w:val="clear" w:pos="708"/>
          <w:tab w:val="left" w:pos="4687" w:leader="none"/>
        </w:tabs>
        <w:jc w:val="both"/>
        <w:rPr>
          <w:sz w:val="22"/>
          <w:szCs w:val="22"/>
        </w:rPr>
      </w:pPr>
      <w:r>
        <w:rPr/>
        <w:t>________________                                        Луцьк                                         №______________</w:t>
      </w:r>
    </w:p>
    <w:p>
      <w:pPr>
        <w:pStyle w:val="Normal"/>
        <w:rPr>
          <w:sz w:val="12"/>
          <w:szCs w:val="12"/>
        </w:rPr>
      </w:pPr>
      <w:r>
        <w:rPr>
          <w:sz w:val="12"/>
          <w:szCs w:val="12"/>
        </w:rPr>
      </w:r>
    </w:p>
    <w:p>
      <w:pPr>
        <w:pStyle w:val="Normal"/>
        <w:tabs>
          <w:tab w:val="clear" w:pos="708"/>
          <w:tab w:val="left" w:pos="4877" w:leader="none"/>
          <w:tab w:val="left" w:pos="4931" w:leader="none"/>
          <w:tab w:val="left" w:pos="5040" w:leader="none"/>
          <w:tab w:val="left" w:pos="5448" w:leader="none"/>
          <w:tab w:val="left" w:pos="5719" w:leader="none"/>
        </w:tabs>
        <w:rPr>
          <w:sz w:val="28"/>
          <w:szCs w:val="28"/>
        </w:rPr>
      </w:pPr>
      <w:r>
        <w:rPr>
          <w:sz w:val="28"/>
          <w:szCs w:val="28"/>
        </w:rPr>
        <w:t xml:space="preserve">Про </w:t>
      </w:r>
      <w:r>
        <w:rPr>
          <w:sz w:val="32"/>
          <w:szCs w:val="32"/>
        </w:rPr>
        <w:t xml:space="preserve">  </w:t>
      </w:r>
      <w:r>
        <w:rPr>
          <w:sz w:val="28"/>
          <w:szCs w:val="28"/>
        </w:rPr>
        <w:t xml:space="preserve">передачу   </w:t>
      </w:r>
      <w:r>
        <w:rPr>
          <w:sz w:val="30"/>
          <w:szCs w:val="30"/>
        </w:rPr>
        <w:t xml:space="preserve"> </w:t>
      </w:r>
      <w:r>
        <w:rPr>
          <w:sz w:val="28"/>
          <w:szCs w:val="28"/>
        </w:rPr>
        <w:t xml:space="preserve">громадянам  </w:t>
      </w:r>
      <w:r>
        <w:rPr>
          <w:sz w:val="32"/>
          <w:szCs w:val="32"/>
        </w:rPr>
        <w:t xml:space="preserve"> </w:t>
      </w:r>
      <w:r>
        <w:rPr>
          <w:rFonts w:eastAsia="Times New Roman" w:cs="Times New Roman"/>
          <w:color w:val="auto"/>
          <w:kern w:val="0"/>
          <w:sz w:val="28"/>
          <w:szCs w:val="28"/>
          <w:lang w:val="ru-RU" w:eastAsia="zh-CN" w:bidi="ar-SA"/>
        </w:rPr>
        <w:t>Ніколайчук</w:t>
      </w:r>
      <w:r>
        <w:rPr>
          <w:rFonts w:eastAsia="Times New Roman" w:cs="Times New Roman"/>
          <w:color w:val="auto"/>
          <w:kern w:val="0"/>
          <w:sz w:val="36"/>
          <w:szCs w:val="36"/>
          <w:lang w:val="ru-RU" w:eastAsia="zh-CN" w:bidi="ar-SA"/>
        </w:rPr>
        <w:t xml:space="preserve"> </w:t>
      </w:r>
      <w:r>
        <w:rPr>
          <w:rFonts w:eastAsia="Times New Roman" w:cs="Times New Roman"/>
          <w:color w:val="auto"/>
          <w:kern w:val="0"/>
          <w:sz w:val="28"/>
          <w:szCs w:val="28"/>
          <w:lang w:val="ru-RU" w:eastAsia="zh-CN" w:bidi="ar-SA"/>
        </w:rPr>
        <w:t>О.І.</w:t>
      </w:r>
      <w:r>
        <w:rPr>
          <w:sz w:val="28"/>
          <w:szCs w:val="28"/>
        </w:rPr>
        <w:t>,</w:t>
      </w:r>
    </w:p>
    <w:p>
      <w:pPr>
        <w:pStyle w:val="Normal"/>
        <w:tabs>
          <w:tab w:val="clear" w:pos="708"/>
          <w:tab w:val="left" w:pos="4986" w:leader="none"/>
        </w:tabs>
        <w:rPr>
          <w:sz w:val="28"/>
          <w:szCs w:val="28"/>
        </w:rPr>
      </w:pPr>
      <w:r>
        <w:rPr>
          <w:rFonts w:eastAsia="Times New Roman" w:cs="Times New Roman"/>
          <w:color w:val="auto"/>
          <w:kern w:val="0"/>
          <w:sz w:val="28"/>
          <w:szCs w:val="28"/>
          <w:lang w:val="uk-UA" w:eastAsia="zh-CN" w:bidi="ar-SA"/>
        </w:rPr>
        <w:t xml:space="preserve">Ніколайчуку О.Г. </w:t>
      </w:r>
      <w:r>
        <w:rPr>
          <w:sz w:val="28"/>
          <w:szCs w:val="28"/>
        </w:rPr>
        <w:t>безоплатно у спільну сумісну</w:t>
      </w:r>
    </w:p>
    <w:p>
      <w:pPr>
        <w:pStyle w:val="Normal"/>
        <w:tabs>
          <w:tab w:val="clear" w:pos="708"/>
          <w:tab w:val="left" w:pos="4986" w:leader="none"/>
        </w:tabs>
        <w:rPr>
          <w:sz w:val="28"/>
          <w:szCs w:val="28"/>
        </w:rPr>
      </w:pPr>
      <w:r>
        <w:rPr>
          <w:sz w:val="28"/>
          <w:szCs w:val="28"/>
        </w:rPr>
        <w:t>власність   земельної  ділянки  для  будівництва</w:t>
      </w:r>
    </w:p>
    <w:p>
      <w:pPr>
        <w:pStyle w:val="Normal"/>
        <w:tabs>
          <w:tab w:val="clear" w:pos="708"/>
          <w:tab w:val="left" w:pos="4986" w:leader="none"/>
          <w:tab w:val="left" w:pos="5719" w:leader="none"/>
        </w:tabs>
        <w:rPr>
          <w:sz w:val="28"/>
          <w:szCs w:val="28"/>
        </w:rPr>
      </w:pPr>
      <w:r>
        <w:rPr>
          <w:sz w:val="28"/>
          <w:szCs w:val="28"/>
        </w:rPr>
        <w:t>і</w:t>
      </w:r>
      <w:r>
        <w:rPr>
          <w:sz w:val="32"/>
          <w:szCs w:val="32"/>
        </w:rPr>
        <w:t xml:space="preserve">  </w:t>
      </w:r>
      <w:r>
        <w:rPr>
          <w:sz w:val="28"/>
          <w:szCs w:val="28"/>
        </w:rPr>
        <w:t>обслуговування</w:t>
      </w:r>
      <w:r>
        <w:rPr>
          <w:sz w:val="32"/>
          <w:szCs w:val="32"/>
        </w:rPr>
        <w:t xml:space="preserve"> </w:t>
      </w:r>
      <w:r>
        <w:rPr>
          <w:sz w:val="16"/>
          <w:szCs w:val="16"/>
        </w:rPr>
        <w:t xml:space="preserve"> </w:t>
      </w:r>
      <w:r>
        <w:rPr>
          <w:sz w:val="28"/>
          <w:szCs w:val="28"/>
        </w:rPr>
        <w:t xml:space="preserve"> житлового   будинку,</w:t>
      </w:r>
      <w:r>
        <w:rPr>
          <w:sz w:val="32"/>
          <w:szCs w:val="32"/>
        </w:rPr>
        <w:t xml:space="preserve"> </w:t>
      </w:r>
      <w:r>
        <w:rPr>
          <w:sz w:val="28"/>
          <w:szCs w:val="28"/>
        </w:rPr>
        <w:t>госпо-</w:t>
      </w:r>
    </w:p>
    <w:p>
      <w:pPr>
        <w:pStyle w:val="Normal"/>
        <w:tabs>
          <w:tab w:val="clear" w:pos="708"/>
          <w:tab w:val="left" w:pos="4986" w:leader="none"/>
          <w:tab w:val="left" w:pos="5448" w:leader="none"/>
        </w:tabs>
        <w:rPr>
          <w:sz w:val="28"/>
          <w:szCs w:val="28"/>
        </w:rPr>
      </w:pPr>
      <w:r>
        <w:rPr>
          <w:sz w:val="28"/>
          <w:szCs w:val="28"/>
        </w:rPr>
        <w:t xml:space="preserve">дарських   будівель   і  </w:t>
      </w:r>
      <w:r>
        <w:rPr>
          <w:sz w:val="20"/>
          <w:szCs w:val="20"/>
        </w:rPr>
        <w:t xml:space="preserve"> </w:t>
      </w:r>
      <w:r>
        <w:rPr>
          <w:sz w:val="28"/>
          <w:szCs w:val="28"/>
        </w:rPr>
        <w:t>споруд  (присадибна  ді-</w:t>
      </w:r>
    </w:p>
    <w:p>
      <w:pPr>
        <w:pStyle w:val="Normal"/>
        <w:tabs>
          <w:tab w:val="clear" w:pos="708"/>
          <w:tab w:val="left" w:pos="4986" w:leader="none"/>
        </w:tabs>
        <w:rPr>
          <w:sz w:val="28"/>
          <w:szCs w:val="28"/>
        </w:rPr>
      </w:pPr>
      <w:r>
        <w:rPr>
          <w:sz w:val="28"/>
          <w:szCs w:val="28"/>
        </w:rPr>
        <w:t>лянка) - 02.01 на вул. Ялиновій, 12 у м. Луцьку</w:t>
      </w:r>
    </w:p>
    <w:p>
      <w:pPr>
        <w:pStyle w:val="Normal"/>
        <w:tabs>
          <w:tab w:val="clear" w:pos="708"/>
          <w:tab w:val="left" w:pos="4678" w:leader="none"/>
        </w:tabs>
        <w:rPr>
          <w:sz w:val="18"/>
          <w:szCs w:val="18"/>
        </w:rPr>
      </w:pPr>
      <w:r>
        <w:rPr>
          <w:sz w:val="18"/>
          <w:szCs w:val="18"/>
        </w:rPr>
      </w:r>
    </w:p>
    <w:p>
      <w:pPr>
        <w:pStyle w:val="Normal"/>
        <w:widowControl/>
        <w:suppressAutoHyphens w:val="true"/>
        <w:bidi w:val="0"/>
        <w:spacing w:before="0" w:after="0"/>
        <w:ind w:firstLine="567" w:left="0" w:right="0"/>
        <w:jc w:val="both"/>
        <w:rPr>
          <w:sz w:val="28"/>
          <w:szCs w:val="28"/>
        </w:rPr>
      </w:pPr>
      <w:r>
        <w:rPr>
          <w:sz w:val="28"/>
          <w:szCs w:val="28"/>
        </w:rPr>
        <w:t>Розглянувши заяву громадян Ніколайчук Ольги Іванівни</w:t>
      </w:r>
      <w:r>
        <w:rPr>
          <w:rFonts w:eastAsia="Times New Roman" w:cs="Times New Roman"/>
          <w:color w:val="auto"/>
          <w:kern w:val="0"/>
          <w:sz w:val="28"/>
          <w:szCs w:val="28"/>
          <w:lang w:val="uk-UA" w:eastAsia="zh-CN" w:bidi="ar-SA"/>
        </w:rPr>
        <w:t>, Ніколайчука Олега Георгійовича</w:t>
      </w:r>
      <w:r>
        <w:rPr>
          <w:sz w:val="28"/>
          <w:szCs w:val="28"/>
        </w:rPr>
        <w:t xml:space="preserve"> щодо передачі безоплатно у спільну сумісну власність земельної ділянки на вул. Ялиновій, 12 у м. Луцьку для будівництва і обслуговування житлового будинку, господарських будівель і споруд (присадибна ділянка) - 02.01, технічну документацію із землеустрою щодо встановлення (відновлення) меж земельної ділянки в натурі (на місцевості) на вул. Ялиновій, 12 у м. Луцьку громадян Ніколайчук Ольги Іванівни</w:t>
      </w:r>
      <w:r>
        <w:rPr>
          <w:rFonts w:eastAsia="Times New Roman" w:cs="Times New Roman"/>
          <w:color w:val="auto"/>
          <w:kern w:val="0"/>
          <w:sz w:val="28"/>
          <w:szCs w:val="28"/>
          <w:lang w:val="uk-UA" w:eastAsia="zh-CN" w:bidi="ar-SA"/>
        </w:rPr>
        <w:t>, Ніколайчука Олега Георгійовича та</w:t>
      </w:r>
      <w:r>
        <w:rPr>
          <w:sz w:val="28"/>
          <w:szCs w:val="28"/>
        </w:rPr>
        <w:t xml:space="preserve"> витяг з Державного земельного кадастру про земельну ділянку, враховуючи </w:t>
      </w:r>
      <w:r>
        <w:rPr>
          <w:rFonts w:eastAsia="Times New Roman" w:cs="Times New Roman"/>
          <w:b w:val="false"/>
          <w:bCs w:val="false"/>
          <w:i w:val="false"/>
          <w:iCs w:val="false"/>
          <w:color w:val="000000"/>
          <w:spacing w:val="2"/>
          <w:kern w:val="0"/>
          <w:sz w:val="28"/>
          <w:szCs w:val="28"/>
          <w:lang w:val="uk-UA" w:eastAsia="zh-CN" w:bidi="ar-SA"/>
        </w:rPr>
        <w:t>документи, що посвідчують право власності громадян</w:t>
      </w:r>
      <w:r>
        <w:rPr>
          <w:rFonts w:eastAsia="Times New Roman" w:cs="Times New Roman"/>
          <w:b w:val="false"/>
          <w:bCs w:val="false"/>
          <w:i w:val="false"/>
          <w:iCs w:val="false"/>
          <w:color w:val="auto"/>
          <w:spacing w:val="2"/>
          <w:kern w:val="0"/>
          <w:sz w:val="28"/>
          <w:szCs w:val="28"/>
          <w:lang w:val="uk-UA" w:eastAsia="zh-CN" w:bidi="ar-SA"/>
        </w:rPr>
        <w:t xml:space="preserve"> Ніколайчук Ольги Іванівни, Ніколайчука Олега Георгійовича</w:t>
      </w:r>
      <w:r>
        <w:rPr>
          <w:rFonts w:eastAsia="Times New Roman" w:cs="Times New Roman"/>
          <w:b w:val="false"/>
          <w:bCs w:val="false"/>
          <w:i w:val="false"/>
          <w:iCs w:val="false"/>
          <w:color w:val="000000"/>
          <w:spacing w:val="2"/>
          <w:kern w:val="0"/>
          <w:sz w:val="28"/>
          <w:szCs w:val="28"/>
          <w:lang w:val="uk-UA" w:eastAsia="zh-CN" w:bidi="ar-SA"/>
        </w:rPr>
        <w:t xml:space="preserve"> на об'єкт нерухомого майна на </w:t>
      </w:r>
      <w:r>
        <w:rPr>
          <w:rFonts w:eastAsia="Times New Roman" w:cs="Times New Roman"/>
          <w:b w:val="false"/>
          <w:bCs w:val="false"/>
          <w:i w:val="false"/>
          <w:iCs w:val="false"/>
          <w:color w:val="auto"/>
          <w:spacing w:val="-4"/>
          <w:kern w:val="0"/>
          <w:sz w:val="28"/>
          <w:szCs w:val="28"/>
          <w:lang w:val="uk-UA" w:eastAsia="zh-CN" w:bidi="ar-SA"/>
        </w:rPr>
        <w:t>вул. Ялиновій, 12</w:t>
      </w:r>
      <w:r>
        <w:rPr>
          <w:rFonts w:eastAsia="Times New Roman" w:cs="Times New Roman"/>
          <w:b w:val="false"/>
          <w:bCs w:val="false"/>
          <w:i w:val="false"/>
          <w:iCs w:val="false"/>
          <w:color w:val="000000"/>
          <w:spacing w:val="2"/>
          <w:kern w:val="0"/>
          <w:sz w:val="28"/>
          <w:szCs w:val="28"/>
          <w:lang w:val="uk-UA" w:eastAsia="zh-CN" w:bidi="ar-SA"/>
        </w:rPr>
        <w:t xml:space="preserve"> у м. Луцьку: договір дарування</w:t>
      </w:r>
      <w:r>
        <w:rPr>
          <w:rFonts w:eastAsia="Times New Roman" w:cs="Times New Roman"/>
          <w:b w:val="false"/>
          <w:bCs w:val="false"/>
          <w:i w:val="false"/>
          <w:iCs w:val="false"/>
          <w:color w:val="auto"/>
          <w:spacing w:val="2"/>
          <w:kern w:val="0"/>
          <w:sz w:val="28"/>
          <w:szCs w:val="28"/>
          <w:lang w:val="uk-UA" w:eastAsia="zh-CN" w:bidi="ar-SA"/>
        </w:rPr>
        <w:t xml:space="preserve"> від 23.08.1995 </w:t>
      </w:r>
      <w:r>
        <w:rPr>
          <w:rFonts w:eastAsia="Times New Roman" w:cs="Times New Roman"/>
          <w:b w:val="false"/>
          <w:bCs w:val="false"/>
          <w:i w:val="false"/>
          <w:iCs w:val="false"/>
          <w:color w:val="000000"/>
          <w:spacing w:val="2"/>
          <w:kern w:val="0"/>
          <w:sz w:val="28"/>
          <w:szCs w:val="28"/>
          <w:lang w:val="uk-UA" w:eastAsia="zh-CN" w:bidi="ar-SA"/>
        </w:rPr>
        <w:t>за № 2-3095, відповідно до якого право власності громадян</w:t>
      </w:r>
      <w:r>
        <w:rPr>
          <w:rFonts w:eastAsia="Times New Roman" w:cs="Times New Roman"/>
          <w:b w:val="false"/>
          <w:bCs w:val="false"/>
          <w:i w:val="false"/>
          <w:iCs w:val="false"/>
          <w:color w:val="auto"/>
          <w:spacing w:val="2"/>
          <w:kern w:val="0"/>
          <w:sz w:val="28"/>
          <w:szCs w:val="28"/>
          <w:lang w:val="uk-UA" w:eastAsia="zh-CN" w:bidi="ar-SA"/>
        </w:rPr>
        <w:t xml:space="preserve"> Ніколайчук Ольги Іванівни, Ніколайчука Олега Георгійовича на частку </w:t>
      </w:r>
      <w:r>
        <w:rPr>
          <w:rFonts w:eastAsia="Times New Roman" w:cs="Times New Roman"/>
          <w:b w:val="false"/>
          <w:bCs w:val="false"/>
          <w:i w:val="false"/>
          <w:iCs w:val="false"/>
          <w:color w:val="000000"/>
          <w:spacing w:val="2"/>
          <w:kern w:val="0"/>
          <w:sz w:val="28"/>
          <w:szCs w:val="28"/>
          <w:lang w:val="uk-UA" w:eastAsia="zh-CN" w:bidi="ar-SA"/>
        </w:rPr>
        <w:t>1</w:t>
      </w:r>
      <w:r>
        <w:rPr>
          <w:rFonts w:eastAsia="Times New Roman" w:cs="Times New Roman"/>
          <w:b w:val="false"/>
          <w:bCs w:val="false"/>
          <w:i w:val="false"/>
          <w:iCs w:val="false"/>
          <w:color w:val="auto"/>
          <w:spacing w:val="2"/>
          <w:kern w:val="0"/>
          <w:sz w:val="28"/>
          <w:szCs w:val="28"/>
          <w:lang w:val="uk-UA" w:eastAsia="zh-CN" w:bidi="ar-SA"/>
        </w:rPr>
        <w:t xml:space="preserve">/2 в житловому будинку № 12 </w:t>
      </w:r>
      <w:r>
        <w:rPr>
          <w:rFonts w:eastAsia="Times New Roman" w:cs="Times New Roman"/>
          <w:b w:val="false"/>
          <w:bCs w:val="false"/>
          <w:i w:val="false"/>
          <w:iCs w:val="false"/>
          <w:color w:val="000000"/>
          <w:spacing w:val="2"/>
          <w:kern w:val="0"/>
          <w:sz w:val="28"/>
          <w:szCs w:val="28"/>
          <w:lang w:val="uk-UA" w:eastAsia="zh-CN" w:bidi="ar-SA"/>
        </w:rPr>
        <w:t>зареєстровано 19.09.1995 та записано у реєстрову книгу № 59 за реєстраційни</w:t>
      </w:r>
      <w:r>
        <w:rPr>
          <w:rFonts w:eastAsia="Times New Roman" w:cs="Times New Roman"/>
          <w:b w:val="false"/>
          <w:bCs w:val="false"/>
          <w:i w:val="false"/>
          <w:iCs w:val="false"/>
          <w:color w:val="000000"/>
          <w:spacing w:val="2"/>
          <w:kern w:val="0"/>
          <w:sz w:val="28"/>
          <w:szCs w:val="28"/>
          <w:lang w:val="uk-UA" w:eastAsia="zh-CN" w:bidi="ar-SA"/>
        </w:rPr>
        <w:t>м</w:t>
      </w:r>
      <w:r>
        <w:rPr>
          <w:rFonts w:eastAsia="Times New Roman" w:cs="Times New Roman"/>
          <w:b w:val="false"/>
          <w:bCs w:val="false"/>
          <w:i w:val="false"/>
          <w:iCs w:val="false"/>
          <w:color w:val="000000"/>
          <w:spacing w:val="2"/>
          <w:kern w:val="0"/>
          <w:sz w:val="28"/>
          <w:szCs w:val="28"/>
          <w:lang w:val="uk-UA" w:eastAsia="zh-CN" w:bidi="ar-SA"/>
        </w:rPr>
        <w:t xml:space="preserve"> № 907, </w:t>
      </w:r>
      <w:r>
        <w:rPr>
          <w:sz w:val="28"/>
          <w:szCs w:val="28"/>
        </w:rPr>
        <w:t>керуючись статтями 12, 81, 89, 90, 91, 116, 118, 121, 125, 126, підпунктом 5 пункту 27 розділу Х «Перехідні положення» Земельного кодексу України, Законом України «Про внесення змін до деяких законодавчих актів України щодо розмежування земель державної та комунальної власності», Законом України «Про землеустрій», Законом України «Про Державний земельний кадастр», постановою Кабінету Міністрів України від 17.10.2012 № 1051 «Про затвердження Порядку ведення Державного земельного кадастру», Законом України «Про державну реєстрацію речових прав на нерухоме майно та їх обтяжень» та ст. 26 Закону України «Про місцеве самоврядування в Україні», міська рада</w:t>
      </w:r>
    </w:p>
    <w:p>
      <w:pPr>
        <w:pStyle w:val="Normal"/>
        <w:jc w:val="both"/>
        <w:rPr>
          <w:sz w:val="18"/>
          <w:szCs w:val="18"/>
        </w:rPr>
      </w:pPr>
      <w:r>
        <w:rPr>
          <w:sz w:val="18"/>
          <w:szCs w:val="18"/>
        </w:rPr>
      </w:r>
    </w:p>
    <w:p>
      <w:pPr>
        <w:pStyle w:val="Normal"/>
        <w:jc w:val="both"/>
        <w:rPr>
          <w:sz w:val="28"/>
          <w:szCs w:val="28"/>
        </w:rPr>
      </w:pPr>
      <w:r>
        <w:rPr>
          <w:sz w:val="28"/>
          <w:szCs w:val="28"/>
        </w:rPr>
        <w:t>ВИРІШИЛА:</w:t>
      </w:r>
    </w:p>
    <w:p>
      <w:pPr>
        <w:pStyle w:val="Normal"/>
        <w:jc w:val="both"/>
        <w:rPr>
          <w:sz w:val="18"/>
          <w:szCs w:val="18"/>
        </w:rPr>
      </w:pPr>
      <w:r>
        <w:rPr>
          <w:sz w:val="18"/>
          <w:szCs w:val="18"/>
        </w:rPr>
      </w:r>
    </w:p>
    <w:p>
      <w:pPr>
        <w:pStyle w:val="Normal"/>
        <w:widowControl/>
        <w:suppressAutoHyphens w:val="true"/>
        <w:bidi w:val="0"/>
        <w:spacing w:before="0" w:after="0"/>
        <w:ind w:firstLine="567" w:left="0" w:right="57"/>
        <w:jc w:val="both"/>
        <w:rPr>
          <w:sz w:val="28"/>
          <w:szCs w:val="28"/>
        </w:rPr>
      </w:pPr>
      <w:r>
        <w:rPr>
          <w:sz w:val="28"/>
          <w:szCs w:val="28"/>
        </w:rPr>
        <w:t>1. Затвердити громадянам</w:t>
      </w:r>
      <w:r>
        <w:rPr>
          <w:sz w:val="20"/>
          <w:szCs w:val="20"/>
        </w:rPr>
        <w:t xml:space="preserve"> </w:t>
      </w:r>
      <w:r>
        <w:rPr>
          <w:rFonts w:eastAsia="Times New Roman" w:cs="Times New Roman"/>
          <w:color w:val="auto"/>
          <w:kern w:val="0"/>
          <w:sz w:val="28"/>
          <w:szCs w:val="28"/>
          <w:lang w:val="uk-UA" w:eastAsia="zh-CN" w:bidi="ar-SA"/>
        </w:rPr>
        <w:t>Ніколайчук Ользі Іванівні, Ніколайчуку Олегу Георгійовичу</w:t>
      </w:r>
      <w:r>
        <w:rPr>
          <w:sz w:val="28"/>
          <w:szCs w:val="28"/>
        </w:rPr>
        <w:t xml:space="preserve"> технічну документацію із землеустрою щодо встановлення (відновлення) меж земельної ділянки в натурі (на місцевості) на вул. Ялиновій, 12 у м. Луцьку площею 0,0233 га, кадастровим номером 0710100000:31:019:0030 для будівництва і обслуговування житлового будинку, господарських будівель і споруд (присадибна ділянка) - 02.01.</w:t>
      </w:r>
    </w:p>
    <w:p>
      <w:pPr>
        <w:pStyle w:val="Normal"/>
        <w:widowControl/>
        <w:tabs>
          <w:tab w:val="clear" w:pos="708"/>
          <w:tab w:val="left" w:pos="5448" w:leader="none"/>
          <w:tab w:val="left" w:pos="5560" w:leader="none"/>
        </w:tabs>
        <w:suppressAutoHyphens w:val="true"/>
        <w:bidi w:val="0"/>
        <w:spacing w:before="0" w:after="0"/>
        <w:ind w:firstLine="567" w:left="0" w:right="57"/>
        <w:jc w:val="both"/>
        <w:rPr>
          <w:sz w:val="28"/>
          <w:szCs w:val="28"/>
        </w:rPr>
      </w:pPr>
      <w:r>
        <w:rPr>
          <w:sz w:val="28"/>
          <w:szCs w:val="28"/>
        </w:rPr>
        <w:t xml:space="preserve">2. Передати громадянам </w:t>
      </w:r>
      <w:r>
        <w:rPr>
          <w:rFonts w:eastAsia="Times New Roman" w:cs="Times New Roman"/>
          <w:color w:val="auto"/>
          <w:kern w:val="0"/>
          <w:sz w:val="28"/>
          <w:szCs w:val="28"/>
          <w:lang w:val="uk-UA" w:eastAsia="zh-CN" w:bidi="ar-SA"/>
        </w:rPr>
        <w:t>Ніколайчук Ользі Іванівні, Ніколайчуку Олегу Георгійовичу</w:t>
      </w:r>
      <w:r>
        <w:rPr>
          <w:sz w:val="28"/>
          <w:szCs w:val="28"/>
        </w:rPr>
        <w:t xml:space="preserve"> безоплатно у спільну сумісну власність земельну ділянку на вул. Ялиновій, 12 у м. Луцьку площею 0,0233 га, кадастровим номером 0710100000:31:019:0030 для будівництва і обслуговування житлового будинку, господарських будівель і споруд (присадибна ділянка) - 02.01, згідно з додатком.</w:t>
      </w:r>
    </w:p>
    <w:p>
      <w:pPr>
        <w:pStyle w:val="Normal"/>
        <w:widowControl/>
        <w:tabs>
          <w:tab w:val="clear" w:pos="708"/>
          <w:tab w:val="left" w:pos="709" w:leader="none"/>
        </w:tabs>
        <w:suppressAutoHyphens w:val="true"/>
        <w:bidi w:val="0"/>
        <w:spacing w:before="0" w:after="0"/>
        <w:ind w:firstLine="567" w:left="0" w:right="57"/>
        <w:jc w:val="both"/>
        <w:rPr>
          <w:sz w:val="28"/>
          <w:szCs w:val="28"/>
        </w:rPr>
      </w:pPr>
      <w:r>
        <w:rPr>
          <w:sz w:val="28"/>
          <w:szCs w:val="28"/>
        </w:rPr>
        <w:t xml:space="preserve">3. Зобов’язати громадян </w:t>
      </w:r>
      <w:r>
        <w:rPr>
          <w:rFonts w:eastAsia="Times New Roman" w:cs="Times New Roman"/>
          <w:color w:val="auto"/>
          <w:kern w:val="0"/>
          <w:sz w:val="28"/>
          <w:szCs w:val="28"/>
          <w:lang w:val="uk-UA" w:eastAsia="zh-CN" w:bidi="ar-SA"/>
        </w:rPr>
        <w:t>Ніколайчук Ольгу Іванівну, Ніколайчука Олега Георгійовича</w:t>
      </w:r>
      <w:r>
        <w:rPr>
          <w:sz w:val="28"/>
          <w:szCs w:val="28"/>
        </w:rPr>
        <w:t>:</w:t>
      </w:r>
    </w:p>
    <w:p>
      <w:pPr>
        <w:pStyle w:val="Normal"/>
        <w:widowControl/>
        <w:suppressAutoHyphens w:val="true"/>
        <w:bidi w:val="0"/>
        <w:spacing w:before="0" w:after="0"/>
        <w:ind w:firstLine="567" w:left="0" w:right="57"/>
        <w:jc w:val="both"/>
        <w:rPr>
          <w:sz w:val="28"/>
          <w:szCs w:val="28"/>
        </w:rPr>
      </w:pPr>
      <w:r>
        <w:rPr>
          <w:sz w:val="28"/>
          <w:szCs w:val="28"/>
        </w:rPr>
        <w:t>3.1. Зареєструвати земельну ділянку та речові права на неї в порядку</w:t>
      </w:r>
      <w:r>
        <w:rPr>
          <w:sz w:val="28"/>
          <w:szCs w:val="28"/>
          <w:lang w:val="ru-RU"/>
        </w:rPr>
        <w:t>,</w:t>
      </w:r>
      <w:r>
        <w:rPr>
          <w:sz w:val="28"/>
          <w:szCs w:val="28"/>
        </w:rPr>
        <w:t xml:space="preserve"> визначеному чинним законодавством України.</w:t>
      </w:r>
    </w:p>
    <w:p>
      <w:pPr>
        <w:pStyle w:val="Normal"/>
        <w:widowControl/>
        <w:suppressAutoHyphens w:val="true"/>
        <w:bidi w:val="0"/>
        <w:spacing w:before="0" w:after="0"/>
        <w:ind w:firstLine="567" w:left="0" w:right="57"/>
        <w:jc w:val="both"/>
        <w:rPr>
          <w:sz w:val="28"/>
          <w:szCs w:val="28"/>
        </w:rPr>
      </w:pPr>
      <w:r>
        <w:rPr>
          <w:sz w:val="28"/>
          <w:szCs w:val="28"/>
        </w:rPr>
        <w:t>3.2.</w:t>
      </w:r>
      <w:r>
        <w:rPr>
          <w:sz w:val="28"/>
          <w:szCs w:val="28"/>
          <w:lang w:val="ru-RU"/>
        </w:rPr>
        <w:t> </w:t>
      </w:r>
      <w:r>
        <w:rPr>
          <w:sz w:val="28"/>
          <w:szCs w:val="28"/>
        </w:rPr>
        <w:t>Виконувати обов</w:t>
      </w:r>
      <w:r>
        <w:rPr>
          <w:sz w:val="28"/>
          <w:szCs w:val="28"/>
          <w:lang w:val="ru-RU"/>
        </w:rPr>
        <w:t>’</w:t>
      </w:r>
      <w:r>
        <w:rPr>
          <w:sz w:val="28"/>
          <w:szCs w:val="28"/>
        </w:rPr>
        <w:t>язки власників земельної ділянки, відповідно до вимог ст. 91 Земельного кодексу України.</w:t>
      </w:r>
    </w:p>
    <w:p>
      <w:pPr>
        <w:pStyle w:val="Normal"/>
        <w:widowControl/>
        <w:suppressAutoHyphens w:val="true"/>
        <w:bidi w:val="0"/>
        <w:spacing w:before="0" w:after="0"/>
        <w:ind w:firstLine="567" w:left="0" w:right="57"/>
        <w:jc w:val="both"/>
        <w:rPr>
          <w:sz w:val="28"/>
          <w:szCs w:val="28"/>
        </w:rPr>
      </w:pPr>
      <w:r>
        <w:rPr>
          <w:sz w:val="28"/>
          <w:szCs w:val="28"/>
        </w:rPr>
        <w:t>3.3. Забезпечувати збереження та вільний доступ до мереж міських інженерних комунікацій, що проходять по зазначеній території, для проведення ремонтних та профілактичних робіт.</w:t>
      </w:r>
    </w:p>
    <w:p>
      <w:pPr>
        <w:pStyle w:val="Normal"/>
        <w:widowControl/>
        <w:tabs>
          <w:tab w:val="clear" w:pos="708"/>
          <w:tab w:val="left" w:pos="5670" w:leader="none"/>
        </w:tabs>
        <w:suppressAutoHyphens w:val="true"/>
        <w:bidi w:val="0"/>
        <w:spacing w:before="0" w:after="0"/>
        <w:ind w:firstLine="567" w:left="0" w:right="0"/>
        <w:jc w:val="both"/>
        <w:rPr>
          <w:sz w:val="28"/>
          <w:szCs w:val="28"/>
        </w:rPr>
      </w:pPr>
      <w:r>
        <w:rPr>
          <w:sz w:val="28"/>
          <w:szCs w:val="28"/>
        </w:rPr>
        <w:t>4. </w:t>
      </w:r>
      <w:r>
        <w:rPr>
          <w:rFonts w:eastAsia="Times New Roman" w:cs="Times New Roman"/>
          <w:b w:val="false"/>
          <w:bCs w:val="false"/>
          <w:i w:val="false"/>
          <w:caps w:val="false"/>
          <w:smallCaps w:val="false"/>
          <w:strike w:val="false"/>
          <w:dstrike w:val="false"/>
          <w:color w:val="000000"/>
          <w:spacing w:val="-2"/>
          <w:kern w:val="2"/>
          <w:sz w:val="28"/>
          <w:szCs w:val="28"/>
          <w:u w:val="none"/>
          <w:shd w:fill="FFFFFF" w:val="clear"/>
          <w:lang w:val="uk-UA" w:eastAsia="zh-CN" w:bidi="ar-SA"/>
        </w:rPr>
        <w:t>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rPr>
          <w:sz w:val="28"/>
          <w:szCs w:val="28"/>
        </w:rPr>
      </w:pPr>
      <w:r>
        <w:rPr>
          <w:sz w:val="28"/>
          <w:szCs w:val="28"/>
        </w:rPr>
      </w:r>
    </w:p>
    <w:p>
      <w:pPr>
        <w:pStyle w:val="Normal"/>
        <w:tabs>
          <w:tab w:val="clear" w:pos="708"/>
          <w:tab w:val="left" w:pos="3220" w:leader="none"/>
        </w:tabs>
        <w:rPr>
          <w:sz w:val="28"/>
          <w:szCs w:val="28"/>
        </w:rPr>
      </w:pPr>
      <w:r>
        <w:rPr>
          <w:sz w:val="28"/>
          <w:szCs w:val="28"/>
        </w:rPr>
      </w:r>
    </w:p>
    <w:p>
      <w:pPr>
        <w:pStyle w:val="Normal"/>
        <w:jc w:val="both"/>
        <w:rPr>
          <w:sz w:val="28"/>
          <w:szCs w:val="28"/>
        </w:rPr>
      </w:pPr>
      <w:r>
        <w:rPr>
          <w:sz w:val="28"/>
          <w:szCs w:val="28"/>
        </w:rPr>
        <w:t>Міський голова                                                                               Ігор ПОЛІЩУК</w:t>
      </w:r>
    </w:p>
    <w:p>
      <w:pPr>
        <w:pStyle w:val="Normal"/>
        <w:jc w:val="both"/>
        <w:rPr>
          <w:sz w:val="28"/>
          <w:szCs w:val="28"/>
        </w:rPr>
      </w:pPr>
      <w:r>
        <w:rPr>
          <w:sz w:val="28"/>
          <w:szCs w:val="28"/>
        </w:rPr>
      </w:r>
    </w:p>
    <w:p>
      <w:pPr>
        <w:pStyle w:val="Normal"/>
        <w:jc w:val="both"/>
        <w:rPr>
          <w:sz w:val="28"/>
          <w:szCs w:val="28"/>
        </w:rPr>
      </w:pPr>
      <w:r>
        <w:rPr>
          <w:sz w:val="28"/>
          <w:szCs w:val="28"/>
        </w:rPr>
      </w:r>
    </w:p>
    <w:p>
      <w:pPr>
        <w:pStyle w:val="Normal"/>
        <w:jc w:val="both"/>
        <w:rPr/>
      </w:pPr>
      <w:r>
        <w:rPr/>
        <w:t>Туз 777 863</w:t>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p>
      <w:pPr>
        <w:pStyle w:val="Normal"/>
        <w:rPr>
          <w:lang w:val="ru-RU"/>
        </w:rPr>
      </w:pPr>
      <w:r>
        <w:rPr>
          <w:lang w:val="ru-RU"/>
        </w:rPr>
      </w:r>
    </w:p>
    <w:sectPr>
      <w:type w:val="nextPage"/>
      <w:pgSz w:w="11906" w:h="16838"/>
      <w:pgMar w:left="1985" w:right="567" w:gutter="0" w:header="0" w:top="567" w:footer="0" w:bottom="1701"/>
      <w:pgNumType w:fmt="decimal"/>
      <w:formProt w:val="false"/>
      <w:textDirection w:val="lrTb"/>
      <w:docGrid w:type="default" w:linePitch="360"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Arial">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2">
    <w:lvl w:ilvl="0">
      <w:start w:val="1"/>
      <w:numFmt w:val="none"/>
      <w:suff w:val="nothing"/>
      <w:lvlText w:val=""/>
      <w:lvlJc w:val="left"/>
      <w:pPr>
        <w:tabs>
          <w:tab w:val="num" w:pos="0"/>
        </w:tabs>
        <w:ind w:left="432" w:hanging="432"/>
      </w:pPr>
      <w:rPr/>
    </w:lvl>
    <w:lvl w:ilvl="1">
      <w:start w:val="1"/>
      <w:numFmt w:val="none"/>
      <w:suff w:val="nothing"/>
      <w:lvlText w:val=""/>
      <w:lvlJc w:val="left"/>
      <w:pPr>
        <w:tabs>
          <w:tab w:val="num" w:pos="0"/>
        </w:tabs>
        <w:ind w:left="576" w:hanging="576"/>
      </w:pPr>
      <w:rPr/>
    </w:lvl>
    <w:lvl w:ilvl="2">
      <w:start w:val="1"/>
      <w:numFmt w:val="none"/>
      <w:suff w:val="nothing"/>
      <w:lvlText w:val=""/>
      <w:lvlJc w:val="left"/>
      <w:pPr>
        <w:tabs>
          <w:tab w:val="num" w:pos="0"/>
        </w:tabs>
        <w:ind w:left="720" w:hanging="72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1440" w:hanging="1440"/>
      </w:pPr>
      <w:rPr/>
    </w:lvl>
    <w:lvl w:ilvl="8">
      <w:start w:val="1"/>
      <w:numFmt w:val="none"/>
      <w:suff w:val="nothing"/>
      <w:lvlText w:val=""/>
      <w:lvlJc w:val="left"/>
      <w:pPr>
        <w:tabs>
          <w:tab w:val="num" w:pos="0"/>
        </w:tabs>
        <w:ind w:left="1584" w:hanging="1584"/>
      </w:pPr>
      <w:rPr/>
    </w:lvl>
  </w:abstractNum>
  <w:abstractNum w:abstractNumId="3">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100"/>
  <w:displayBackgroundShape/>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4"/>
      <w:szCs w:val="24"/>
      <w:lang w:val="uk-UA" w:eastAsia="zh-CN" w:bidi="ar-SA"/>
    </w:rPr>
  </w:style>
  <w:style w:type="paragraph" w:styleId="Heading1">
    <w:name w:val="Heading 1"/>
    <w:basedOn w:val="Normal"/>
    <w:next w:val="Normal"/>
    <w:qFormat/>
    <w:pPr>
      <w:keepNext w:val="true"/>
      <w:numPr>
        <w:ilvl w:val="0"/>
        <w:numId w:val="1"/>
      </w:numPr>
      <w:tabs>
        <w:tab w:val="clear" w:pos="708"/>
        <w:tab w:val="left" w:pos="0" w:leader="none"/>
      </w:tabs>
      <w:ind w:hanging="432" w:left="432" w:right="0"/>
      <w:jc w:val="center"/>
      <w:outlineLvl w:val="0"/>
    </w:pPr>
    <w:rPr>
      <w:b/>
      <w:bCs/>
      <w:sz w:val="32"/>
    </w:rPr>
  </w:style>
  <w:style w:type="paragraph" w:styleId="Heading2">
    <w:name w:val="Heading 2"/>
    <w:basedOn w:val="Normal"/>
    <w:next w:val="Normal"/>
    <w:qFormat/>
    <w:pPr>
      <w:keepNext w:val="true"/>
      <w:numPr>
        <w:ilvl w:val="1"/>
        <w:numId w:val="1"/>
      </w:numPr>
      <w:tabs>
        <w:tab w:val="clear" w:pos="708"/>
        <w:tab w:val="left" w:pos="0" w:leader="none"/>
      </w:tabs>
      <w:spacing w:before="240" w:after="60"/>
      <w:ind w:hanging="576" w:left="576" w:right="0"/>
      <w:outlineLvl w:val="1"/>
    </w:pPr>
    <w:rPr>
      <w:rFonts w:ascii="Arial" w:hAnsi="Arial" w:cs="Arial"/>
      <w:b/>
      <w:bCs/>
      <w:i/>
      <w:iCs/>
      <w:szCs w:val="28"/>
    </w:rPr>
  </w:style>
  <w:style w:type="paragraph" w:styleId="Heading3">
    <w:name w:val="Heading 3"/>
    <w:basedOn w:val="Normal"/>
    <w:next w:val="Normal"/>
    <w:qFormat/>
    <w:pPr>
      <w:keepNext w:val="true"/>
      <w:numPr>
        <w:ilvl w:val="2"/>
        <w:numId w:val="1"/>
      </w:numPr>
      <w:ind w:hanging="0" w:left="2832" w:right="0"/>
      <w:outlineLvl w:val="2"/>
    </w:pPr>
    <w:rPr>
      <w:b/>
      <w:bCs/>
      <w:sz w:val="32"/>
    </w:rPr>
  </w:style>
  <w:style w:type="paragraph" w:styleId="Heading8">
    <w:name w:val="Heading 8"/>
    <w:basedOn w:val="Normal"/>
    <w:next w:val="Normal"/>
    <w:qFormat/>
    <w:pPr>
      <w:keepNext w:val="true"/>
      <w:numPr>
        <w:ilvl w:val="7"/>
        <w:numId w:val="1"/>
      </w:numPr>
      <w:jc w:val="center"/>
      <w:outlineLvl w:val="7"/>
    </w:pPr>
    <w:rPr>
      <w:b/>
      <w:bCs/>
      <w:sz w:val="36"/>
    </w:rPr>
  </w:style>
  <w:style w:type="paragraph" w:styleId="Heading9">
    <w:name w:val="Heading 9"/>
    <w:basedOn w:val="Normal"/>
    <w:next w:val="Normal"/>
    <w:qFormat/>
    <w:pPr>
      <w:keepNext w:val="true"/>
      <w:numPr>
        <w:ilvl w:val="8"/>
        <w:numId w:val="1"/>
      </w:numPr>
      <w:outlineLvl w:val="8"/>
    </w:pPr>
    <w:rPr>
      <w:b/>
      <w:bCs/>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WW8Num2z0">
    <w:name w:val="WW8Num2z0"/>
    <w:qFormat/>
    <w:rPr/>
  </w:style>
  <w:style w:type="character" w:styleId="WW8Num2z1">
    <w:name w:val="WW8Num2z1"/>
    <w:qFormat/>
    <w:rPr/>
  </w:style>
  <w:style w:type="character" w:styleId="WW8Num2z2">
    <w:name w:val="WW8Num2z2"/>
    <w:qFormat/>
    <w:rPr/>
  </w:style>
  <w:style w:type="character" w:styleId="WW8Num2z3">
    <w:name w:val="WW8Num2z3"/>
    <w:qFormat/>
    <w:rPr/>
  </w:style>
  <w:style w:type="character" w:styleId="WW8Num2z4">
    <w:name w:val="WW8Num2z4"/>
    <w:qFormat/>
    <w:rPr/>
  </w:style>
  <w:style w:type="character" w:styleId="WW8Num2z5">
    <w:name w:val="WW8Num2z5"/>
    <w:qFormat/>
    <w:rPr/>
  </w:style>
  <w:style w:type="character" w:styleId="WW8Num2z6">
    <w:name w:val="WW8Num2z6"/>
    <w:qFormat/>
    <w:rPr/>
  </w:style>
  <w:style w:type="character" w:styleId="WW8Num2z7">
    <w:name w:val="WW8Num2z7"/>
    <w:qFormat/>
    <w:rPr/>
  </w:style>
  <w:style w:type="character" w:styleId="WW8Num2z8">
    <w:name w:val="WW8Num2z8"/>
    <w:qFormat/>
    <w:rPr/>
  </w:style>
  <w:style w:type="character" w:styleId="Style9">
    <w:name w:val="Основной шрифт абзаца"/>
    <w:qFormat/>
    <w:rPr/>
  </w:style>
  <w:style w:type="character" w:styleId="WW8Num1zfalse">
    <w:name w:val="WW8Num1zfalse"/>
    <w:qFormat/>
    <w:rPr/>
  </w:style>
  <w:style w:type="character" w:styleId="WW8Num1ztrue">
    <w:name w:val="WW8Num1ztrue"/>
    <w:qFormat/>
    <w:rPr/>
  </w:style>
  <w:style w:type="character" w:styleId="WW-WW8Num1ztrue">
    <w:name w:val="WW-WW8Num1ztrue"/>
    <w:qFormat/>
    <w:rPr/>
  </w:style>
  <w:style w:type="character" w:styleId="WW-WW8Num1ztrue1">
    <w:name w:val="WW-WW8Num1ztrue1"/>
    <w:qFormat/>
    <w:rPr/>
  </w:style>
  <w:style w:type="character" w:styleId="WW-WW8Num1ztrue2">
    <w:name w:val="WW-WW8Num1ztrue2"/>
    <w:qFormat/>
    <w:rPr/>
  </w:style>
  <w:style w:type="character" w:styleId="WW-WW8Num1ztrue3">
    <w:name w:val="WW-WW8Num1ztrue3"/>
    <w:qFormat/>
    <w:rPr/>
  </w:style>
  <w:style w:type="character" w:styleId="WW-WW8Num1ztrue4">
    <w:name w:val="WW-WW8Num1ztrue4"/>
    <w:qFormat/>
    <w:rPr/>
  </w:style>
  <w:style w:type="character" w:styleId="WW-WW8Num1ztrue5">
    <w:name w:val="WW-WW8Num1ztrue5"/>
    <w:qFormat/>
    <w:rPr/>
  </w:style>
  <w:style w:type="character" w:styleId="WW-WW8Num1ztrue6">
    <w:name w:val="WW-WW8Num1ztrue6"/>
    <w:qFormat/>
    <w:rPr/>
  </w:style>
  <w:style w:type="character" w:styleId="WW-WW8Num1ztrue7">
    <w:name w:val="WW-WW8Num1ztrue7"/>
    <w:qFormat/>
    <w:rPr/>
  </w:style>
  <w:style w:type="character" w:styleId="WW-WW8Num1ztrue11">
    <w:name w:val="WW-WW8Num1ztrue11"/>
    <w:qFormat/>
    <w:rPr/>
  </w:style>
  <w:style w:type="character" w:styleId="WW-WW8Num1ztrue21">
    <w:name w:val="WW-WW8Num1ztrue21"/>
    <w:qFormat/>
    <w:rPr/>
  </w:style>
  <w:style w:type="character" w:styleId="WW-WW8Num1ztrue31">
    <w:name w:val="WW-WW8Num1ztrue31"/>
    <w:qFormat/>
    <w:rPr/>
  </w:style>
  <w:style w:type="character" w:styleId="WW-WW8Num1ztrue41">
    <w:name w:val="WW-WW8Num1ztrue41"/>
    <w:qFormat/>
    <w:rPr/>
  </w:style>
  <w:style w:type="character" w:styleId="WW-WW8Num1ztrue51">
    <w:name w:val="WW-WW8Num1ztrue51"/>
    <w:qFormat/>
    <w:rPr/>
  </w:style>
  <w:style w:type="character" w:styleId="WW-WW8Num1ztrue61">
    <w:name w:val="WW-WW8Num1ztrue61"/>
    <w:qFormat/>
    <w:rPr/>
  </w:style>
  <w:style w:type="character" w:styleId="WW-WW8Num1ztrue71">
    <w:name w:val="WW-WW8Num1ztrue71"/>
    <w:qFormat/>
    <w:rPr/>
  </w:style>
  <w:style w:type="character" w:styleId="WW-WW8Num1ztrue111">
    <w:name w:val="WW-WW8Num1ztrue111"/>
    <w:qFormat/>
    <w:rPr/>
  </w:style>
  <w:style w:type="character" w:styleId="WW-WW8Num1ztrue211">
    <w:name w:val="WW-WW8Num1ztrue211"/>
    <w:qFormat/>
    <w:rPr/>
  </w:style>
  <w:style w:type="character" w:styleId="WW-WW8Num1ztrue311">
    <w:name w:val="WW-WW8Num1ztrue311"/>
    <w:qFormat/>
    <w:rPr/>
  </w:style>
  <w:style w:type="character" w:styleId="WW-WW8Num1ztrue411">
    <w:name w:val="WW-WW8Num1ztrue411"/>
    <w:qFormat/>
    <w:rPr/>
  </w:style>
  <w:style w:type="character" w:styleId="WW-WW8Num1ztrue511">
    <w:name w:val="WW-WW8Num1ztrue511"/>
    <w:qFormat/>
    <w:rPr/>
  </w:style>
  <w:style w:type="character" w:styleId="WW-WW8Num1ztrue611">
    <w:name w:val="WW-WW8Num1ztrue611"/>
    <w:qFormat/>
    <w:rPr/>
  </w:style>
  <w:style w:type="character" w:styleId="WW-WW8Num1ztrue711">
    <w:name w:val="WW-WW8Num1ztrue711"/>
    <w:qFormat/>
    <w:rPr/>
  </w:style>
  <w:style w:type="character" w:styleId="WW-WW8Num1ztrue1111">
    <w:name w:val="WW-WW8Num1ztrue1111"/>
    <w:qFormat/>
    <w:rPr/>
  </w:style>
  <w:style w:type="character" w:styleId="WW-WW8Num1ztrue2111">
    <w:name w:val="WW-WW8Num1ztrue2111"/>
    <w:qFormat/>
    <w:rPr/>
  </w:style>
  <w:style w:type="character" w:styleId="WW-WW8Num1ztrue3111">
    <w:name w:val="WW-WW8Num1ztrue3111"/>
    <w:qFormat/>
    <w:rPr/>
  </w:style>
  <w:style w:type="character" w:styleId="WW-WW8Num1ztrue4111">
    <w:name w:val="WW-WW8Num1ztrue4111"/>
    <w:qFormat/>
    <w:rPr/>
  </w:style>
  <w:style w:type="character" w:styleId="WW-WW8Num1ztrue5111">
    <w:name w:val="WW-WW8Num1ztrue5111"/>
    <w:qFormat/>
    <w:rPr/>
  </w:style>
  <w:style w:type="character" w:styleId="WW-WW8Num1ztrue6111">
    <w:name w:val="WW-WW8Num1ztrue6111"/>
    <w:qFormat/>
    <w:rPr/>
  </w:style>
  <w:style w:type="character" w:styleId="WW-WW8Num1ztrue7111">
    <w:name w:val="WW-WW8Num1ztrue7111"/>
    <w:qFormat/>
    <w:rPr/>
  </w:style>
  <w:style w:type="character" w:styleId="WW-WW8Num1ztrue11111">
    <w:name w:val="WW-WW8Num1ztrue11111"/>
    <w:qFormat/>
    <w:rPr/>
  </w:style>
  <w:style w:type="character" w:styleId="WW-WW8Num1ztrue21111">
    <w:name w:val="WW-WW8Num1ztrue21111"/>
    <w:qFormat/>
    <w:rPr/>
  </w:style>
  <w:style w:type="character" w:styleId="WW-WW8Num1ztrue31111">
    <w:name w:val="WW-WW8Num1ztrue31111"/>
    <w:qFormat/>
    <w:rPr/>
  </w:style>
  <w:style w:type="character" w:styleId="WW-WW8Num1ztrue41111">
    <w:name w:val="WW-WW8Num1ztrue41111"/>
    <w:qFormat/>
    <w:rPr/>
  </w:style>
  <w:style w:type="character" w:styleId="WW-WW8Num1ztrue51111">
    <w:name w:val="WW-WW8Num1ztrue51111"/>
    <w:qFormat/>
    <w:rPr/>
  </w:style>
  <w:style w:type="character" w:styleId="WW-WW8Num1ztrue61111">
    <w:name w:val="WW-WW8Num1ztrue61111"/>
    <w:qFormat/>
    <w:rPr/>
  </w:style>
  <w:style w:type="character" w:styleId="WW-WW8Num1ztrue71111">
    <w:name w:val="WW-WW8Num1ztrue71111"/>
    <w:qFormat/>
    <w:rPr/>
  </w:style>
  <w:style w:type="character" w:styleId="WW-WW8Num1ztrue111111">
    <w:name w:val="WW-WW8Num1ztrue111111"/>
    <w:qFormat/>
    <w:rPr/>
  </w:style>
  <w:style w:type="character" w:styleId="WW-WW8Num1ztrue211111">
    <w:name w:val="WW-WW8Num1ztrue211111"/>
    <w:qFormat/>
    <w:rPr/>
  </w:style>
  <w:style w:type="character" w:styleId="WW-WW8Num1ztrue311111">
    <w:name w:val="WW-WW8Num1ztrue311111"/>
    <w:qFormat/>
    <w:rPr/>
  </w:style>
  <w:style w:type="character" w:styleId="WW-WW8Num1ztrue411111">
    <w:name w:val="WW-WW8Num1ztrue411111"/>
    <w:qFormat/>
    <w:rPr/>
  </w:style>
  <w:style w:type="character" w:styleId="WW-WW8Num1ztrue511111">
    <w:name w:val="WW-WW8Num1ztrue511111"/>
    <w:qFormat/>
    <w:rPr/>
  </w:style>
  <w:style w:type="character" w:styleId="WW-WW8Num1ztrue611111">
    <w:name w:val="WW-WW8Num1ztrue611111"/>
    <w:qFormat/>
    <w:rPr/>
  </w:style>
  <w:style w:type="character" w:styleId="WW-WW8Num1ztrue711111">
    <w:name w:val="WW-WW8Num1ztrue711111"/>
    <w:qFormat/>
    <w:rPr/>
  </w:style>
  <w:style w:type="character" w:styleId="WW-WW8Num1ztrue1111111">
    <w:name w:val="WW-WW8Num1ztrue1111111"/>
    <w:qFormat/>
    <w:rPr/>
  </w:style>
  <w:style w:type="character" w:styleId="WW-WW8Num1ztrue2111111">
    <w:name w:val="WW-WW8Num1ztrue2111111"/>
    <w:qFormat/>
    <w:rPr/>
  </w:style>
  <w:style w:type="character" w:styleId="WW-WW8Num1ztrue3111111">
    <w:name w:val="WW-WW8Num1ztrue3111111"/>
    <w:qFormat/>
    <w:rPr/>
  </w:style>
  <w:style w:type="character" w:styleId="WW-WW8Num1ztrue4111111">
    <w:name w:val="WW-WW8Num1ztrue4111111"/>
    <w:qFormat/>
    <w:rPr/>
  </w:style>
  <w:style w:type="character" w:styleId="WW-WW8Num1ztrue5111111">
    <w:name w:val="WW-WW8Num1ztrue5111111"/>
    <w:qFormat/>
    <w:rPr/>
  </w:style>
  <w:style w:type="character" w:styleId="WW-WW8Num1ztrue6111111">
    <w:name w:val="WW-WW8Num1ztrue6111111"/>
    <w:qFormat/>
    <w:rPr/>
  </w:style>
  <w:style w:type="character" w:styleId="WW8Num2zfalse">
    <w:name w:val="WW8Num2zfalse"/>
    <w:qFormat/>
    <w:rPr/>
  </w:style>
  <w:style w:type="character" w:styleId="WW8Num2ztrue">
    <w:name w:val="WW8Num2ztrue"/>
    <w:qFormat/>
    <w:rPr/>
  </w:style>
  <w:style w:type="character" w:styleId="WW-WW8Num2ztrue">
    <w:name w:val="WW-WW8Num2ztrue"/>
    <w:qFormat/>
    <w:rPr/>
  </w:style>
  <w:style w:type="character" w:styleId="WW-WW8Num2ztrue1">
    <w:name w:val="WW-WW8Num2ztrue1"/>
    <w:qFormat/>
    <w:rPr/>
  </w:style>
  <w:style w:type="character" w:styleId="WW-WW8Num2ztrue2">
    <w:name w:val="WW-WW8Num2ztrue2"/>
    <w:qFormat/>
    <w:rPr/>
  </w:style>
  <w:style w:type="character" w:styleId="WW-WW8Num2ztrue3">
    <w:name w:val="WW-WW8Num2ztrue3"/>
    <w:qFormat/>
    <w:rPr/>
  </w:style>
  <w:style w:type="character" w:styleId="WW-WW8Num2ztrue4">
    <w:name w:val="WW-WW8Num2ztrue4"/>
    <w:qFormat/>
    <w:rPr/>
  </w:style>
  <w:style w:type="character" w:styleId="WW-WW8Num2ztrue5">
    <w:name w:val="WW-WW8Num2ztrue5"/>
    <w:qFormat/>
    <w:rPr/>
  </w:style>
  <w:style w:type="character" w:styleId="WW-WW8Num2ztrue6">
    <w:name w:val="WW-WW8Num2ztrue6"/>
    <w:qFormat/>
    <w:rPr/>
  </w:style>
  <w:style w:type="character" w:styleId="WW-WW8Num1ztrue7111111">
    <w:name w:val="WW-WW8Num1ztrue7111111"/>
    <w:qFormat/>
    <w:rPr/>
  </w:style>
  <w:style w:type="character" w:styleId="WW-WW8Num1ztrue11111111">
    <w:name w:val="WW-WW8Num1ztrue11111111"/>
    <w:qFormat/>
    <w:rPr/>
  </w:style>
  <w:style w:type="character" w:styleId="WW-WW8Num1ztrue21111111">
    <w:name w:val="WW-WW8Num1ztrue21111111"/>
    <w:qFormat/>
    <w:rPr/>
  </w:style>
  <w:style w:type="character" w:styleId="WW-WW8Num1ztrue31111111">
    <w:name w:val="WW-WW8Num1ztrue31111111"/>
    <w:qFormat/>
    <w:rPr/>
  </w:style>
  <w:style w:type="character" w:styleId="WW-WW8Num1ztrue41111111">
    <w:name w:val="WW-WW8Num1ztrue41111111"/>
    <w:qFormat/>
    <w:rPr/>
  </w:style>
  <w:style w:type="character" w:styleId="WW-WW8Num1ztrue51111111">
    <w:name w:val="WW-WW8Num1ztrue51111111"/>
    <w:qFormat/>
    <w:rPr/>
  </w:style>
  <w:style w:type="character" w:styleId="WW-WW8Num1ztrue61111111">
    <w:name w:val="WW-WW8Num1ztrue61111111"/>
    <w:qFormat/>
    <w:rPr/>
  </w:style>
  <w:style w:type="character" w:styleId="WW-WW8Num1ztrue71111111">
    <w:name w:val="WW-WW8Num1ztrue71111111"/>
    <w:qFormat/>
    <w:rPr/>
  </w:style>
  <w:style w:type="character" w:styleId="WW-WW8Num1ztrue111111111">
    <w:name w:val="WW-WW8Num1ztrue111111111"/>
    <w:qFormat/>
    <w:rPr/>
  </w:style>
  <w:style w:type="character" w:styleId="WW-WW8Num1ztrue211111111">
    <w:name w:val="WW-WW8Num1ztrue211111111"/>
    <w:qFormat/>
    <w:rPr/>
  </w:style>
  <w:style w:type="character" w:styleId="WW-WW8Num1ztrue311111111">
    <w:name w:val="WW-WW8Num1ztrue311111111"/>
    <w:qFormat/>
    <w:rPr/>
  </w:style>
  <w:style w:type="character" w:styleId="WW-WW8Num1ztrue411111111">
    <w:name w:val="WW-WW8Num1ztrue411111111"/>
    <w:qFormat/>
    <w:rPr/>
  </w:style>
  <w:style w:type="character" w:styleId="WW-WW8Num1ztrue511111111">
    <w:name w:val="WW-WW8Num1ztrue511111111"/>
    <w:qFormat/>
    <w:rPr/>
  </w:style>
  <w:style w:type="character" w:styleId="WW-WW8Num1ztrue611111111">
    <w:name w:val="WW-WW8Num1ztrue611111111"/>
    <w:qFormat/>
    <w:rPr/>
  </w:style>
  <w:style w:type="character" w:styleId="WW-WW8Num1ztrue711111111">
    <w:name w:val="WW-WW8Num1ztrue711111111"/>
    <w:qFormat/>
    <w:rPr/>
  </w:style>
  <w:style w:type="character" w:styleId="WW-WW8Num1ztrue1111111111">
    <w:name w:val="WW-WW8Num1ztrue1111111111"/>
    <w:qFormat/>
    <w:rPr/>
  </w:style>
  <w:style w:type="character" w:styleId="WW-WW8Num1ztrue2111111111">
    <w:name w:val="WW-WW8Num1ztrue2111111111"/>
    <w:qFormat/>
    <w:rPr/>
  </w:style>
  <w:style w:type="character" w:styleId="WW-WW8Num1ztrue3111111111">
    <w:name w:val="WW-WW8Num1ztrue3111111111"/>
    <w:qFormat/>
    <w:rPr/>
  </w:style>
  <w:style w:type="character" w:styleId="WW-WW8Num1ztrue4111111111">
    <w:name w:val="WW-WW8Num1ztrue4111111111"/>
    <w:qFormat/>
    <w:rPr/>
  </w:style>
  <w:style w:type="character" w:styleId="WW-WW8Num1ztrue5111111111">
    <w:name w:val="WW-WW8Num1ztrue5111111111"/>
    <w:qFormat/>
    <w:rPr/>
  </w:style>
  <w:style w:type="character" w:styleId="WW-WW8Num1ztrue6111111111">
    <w:name w:val="WW-WW8Num1ztrue6111111111"/>
    <w:qFormat/>
    <w:rPr/>
  </w:style>
  <w:style w:type="character" w:styleId="WW-WW8Num1ztrue7111111111">
    <w:name w:val="WW-WW8Num1ztrue7111111111"/>
    <w:qFormat/>
    <w:rPr/>
  </w:style>
  <w:style w:type="character" w:styleId="WW-WW8Num1ztrue11111111111">
    <w:name w:val="WW-WW8Num1ztrue11111111111"/>
    <w:qFormat/>
    <w:rPr/>
  </w:style>
  <w:style w:type="character" w:styleId="WW-WW8Num1ztrue21111111111">
    <w:name w:val="WW-WW8Num1ztrue21111111111"/>
    <w:qFormat/>
    <w:rPr/>
  </w:style>
  <w:style w:type="character" w:styleId="WW-WW8Num1ztrue31111111111">
    <w:name w:val="WW-WW8Num1ztrue31111111111"/>
    <w:qFormat/>
    <w:rPr/>
  </w:style>
  <w:style w:type="character" w:styleId="WW-WW8Num1ztrue41111111111">
    <w:name w:val="WW-WW8Num1ztrue41111111111"/>
    <w:qFormat/>
    <w:rPr/>
  </w:style>
  <w:style w:type="character" w:styleId="WW-WW8Num1ztrue51111111111">
    <w:name w:val="WW-WW8Num1ztrue51111111111"/>
    <w:qFormat/>
    <w:rPr/>
  </w:style>
  <w:style w:type="character" w:styleId="WW-WW8Num1ztrue61111111111">
    <w:name w:val="WW-WW8Num1ztrue61111111111"/>
    <w:qFormat/>
    <w:rPr/>
  </w:style>
  <w:style w:type="character" w:styleId="WW-WW8Num1ztrue71111111111">
    <w:name w:val="WW-WW8Num1ztrue71111111111"/>
    <w:qFormat/>
    <w:rPr/>
  </w:style>
  <w:style w:type="character" w:styleId="WW-WW8Num1ztrue111111111111">
    <w:name w:val="WW-WW8Num1ztrue111111111111"/>
    <w:qFormat/>
    <w:rPr/>
  </w:style>
  <w:style w:type="character" w:styleId="WW-WW8Num1ztrue211111111111">
    <w:name w:val="WW-WW8Num1ztrue211111111111"/>
    <w:qFormat/>
    <w:rPr/>
  </w:style>
  <w:style w:type="character" w:styleId="WW-WW8Num1ztrue311111111111">
    <w:name w:val="WW-WW8Num1ztrue311111111111"/>
    <w:qFormat/>
    <w:rPr/>
  </w:style>
  <w:style w:type="character" w:styleId="WW-WW8Num1ztrue411111111111">
    <w:name w:val="WW-WW8Num1ztrue411111111111"/>
    <w:qFormat/>
    <w:rPr/>
  </w:style>
  <w:style w:type="character" w:styleId="WW-WW8Num1ztrue511111111111">
    <w:name w:val="WW-WW8Num1ztrue511111111111"/>
    <w:qFormat/>
    <w:rPr/>
  </w:style>
  <w:style w:type="character" w:styleId="WW-WW8Num1ztrue611111111111">
    <w:name w:val="WW-WW8Num1ztrue611111111111"/>
    <w:qFormat/>
    <w:rPr/>
  </w:style>
  <w:style w:type="character" w:styleId="WW-WW8Num1ztrue711111111111">
    <w:name w:val="WW-WW8Num1ztrue711111111111"/>
    <w:qFormat/>
    <w:rPr/>
  </w:style>
  <w:style w:type="character" w:styleId="WW-WW8Num1ztrue1111111111111">
    <w:name w:val="WW-WW8Num1ztrue1111111111111"/>
    <w:qFormat/>
    <w:rPr/>
  </w:style>
  <w:style w:type="character" w:styleId="WW-WW8Num1ztrue2111111111111">
    <w:name w:val="WW-WW8Num1ztrue2111111111111"/>
    <w:qFormat/>
    <w:rPr/>
  </w:style>
  <w:style w:type="character" w:styleId="WW-WW8Num1ztrue3111111111111">
    <w:name w:val="WW-WW8Num1ztrue3111111111111"/>
    <w:qFormat/>
    <w:rPr/>
  </w:style>
  <w:style w:type="character" w:styleId="WW-WW8Num1ztrue4111111111111">
    <w:name w:val="WW-WW8Num1ztrue4111111111111"/>
    <w:qFormat/>
    <w:rPr/>
  </w:style>
  <w:style w:type="character" w:styleId="WW-WW8Num1ztrue5111111111111">
    <w:name w:val="WW-WW8Num1ztrue5111111111111"/>
    <w:qFormat/>
    <w:rPr/>
  </w:style>
  <w:style w:type="character" w:styleId="WW-WW8Num1ztrue6111111111111">
    <w:name w:val="WW-WW8Num1ztrue6111111111111"/>
    <w:qFormat/>
    <w:rPr/>
  </w:style>
  <w:style w:type="character" w:styleId="2">
    <w:name w:val="Основной шрифт абзаца2"/>
    <w:qFormat/>
    <w:rPr/>
  </w:style>
  <w:style w:type="character" w:styleId="1">
    <w:name w:val="Основной шрифт абзаца1"/>
    <w:qFormat/>
    <w:rPr/>
  </w:style>
  <w:style w:type="paragraph" w:styleId="Style10">
    <w:name w:val="Заголовок"/>
    <w:basedOn w:val="Normal"/>
    <w:next w:val="BodyText"/>
    <w:qFormat/>
    <w:pPr>
      <w:keepNext w:val="true"/>
      <w:spacing w:before="240" w:after="120"/>
    </w:pPr>
    <w:rPr>
      <w:rFonts w:ascii="Arial" w:hAnsi="Arial" w:eastAsia="Arial Unicode MS" w:cs="Mangal"/>
      <w:sz w:val="28"/>
      <w:szCs w:val="28"/>
    </w:rPr>
  </w:style>
  <w:style w:type="paragraph" w:styleId="BodyText">
    <w:name w:val="Body Text"/>
    <w:basedOn w:val="Normal"/>
    <w:pPr>
      <w:jc w:val="center"/>
    </w:pPr>
    <w:rPr>
      <w:b/>
      <w:bCs/>
      <w:sz w:val="48"/>
    </w:rPr>
  </w:style>
  <w:style w:type="paragraph" w:styleId="List">
    <w:name w:val="List"/>
    <w:basedOn w:val="BodyText"/>
    <w:pPr/>
    <w:rPr>
      <w:rFonts w:cs="Mangal"/>
    </w:rPr>
  </w:style>
  <w:style w:type="paragraph" w:styleId="Caption">
    <w:name w:val="Caption"/>
    <w:basedOn w:val="Normal"/>
    <w:qFormat/>
    <w:pPr>
      <w:suppressLineNumbers/>
      <w:spacing w:before="120" w:after="120"/>
    </w:pPr>
    <w:rPr>
      <w:rFonts w:cs="Arial"/>
      <w:i/>
      <w:iCs/>
      <w:sz w:val="24"/>
      <w:szCs w:val="24"/>
    </w:rPr>
  </w:style>
  <w:style w:type="paragraph" w:styleId="Style11">
    <w:name w:val="Покажчик"/>
    <w:basedOn w:val="Normal"/>
    <w:qFormat/>
    <w:pPr>
      <w:suppressLineNumbers/>
    </w:pPr>
    <w:rPr>
      <w:rFonts w:cs="Arial"/>
    </w:rPr>
  </w:style>
  <w:style w:type="paragraph" w:styleId="Style12">
    <w:name w:val="Название объекта"/>
    <w:basedOn w:val="Normal"/>
    <w:qFormat/>
    <w:pPr>
      <w:suppressLineNumbers/>
      <w:spacing w:before="120" w:after="120"/>
    </w:pPr>
    <w:rPr>
      <w:rFonts w:cs="Mangal"/>
      <w:i/>
      <w:iCs/>
      <w:sz w:val="28"/>
      <w:szCs w:val="24"/>
    </w:rPr>
  </w:style>
  <w:style w:type="paragraph" w:styleId="21">
    <w:name w:val="Указатель2"/>
    <w:basedOn w:val="Normal"/>
    <w:qFormat/>
    <w:pPr>
      <w:suppressLineNumbers/>
    </w:pPr>
    <w:rPr>
      <w:rFonts w:cs="Mangal"/>
    </w:rPr>
  </w:style>
  <w:style w:type="paragraph" w:styleId="11">
    <w:name w:val="Название объекта1"/>
    <w:basedOn w:val="Normal"/>
    <w:qFormat/>
    <w:pPr>
      <w:suppressLineNumbers/>
      <w:spacing w:before="120" w:after="120"/>
    </w:pPr>
    <w:rPr>
      <w:rFonts w:cs="Mangal"/>
      <w:i/>
      <w:iCs/>
      <w:sz w:val="24"/>
      <w:szCs w:val="24"/>
    </w:rPr>
  </w:style>
  <w:style w:type="paragraph" w:styleId="12">
    <w:name w:val="Указатель1"/>
    <w:basedOn w:val="Normal"/>
    <w:qFormat/>
    <w:pPr>
      <w:suppressLineNumbers/>
    </w:pPr>
    <w:rPr>
      <w:rFonts w:cs="Mangal"/>
    </w:rPr>
  </w:style>
  <w:style w:type="paragraph" w:styleId="Style13">
    <w:name w:val="Текст выноски"/>
    <w:basedOn w:val="Normal"/>
    <w:qFormat/>
    <w:pPr/>
    <w:rPr>
      <w:rFonts w:ascii="Tahoma" w:hAnsi="Tahoma" w:cs="Tahoma"/>
      <w:sz w:val="16"/>
      <w:szCs w:val="16"/>
    </w:rPr>
  </w:style>
  <w:style w:type="paragraph" w:styleId="Style14">
    <w:name w:val="Верхній і нижній колонтитули"/>
    <w:basedOn w:val="Normal"/>
    <w:qFormat/>
    <w:pPr/>
    <w:rPr/>
  </w:style>
  <w:style w:type="paragraph" w:styleId="Header">
    <w:name w:val="Header"/>
    <w:basedOn w:val="Normal"/>
    <w:pPr>
      <w:tabs>
        <w:tab w:val="clear" w:pos="708"/>
        <w:tab w:val="center" w:pos="4677" w:leader="none"/>
        <w:tab w:val="right" w:pos="9355" w:leader="none"/>
      </w:tabs>
    </w:pPr>
    <w:rPr/>
  </w:style>
  <w:style w:type="paragraph" w:styleId="Footer">
    <w:name w:val="Footer"/>
    <w:basedOn w:val="Normal"/>
    <w:pPr>
      <w:tabs>
        <w:tab w:val="clear" w:pos="708"/>
        <w:tab w:val="center" w:pos="4677" w:leader="none"/>
        <w:tab w:val="right" w:pos="9355" w:leader="none"/>
      </w:tabs>
    </w:pPr>
    <w:rPr/>
  </w:style>
  <w:style w:type="numbering" w:styleId="WW8Num1">
    <w:name w:val="WW8Num1"/>
    <w:qFormat/>
  </w:style>
  <w:style w:type="numbering" w:styleId="WW8Num2">
    <w:name w:val="WW8Num2"/>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409</TotalTime>
  <Application>LibreOffice/7.6.4.1$Windows_X86_64 LibreOffice_project/e19e193f88cd6c0525a17fb7a176ed8e6a3e2aa1</Application>
  <AppVersion>15.0000</AppVersion>
  <Pages>2</Pages>
  <Words>468</Words>
  <Characters>3040</Characters>
  <CharactersWithSpaces>3672</CharactersWithSpaces>
  <Paragraphs>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2021-05-27T19:56:00Z</dcterms:created>
  <dc:creator>tanya_l</dc:creator>
  <dc:description/>
  <dc:language>uk-UA</dc:language>
  <cp:lastModifiedBy/>
  <cp:lastPrinted>2025-04-02T10:25:52Z</cp:lastPrinted>
  <dcterms:modified xsi:type="dcterms:W3CDTF">2025-04-08T16:20:45Z</dcterms:modified>
  <cp:revision>40</cp:revision>
  <dc:subject/>
  <dc:title> </dc:title>
</cp:coreProperties>
</file>

<file path=docProps/custom.xml><?xml version="1.0" encoding="utf-8"?>
<Properties xmlns="http://schemas.openxmlformats.org/officeDocument/2006/custom-properties" xmlns:vt="http://schemas.openxmlformats.org/officeDocument/2006/docPropsVTypes"/>
</file>