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pPr>
      <w:r>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rFonts w:eastAsia="Times New Roman" w:cs="Times New Roman"/>
          <w:b w:val="false"/>
          <w:bCs w:val="false"/>
          <w:color w:val="auto"/>
          <w:spacing w:val="-6"/>
          <w:kern w:val="0"/>
          <w:sz w:val="28"/>
          <w:szCs w:val="28"/>
          <w:lang w:val="uk-UA" w:eastAsia="zh-CN" w:bidi="ar-SA"/>
        </w:rPr>
        <w:t xml:space="preserve">Про надання </w:t>
      </w:r>
      <w:r>
        <w:rPr>
          <w:rFonts w:eastAsia="Times New Roman" w:cs="Times New Roman"/>
          <w:b w:val="false"/>
          <w:bCs w:val="false"/>
          <w:color w:val="auto"/>
          <w:spacing w:val="4"/>
          <w:kern w:val="0"/>
          <w:sz w:val="28"/>
          <w:szCs w:val="28"/>
          <w:lang w:val="uk-UA" w:eastAsia="zh-CN" w:bidi="ar-SA"/>
        </w:rPr>
        <w:t>ПрАТ «СКФ УКРАЇНА»,</w:t>
      </w:r>
    </w:p>
    <w:p>
      <w:pPr>
        <w:pStyle w:val="Normal"/>
        <w:rPr>
          <w:sz w:val="28"/>
          <w:szCs w:val="28"/>
        </w:rPr>
      </w:pPr>
      <w:r>
        <w:rPr>
          <w:rFonts w:eastAsia="Times New Roman" w:cs="Times New Roman"/>
          <w:b w:val="false"/>
          <w:bCs w:val="false"/>
          <w:color w:val="auto"/>
          <w:spacing w:val="4"/>
          <w:kern w:val="0"/>
          <w:sz w:val="28"/>
          <w:szCs w:val="28"/>
          <w:lang w:val="uk-UA" w:eastAsia="zh-CN" w:bidi="ar-SA"/>
        </w:rPr>
        <w:t xml:space="preserve">ТзОВ «Підшипник - Автосервіс» </w:t>
      </w:r>
      <w:r>
        <w:rPr>
          <w:rFonts w:eastAsia="Times New Roman" w:cs="Times New Roman"/>
          <w:b w:val="false"/>
          <w:bCs w:val="false"/>
          <w:color w:val="auto"/>
          <w:spacing w:val="-6"/>
          <w:kern w:val="0"/>
          <w:sz w:val="28"/>
          <w:szCs w:val="28"/>
          <w:lang w:val="uk-UA" w:eastAsia="zh-CN" w:bidi="ar-SA"/>
        </w:rPr>
        <w:t>доз-</w:t>
      </w:r>
    </w:p>
    <w:p>
      <w:pPr>
        <w:pStyle w:val="Normal"/>
        <w:rPr>
          <w:sz w:val="28"/>
          <w:szCs w:val="28"/>
        </w:rPr>
      </w:pPr>
      <w:r>
        <w:rPr>
          <w:rFonts w:eastAsia="Times New Roman" w:cs="Times New Roman"/>
          <w:b w:val="false"/>
          <w:bCs w:val="false"/>
          <w:color w:val="auto"/>
          <w:spacing w:val="-6"/>
          <w:kern w:val="0"/>
          <w:sz w:val="28"/>
          <w:szCs w:val="28"/>
          <w:lang w:val="uk-UA" w:eastAsia="zh-CN" w:bidi="ar-SA"/>
        </w:rPr>
        <w:t>волу на розроблення технічної докумен-</w:t>
      </w:r>
    </w:p>
    <w:p>
      <w:pPr>
        <w:pStyle w:val="Normal"/>
        <w:rPr>
          <w:sz w:val="28"/>
          <w:szCs w:val="28"/>
        </w:rPr>
      </w:pPr>
      <w:r>
        <w:rPr>
          <w:rFonts w:eastAsia="Times New Roman" w:cs="Times New Roman"/>
          <w:b w:val="false"/>
          <w:bCs w:val="false"/>
          <w:color w:val="auto"/>
          <w:spacing w:val="-6"/>
          <w:kern w:val="0"/>
          <w:sz w:val="28"/>
          <w:szCs w:val="28"/>
          <w:lang w:val="uk-UA" w:eastAsia="zh-CN" w:bidi="ar-SA"/>
        </w:rPr>
        <w:t>тації із землеустрою щодо встановлення</w:t>
      </w:r>
    </w:p>
    <w:p>
      <w:pPr>
        <w:pStyle w:val="Normal"/>
        <w:rPr>
          <w:sz w:val="28"/>
          <w:szCs w:val="28"/>
        </w:rPr>
      </w:pPr>
      <w:r>
        <w:rPr>
          <w:rFonts w:eastAsia="Times New Roman" w:cs="Times New Roman"/>
          <w:b w:val="false"/>
          <w:bCs w:val="false"/>
          <w:color w:val="auto"/>
          <w:spacing w:val="-6"/>
          <w:kern w:val="0"/>
          <w:sz w:val="28"/>
          <w:szCs w:val="28"/>
          <w:lang w:val="uk-UA" w:eastAsia="zh-CN" w:bidi="ar-SA"/>
        </w:rPr>
        <w:t>(відновлення)    меж    земельної ділянки</w:t>
      </w:r>
    </w:p>
    <w:p>
      <w:pPr>
        <w:pStyle w:val="Normal"/>
        <w:rPr>
          <w:sz w:val="28"/>
          <w:szCs w:val="28"/>
        </w:rPr>
      </w:pPr>
      <w:r>
        <w:rPr>
          <w:rFonts w:eastAsia="Times New Roman" w:cs="Times New Roman"/>
          <w:b w:val="false"/>
          <w:bCs w:val="false"/>
          <w:color w:val="auto"/>
          <w:spacing w:val="-6"/>
          <w:kern w:val="0"/>
          <w:sz w:val="28"/>
          <w:szCs w:val="28"/>
          <w:lang w:val="uk-UA" w:eastAsia="zh-CN" w:bidi="ar-SA"/>
        </w:rPr>
        <w:t xml:space="preserve">в  натурі  (на місцевості)  на  </w:t>
      </w:r>
      <w:r>
        <w:rPr>
          <w:rFonts w:eastAsia="Times New Roman" w:cs="Times New Roman"/>
          <w:b w:val="false"/>
          <w:bCs/>
          <w:i w:val="false"/>
          <w:iCs w:val="false"/>
          <w:color w:val="auto"/>
          <w:spacing w:val="-6"/>
          <w:kern w:val="0"/>
          <w:sz w:val="28"/>
          <w:szCs w:val="28"/>
          <w:lang w:val="uk-UA" w:eastAsia="zh-CN" w:bidi="ar-SA"/>
        </w:rPr>
        <w:t>вул. Вироб-</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ничій, 34</w:t>
      </w:r>
      <w:r>
        <w:rPr>
          <w:rFonts w:eastAsia="Times New Roman" w:cs="Times New Roman"/>
          <w:b w:val="false"/>
          <w:bCs/>
          <w:color w:val="000000"/>
          <w:spacing w:val="4"/>
          <w:kern w:val="0"/>
          <w:sz w:val="28"/>
          <w:szCs w:val="28"/>
          <w:lang w:val="uk-UA" w:eastAsia="zh-CN" w:bidi="ar-SA"/>
        </w:rPr>
        <w:t xml:space="preserve"> </w:t>
      </w:r>
      <w:r>
        <w:rPr>
          <w:rFonts w:eastAsia="Times New Roman" w:cs="Times New Roman"/>
          <w:b w:val="false"/>
          <w:bCs w:val="false"/>
          <w:color w:val="auto"/>
          <w:spacing w:val="-6"/>
          <w:kern w:val="0"/>
          <w:sz w:val="28"/>
          <w:szCs w:val="28"/>
          <w:lang w:val="uk-UA" w:eastAsia="zh-CN" w:bidi="ar-SA"/>
        </w:rPr>
        <w:t>у м. Луцьку</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suppressAutoHyphens w:val="true"/>
        <w:overflowPunct w:val="tru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Розглянувши заяву ПРИВАТНОГО АКЦІОНЕРНОГО ТОВАРИСТВА «СКФ УКРАЇНА», Товариства з обмеженою відповідальністю </w:t>
      </w:r>
      <w:r>
        <w:rPr>
          <w:rFonts w:eastAsia="Times New Roman" w:cs="Times New Roman"/>
          <w:b w:val="false"/>
          <w:bCs w:val="false"/>
          <w:color w:val="auto"/>
          <w:spacing w:val="4"/>
          <w:kern w:val="0"/>
          <w:sz w:val="28"/>
          <w:szCs w:val="28"/>
          <w:lang w:val="uk-UA" w:eastAsia="zh-CN" w:bidi="ar-SA"/>
        </w:rPr>
        <w:t xml:space="preserve">«Підшипник - Автосервіс» </w:t>
      </w:r>
      <w:r>
        <w:rPr>
          <w:rFonts w:eastAsia="Times New Roman" w:cs="Times New Roman"/>
          <w:b w:val="false"/>
          <w:bCs w:val="false"/>
          <w:color w:val="auto"/>
          <w:spacing w:val="-6"/>
          <w:kern w:val="0"/>
          <w:sz w:val="28"/>
          <w:szCs w:val="28"/>
          <w:lang w:val="uk-UA" w:eastAsia="zh-CN" w:bidi="ar-SA"/>
        </w:rPr>
        <w:t xml:space="preserve">про надання дозволу на розроблення технічної документації із землеустрою щодо </w:t>
      </w:r>
      <w:r>
        <w:rPr>
          <w:rFonts w:eastAsia="Times New Roman" w:cs="Times New Roman"/>
          <w:b w:val="false"/>
          <w:bCs/>
          <w:i w:val="false"/>
          <w:iCs w:val="false"/>
          <w:color w:val="000000"/>
          <w:spacing w:val="-6"/>
          <w:kern w:val="0"/>
          <w:sz w:val="28"/>
          <w:szCs w:val="28"/>
          <w:shd w:fill="FFFFFF" w:val="clear"/>
          <w:lang w:val="uk-UA" w:eastAsia="zh-CN" w:bidi="ar-SA"/>
        </w:rPr>
        <w:t xml:space="preserve">встановлення (відновлення) меж земельної ділянки в натурі (на місцевості) на вул. Виробничій (вул. Боженка), 34 у м. Луцьку, </w:t>
      </w:r>
      <w:r>
        <w:rPr>
          <w:rFonts w:eastAsia="Times New Roman" w:cs="Times New Roman"/>
          <w:b w:val="false"/>
          <w:bCs/>
          <w:i w:val="false"/>
          <w:iCs w:val="false"/>
          <w:caps w:val="false"/>
          <w:smallCaps w:val="false"/>
          <w:color w:val="000000"/>
          <w:spacing w:val="-6"/>
          <w:kern w:val="0"/>
          <w:sz w:val="28"/>
          <w:szCs w:val="28"/>
          <w:highlight w:val="white"/>
          <w:shd w:fill="FFFFFF" w:val="clear"/>
          <w:lang w:val="uk-UA" w:eastAsia="zh-CN" w:bidi="ar-SA"/>
        </w:rPr>
        <w:t>враховуючи договір № 197-</w:t>
      </w:r>
      <w:r>
        <w:rPr>
          <w:rFonts w:eastAsia="Times New Roman" w:cs="Times New Roman"/>
          <w:b w:val="false"/>
          <w:bCs/>
          <w:i w:val="false"/>
          <w:iCs w:val="false"/>
          <w:caps w:val="false"/>
          <w:smallCaps w:val="false"/>
          <w:color w:val="000000"/>
          <w:spacing w:val="-6"/>
          <w:kern w:val="0"/>
          <w:sz w:val="28"/>
          <w:szCs w:val="28"/>
          <w:highlight w:val="white"/>
          <w:shd w:fill="FFFFFF" w:val="clear"/>
          <w:lang w:val="en-US" w:eastAsia="zh-CN" w:bidi="ar-SA"/>
        </w:rPr>
        <w:t xml:space="preserve">L </w:t>
      </w:r>
      <w:r>
        <w:rPr>
          <w:rFonts w:eastAsia="Times New Roman" w:cs="Times New Roman"/>
          <w:b w:val="false"/>
          <w:bCs/>
          <w:i w:val="false"/>
          <w:iCs w:val="false"/>
          <w:caps w:val="false"/>
          <w:smallCaps w:val="false"/>
          <w:color w:val="000000"/>
          <w:spacing w:val="-6"/>
          <w:kern w:val="0"/>
          <w:sz w:val="28"/>
          <w:szCs w:val="28"/>
          <w:highlight w:val="white"/>
          <w:shd w:fill="FFFFFF" w:val="clear"/>
          <w:lang w:val="uk-UA" w:eastAsia="zh-CN" w:bidi="ar-SA"/>
        </w:rPr>
        <w:t xml:space="preserve">купівлі-продажу майна від 29.05.2003, відповідно до якого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ПРИВАТНИМ АКЦІОНЕРНИМ ТОВАРИСТВОМ «СКФ УКРАЇНА»</w:t>
      </w:r>
      <w:r>
        <w:rPr>
          <w:rFonts w:eastAsia="Times New Roman" w:cs="Times New Roman"/>
          <w:b w:val="false"/>
          <w:bCs w:val="false"/>
          <w:i w:val="false"/>
          <w:iCs w:val="false"/>
          <w:caps w:val="false"/>
          <w:smallCaps w:val="false"/>
          <w:color w:val="000000"/>
          <w:spacing w:val="4"/>
          <w:kern w:val="0"/>
          <w:sz w:val="28"/>
          <w:szCs w:val="28"/>
          <w:highlight w:val="white"/>
          <w:shd w:fill="FFFFFF" w:val="clear"/>
          <w:lang w:val="uk-UA" w:eastAsia="zh-CN" w:bidi="ar-SA"/>
        </w:rPr>
        <w:t xml:space="preserve"> було відчужено </w:t>
      </w:r>
      <w:r>
        <w:rPr>
          <w:rFonts w:eastAsia="Times New Roman" w:cs="Times New Roman"/>
          <w:b w:val="false"/>
          <w:bCs/>
          <w:i w:val="false"/>
          <w:iCs w:val="false"/>
          <w:caps w:val="false"/>
          <w:smallCaps w:val="false"/>
          <w:color w:val="000000"/>
          <w:spacing w:val="-6"/>
          <w:kern w:val="0"/>
          <w:sz w:val="28"/>
          <w:szCs w:val="28"/>
          <w:highlight w:val="white"/>
          <w:shd w:fill="FFFFFF" w:val="clear"/>
          <w:lang w:val="uk-UA" w:eastAsia="zh-CN" w:bidi="ar-SA"/>
        </w:rPr>
        <w:t xml:space="preserve">право власності на </w:t>
      </w:r>
      <w:r>
        <w:rPr>
          <w:rFonts w:eastAsia="Times New Roman" w:cs="Times New Roman"/>
          <w:b w:val="false"/>
          <w:bCs w:val="false"/>
          <w:i w:val="false"/>
          <w:iCs w:val="false"/>
          <w:caps w:val="false"/>
          <w:smallCaps w:val="false"/>
          <w:color w:val="000000"/>
          <w:spacing w:val="4"/>
          <w:kern w:val="0"/>
          <w:sz w:val="28"/>
          <w:szCs w:val="28"/>
          <w:highlight w:val="white"/>
          <w:shd w:fill="FFFFFF" w:val="clear"/>
          <w:lang w:val="uk-UA" w:eastAsia="zh-CN" w:bidi="ar-SA"/>
        </w:rPr>
        <w:t>вантажну площадку</w:t>
      </w:r>
      <w:r>
        <w:rPr>
          <w:rFonts w:eastAsia="Times New Roman" w:cs="Times New Roman"/>
          <w:b/>
          <w:bCs/>
          <w:i w:val="false"/>
          <w:iCs w:val="false"/>
          <w:caps w:val="false"/>
          <w:smallCaps w:val="false"/>
          <w:color w:val="000000"/>
          <w:spacing w:val="4"/>
          <w:kern w:val="0"/>
          <w:sz w:val="28"/>
          <w:szCs w:val="28"/>
          <w:highlight w:val="white"/>
          <w:shd w:fill="FFFFFF" w:val="clear"/>
          <w:lang w:val="uk-UA" w:eastAsia="zh-CN" w:bidi="ar-SA"/>
        </w:rPr>
        <w:t xml:space="preserve">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 xml:space="preserve">Товариству з обмеженою відповідальністю </w:t>
      </w:r>
      <w:r>
        <w:rPr>
          <w:rFonts w:eastAsia="Times New Roman" w:cs="Times New Roman"/>
          <w:b w:val="false"/>
          <w:bCs w:val="false"/>
          <w:i w:val="false"/>
          <w:iCs w:val="false"/>
          <w:caps w:val="false"/>
          <w:smallCaps w:val="false"/>
          <w:color w:val="000000"/>
          <w:spacing w:val="4"/>
          <w:kern w:val="0"/>
          <w:sz w:val="28"/>
          <w:szCs w:val="28"/>
          <w:highlight w:val="white"/>
          <w:shd w:fill="FFFFFF" w:val="clear"/>
          <w:lang w:val="uk-UA" w:eastAsia="zh-CN" w:bidi="ar-SA"/>
        </w:rPr>
        <w:t xml:space="preserve">«Підшипник - Автосервіс», </w:t>
      </w:r>
      <w:r>
        <w:rPr>
          <w:rFonts w:eastAsia="Times New Roman" w:cs="Times New Roman"/>
          <w:b w:val="false"/>
          <w:bCs/>
          <w:i w:val="false"/>
          <w:iCs w:val="false"/>
          <w:caps w:val="false"/>
          <w:smallCaps w:val="false"/>
          <w:color w:val="000000"/>
          <w:spacing w:val="-6"/>
          <w:kern w:val="0"/>
          <w:sz w:val="28"/>
          <w:szCs w:val="28"/>
          <w:highlight w:val="white"/>
          <w:shd w:fill="FFFFFF" w:val="clear"/>
          <w:lang w:val="uk-UA" w:eastAsia="zh-CN" w:bidi="ar-SA"/>
        </w:rPr>
        <w:t>довідку ПРИВАТНОГО АКЦІОНЕРНОГО ТОВАРИСТВА «СКФ УКРАЇНА» про балансову належність технологічної естакади від 18.03.2025 № 9513/39, договір орен</w:t>
      </w:r>
      <w:r>
        <w:rPr>
          <w:rFonts w:eastAsia="Times New Roman" w:cs="Times New Roman"/>
          <w:b w:val="false"/>
          <w:bCs w:val="false"/>
          <w:color w:val="auto"/>
          <w:spacing w:val="-6"/>
          <w:kern w:val="0"/>
          <w:sz w:val="28"/>
          <w:szCs w:val="28"/>
          <w:lang w:val="uk-UA" w:eastAsia="zh-CN" w:bidi="ar-SA"/>
        </w:rPr>
        <w:t xml:space="preserve">ди землі, укладений між Луцькою міською радою та </w:t>
      </w:r>
      <w:r>
        <w:rPr>
          <w:rFonts w:eastAsia="Times New Roman" w:cs="Times New Roman"/>
          <w:b w:val="false"/>
          <w:bCs/>
          <w:i w:val="false"/>
          <w:iCs w:val="false"/>
          <w:caps w:val="false"/>
          <w:smallCaps w:val="false"/>
          <w:color w:val="000000"/>
          <w:spacing w:val="-6"/>
          <w:kern w:val="0"/>
          <w:sz w:val="28"/>
          <w:szCs w:val="28"/>
          <w:highlight w:val="white"/>
          <w:shd w:fill="FFFFFF" w:val="clear"/>
          <w:lang w:val="uk-UA" w:eastAsia="zh-CN" w:bidi="ar-SA"/>
        </w:rPr>
        <w:t>ПРИВАТНИМ АКЦІОНЕРНИМ ТОВАРИСТВОМ «СКФ УКРАЇНА»</w:t>
      </w:r>
      <w:r>
        <w:rPr>
          <w:rFonts w:eastAsia="Times New Roman" w:cs="Times New Roman"/>
          <w:b w:val="false"/>
          <w:bCs w:val="false"/>
          <w:i w:val="false"/>
          <w:caps w:val="false"/>
          <w:smallCaps w:val="false"/>
          <w:color w:val="000000"/>
          <w:spacing w:val="-4"/>
          <w:kern w:val="0"/>
          <w:sz w:val="28"/>
          <w:szCs w:val="28"/>
          <w:lang w:val="uk-UA" w:eastAsia="zh-CN" w:bidi="ar-SA"/>
        </w:rPr>
        <w:t xml:space="preserve">, </w:t>
      </w:r>
      <w:r>
        <w:rPr>
          <w:rFonts w:eastAsia="Times New Roman" w:cs="Times New Roman"/>
          <w:b w:val="false"/>
          <w:bCs w:val="false"/>
          <w:color w:val="auto"/>
          <w:spacing w:val="-6"/>
          <w:kern w:val="0"/>
          <w:sz w:val="28"/>
          <w:szCs w:val="28"/>
          <w:lang w:val="uk-UA" w:eastAsia="zh-CN" w:bidi="ar-SA"/>
        </w:rPr>
        <w:t xml:space="preserve">зареєстрований в книзі записів державної реєстрації договорів оренди землі 20.04.2006 за № 040607700122, строк дії якого закінчився,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акт приймання-передачі земельної ділянки від 11.11.2014,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рішення Луцької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із змінами, внесеними рішенням від 28.09.2022 № 35/52 “Про внесення змін до рішення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w:t>
      </w:r>
      <w:r>
        <w:rPr>
          <w:rFonts w:eastAsia="Times New Roman" w:cs="Times New Roman"/>
          <w:b w:val="false"/>
          <w:bCs w:val="false"/>
          <w:color w:val="auto"/>
          <w:spacing w:val="-6"/>
          <w:kern w:val="0"/>
          <w:sz w:val="28"/>
          <w:szCs w:val="28"/>
          <w:lang w:val="uk-UA" w:eastAsia="zh-CN" w:bidi="ar-SA"/>
        </w:rPr>
        <w:t xml:space="preserve">керуючись статтями 12, 79-1, 93, 120, 122-123, частиною другою статті 134 Земельного кодексу України, </w:t>
      </w:r>
      <w:r>
        <w:rPr>
          <w:rFonts w:eastAsia="Times New Roman" w:cs="Times New Roman"/>
          <w:b w:val="false"/>
          <w:bCs w:val="false"/>
          <w:i w:val="false"/>
          <w:iCs w:val="false"/>
          <w:color w:val="auto"/>
          <w:spacing w:val="-6"/>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6"/>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6"/>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overflowPunct w:val="tru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1. Надати </w:t>
      </w:r>
      <w:r>
        <w:rPr>
          <w:rFonts w:eastAsia="Times New Roman" w:cs="Times New Roman"/>
          <w:b w:val="false"/>
          <w:bCs w:val="false"/>
          <w:i w:val="false"/>
          <w:caps w:val="false"/>
          <w:smallCaps w:val="false"/>
          <w:color w:val="auto"/>
          <w:spacing w:val="-6"/>
          <w:kern w:val="0"/>
          <w:sz w:val="28"/>
          <w:szCs w:val="28"/>
          <w:lang w:val="uk-UA" w:eastAsia="zh-CN" w:bidi="ar-SA"/>
        </w:rPr>
        <w:t xml:space="preserve">ПРИВАТНОМУ АКЦІОНЕРНОМУ ТОВАРИСТВУ «СКФ УКРАЇНА», Товариству з обмеженою відповідальністю </w:t>
      </w:r>
      <w:r>
        <w:rPr>
          <w:rFonts w:eastAsia="Times New Roman" w:cs="Times New Roman"/>
          <w:b w:val="false"/>
          <w:bCs w:val="false"/>
          <w:i w:val="false"/>
          <w:caps w:val="false"/>
          <w:smallCaps w:val="false"/>
          <w:color w:val="auto"/>
          <w:spacing w:val="4"/>
          <w:kern w:val="0"/>
          <w:sz w:val="28"/>
          <w:szCs w:val="28"/>
          <w:lang w:val="uk-UA" w:eastAsia="zh-CN" w:bidi="ar-SA"/>
        </w:rPr>
        <w:t>«Підшипник - Автосервіс»</w:t>
      </w:r>
      <w:r>
        <w:rPr>
          <w:rFonts w:eastAsia="Times New Roman" w:cs="Times New Roman"/>
          <w:b w:val="false"/>
          <w:bCs w:val="false"/>
          <w:color w:val="auto"/>
          <w:spacing w:val="-6"/>
          <w:kern w:val="0"/>
          <w:sz w:val="28"/>
          <w:szCs w:val="28"/>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0"/>
          <w:spacing w:val="-6"/>
          <w:kern w:val="0"/>
          <w:sz w:val="28"/>
          <w:szCs w:val="28"/>
          <w:shd w:fill="FFFFFF" w:val="clear"/>
          <w:lang w:val="uk-UA" w:eastAsia="zh-CN" w:bidi="ar-SA"/>
        </w:rPr>
        <w:t>вул. Виробничій, 34</w:t>
      </w:r>
      <w:r>
        <w:rPr>
          <w:rFonts w:eastAsia="Times New Roman" w:cs="Times New Roman"/>
          <w:b w:val="false"/>
          <w:bCs w:val="false"/>
          <w:color w:val="000000"/>
          <w:spacing w:val="-6"/>
          <w:kern w:val="0"/>
          <w:sz w:val="28"/>
          <w:szCs w:val="28"/>
          <w:shd w:fill="FFFFFF" w:val="clear"/>
          <w:lang w:val="uk-UA" w:eastAsia="zh-CN" w:bidi="ar-SA"/>
        </w:rPr>
        <w:t xml:space="preserve"> </w:t>
      </w:r>
      <w:r>
        <w:rPr>
          <w:rFonts w:eastAsia="Times New Roman" w:cs="Times New Roman"/>
          <w:b w:val="false"/>
          <w:bCs w:val="false"/>
          <w:color w:val="auto"/>
          <w:spacing w:val="-6"/>
          <w:kern w:val="0"/>
          <w:sz w:val="28"/>
          <w:szCs w:val="28"/>
          <w:lang w:val="uk-UA" w:eastAsia="zh-CN" w:bidi="ar-SA"/>
        </w:rPr>
        <w:t>у м. Луцьку, площею 0,3418 га.</w:t>
      </w:r>
    </w:p>
    <w:p>
      <w:pPr>
        <w:pStyle w:val="Normal"/>
        <w:widowControl w:val="false"/>
        <w:suppressAutoHyphens w:val="true"/>
        <w:overflowPunct w:val="tru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2. Зобов’язати </w:t>
      </w:r>
      <w:r>
        <w:rPr>
          <w:rFonts w:eastAsia="Times New Roman" w:cs="Times New Roman"/>
          <w:b w:val="false"/>
          <w:bCs w:val="false"/>
          <w:i w:val="false"/>
          <w:caps w:val="false"/>
          <w:smallCaps w:val="false"/>
          <w:color w:val="000000"/>
          <w:spacing w:val="-6"/>
          <w:kern w:val="0"/>
          <w:sz w:val="28"/>
          <w:szCs w:val="28"/>
          <w:shd w:fill="FFFFFF" w:val="clear"/>
          <w:lang w:val="uk-UA" w:eastAsia="zh-CN" w:bidi="ar-SA"/>
        </w:rPr>
        <w:t xml:space="preserve">ПРИВАТНЕ АКЦІОНЕРНЕ ТОВАРИСТВО «СКФ УКРАЇНА», Товариство з обмеженою відповідальністю </w:t>
      </w:r>
      <w:r>
        <w:rPr>
          <w:rFonts w:eastAsia="Times New Roman" w:cs="Times New Roman"/>
          <w:b w:val="false"/>
          <w:bCs w:val="false"/>
          <w:i w:val="false"/>
          <w:caps w:val="false"/>
          <w:smallCaps w:val="false"/>
          <w:color w:val="000000"/>
          <w:spacing w:val="4"/>
          <w:kern w:val="0"/>
          <w:sz w:val="28"/>
          <w:szCs w:val="28"/>
          <w:shd w:fill="FFFFFF" w:val="clear"/>
          <w:lang w:val="uk-UA" w:eastAsia="zh-CN" w:bidi="ar-SA"/>
        </w:rPr>
        <w:t>«Підшипник - Автосервіс»</w:t>
      </w:r>
      <w:r>
        <w:rPr>
          <w:rFonts w:eastAsia="Times New Roman" w:cs="Times New Roman"/>
          <w:b w:val="false"/>
          <w:bCs w:val="false"/>
          <w:i w:val="false"/>
          <w:caps w:val="false"/>
          <w:smallCaps w:val="false"/>
          <w:color w:val="000000"/>
          <w:spacing w:val="-6"/>
          <w:kern w:val="0"/>
          <w:sz w:val="28"/>
          <w:szCs w:val="28"/>
          <w:shd w:fill="FFFFFF" w:val="clear"/>
          <w:lang w:val="uk-UA" w:eastAsia="zh-CN" w:bidi="ar-SA"/>
        </w:rPr>
        <w:t xml:space="preserve"> </w:t>
      </w:r>
      <w:r>
        <w:rPr>
          <w:rFonts w:eastAsia="Times New Roman" w:cs="Times New Roman"/>
          <w:b w:val="false"/>
          <w:bCs w:val="false"/>
          <w:color w:val="auto"/>
          <w:spacing w:val="-6"/>
          <w:kern w:val="0"/>
          <w:sz w:val="28"/>
          <w:szCs w:val="28"/>
          <w:lang w:val="uk-UA" w:eastAsia="zh-CN" w:bidi="ar-S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overflowPunct w:val="tru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color w:val="00000A"/>
          <w:sz w:val="28"/>
          <w:szCs w:val="28"/>
          <w:lang w:val="uk-UA" w:eastAsia="zh-CN"/>
        </w:rPr>
      </w:pPr>
      <w:r>
        <w:rPr>
          <w:rFonts w:cs="Times New Roman"/>
          <w:color w:val="00000A"/>
          <w:sz w:val="28"/>
          <w:szCs w:val="28"/>
          <w:lang w:val="uk-UA" w:eastAsia="zh-CN"/>
        </w:rPr>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rFonts w:eastAsia="Times New Roman" w:cs="Times New Roman"/>
          <w:b w:val="false"/>
          <w:bCs w:val="false"/>
          <w:color w:val="auto"/>
          <w:spacing w:val="-6"/>
          <w:kern w:val="0"/>
          <w:sz w:val="28"/>
          <w:szCs w:val="28"/>
          <w:lang w:val="uk-UA" w:eastAsia="zh-CN" w:bidi="ar-S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i w:val="false"/>
          <w:i w:val="false"/>
          <w:iCs w:val="false"/>
          <w:color w:val="000000"/>
          <w:sz w:val="24"/>
          <w:szCs w:val="28"/>
          <w:lang w:val="uk-UA"/>
        </w:rPr>
      </w:pPr>
      <w:r>
        <w:rPr>
          <w:i w:val="false"/>
          <w:iCs w:val="false"/>
          <w:color w:val="000000"/>
          <w:sz w:val="24"/>
          <w:szCs w:val="28"/>
          <w:lang w:val="uk-UA"/>
        </w:rPr>
        <w:t>Туз 777 863</w:t>
      </w:r>
    </w:p>
    <w:sectPr>
      <w:type w:val="nextPage"/>
      <w:pgSz w:w="11906" w:h="16838"/>
      <w:pgMar w:left="1985" w:right="567" w:gutter="0" w:header="0" w:top="795" w:footer="0" w:bottom="181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2">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0"/>
  <w:defaultTabStop w:val="708"/>
  <w:autoHyphenation w:val="true"/>
  <w:hyphenationZone w:val="425"/>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SimSun" w:cs="Times New Roman"/>
      <w:color w:val="00000A"/>
      <w:kern w:val="0"/>
      <w:sz w:val="28"/>
      <w:szCs w:val="24"/>
      <w:lang w:val="ru-RU" w:eastAsia="zh-CN" w:bidi="ar-SA"/>
    </w:rPr>
  </w:style>
  <w:style w:type="paragraph" w:styleId="1">
    <w:name w:val="Heading 1"/>
    <w:basedOn w:val="Normal"/>
    <w:next w:val="Normal"/>
    <w:link w:val="Heading1Char"/>
    <w:qFormat/>
    <w:pPr>
      <w:keepNext w:val="true"/>
      <w:numPr>
        <w:ilvl w:val="0"/>
        <w:numId w:val="1"/>
      </w:numPr>
      <w:jc w:val="center"/>
      <w:outlineLvl w:val="0"/>
    </w:pPr>
    <w:rPr>
      <w:b/>
      <w:bCs/>
      <w:sz w:val="32"/>
      <w:lang w:val="uk-UA"/>
    </w:rPr>
  </w:style>
  <w:style w:type="paragraph" w:styleId="2">
    <w:name w:val="Heading 2"/>
    <w:basedOn w:val="Normal"/>
    <w:next w:val="Normal"/>
    <w:link w:val="Heading2Char"/>
    <w:qFormat/>
    <w:pPr>
      <w:keepNext w:val="true"/>
      <w:numPr>
        <w:ilvl w:val="1"/>
        <w:numId w:val="1"/>
      </w:numPr>
      <w:jc w:val="center"/>
      <w:outlineLvl w:val="1"/>
    </w:pPr>
    <w:rPr>
      <w:b/>
      <w:bCs/>
      <w:sz w:val="36"/>
      <w:lang w:val="uk-UA"/>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color w:val="00000A"/>
      <w:kern w:val="2"/>
      <w:sz w:val="32"/>
      <w:szCs w:val="32"/>
      <w:lang w:val="ru-RU" w:eastAsia="zh-CN"/>
    </w:rPr>
  </w:style>
  <w:style w:type="character" w:styleId="Heading2Char">
    <w:name w:val="Heading 2 Char"/>
    <w:basedOn w:val="DefaultParagraphFont"/>
    <w:qFormat/>
    <w:rPr>
      <w:rFonts w:ascii="Cambria" w:hAnsi="Cambria" w:cs="Times New Roman"/>
      <w:b/>
      <w:bCs/>
      <w:i/>
      <w:iCs/>
      <w:color w:val="00000A"/>
      <w:sz w:val="28"/>
      <w:szCs w:val="28"/>
      <w:lang w:val="ru-RU"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rPr>
  </w:style>
  <w:style w:type="character" w:styleId="WW8Num2z1">
    <w:name w:val="WW8Num2z1"/>
    <w:qFormat/>
    <w:rPr>
      <w:rFonts w:ascii="Courier New" w:hAnsi="Courier New"/>
    </w:rPr>
  </w:style>
  <w:style w:type="character" w:styleId="WW8Num2z2">
    <w:name w:val="WW8Num2z2"/>
    <w:qFormat/>
    <w:rPr>
      <w:rFonts w:ascii="Wingdings" w:hAnsi="Wingdings"/>
    </w:rPr>
  </w:style>
  <w:style w:type="character" w:styleId="WW8Num2z3">
    <w:name w:val="WW8Num2z3"/>
    <w:qFormat/>
    <w:rPr>
      <w:rFonts w:ascii="Symbol" w:hAnsi="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rFonts w:cs="Times New Roman"/>
    </w:rPr>
  </w:style>
  <w:style w:type="character" w:styleId="BodyTextChar">
    <w:name w:val="Body Text Char"/>
    <w:basedOn w:val="DefaultParagraphFont"/>
    <w:qFormat/>
    <w:rPr>
      <w:rFonts w:ascii="Times New Roman" w:hAnsi="Times New Roman" w:cs="Times New Roman"/>
      <w:color w:val="00000A"/>
      <w:sz w:val="24"/>
      <w:szCs w:val="24"/>
      <w:lang w:val="ru-RU" w:eastAsia="zh-CN"/>
    </w:rPr>
  </w:style>
  <w:style w:type="character" w:styleId="BodyTextIndentChar">
    <w:name w:val="Body Text Indent Char"/>
    <w:basedOn w:val="DefaultParagraphFont"/>
    <w:qFormat/>
    <w:rPr>
      <w:rFonts w:ascii="Times New Roman" w:hAnsi="Times New Roman" w:cs="Times New Roman"/>
      <w:color w:val="00000A"/>
      <w:sz w:val="24"/>
      <w:szCs w:val="24"/>
      <w:lang w:val="ru-RU" w:eastAsia="zh-CN"/>
    </w:rPr>
  </w:style>
  <w:style w:type="character" w:styleId="BalloonTextChar">
    <w:name w:val="Balloon Text Char"/>
    <w:basedOn w:val="DefaultParagraphFont"/>
    <w:link w:val="BalloonText"/>
    <w:qFormat/>
    <w:rPr>
      <w:rFonts w:ascii="Times New Roman" w:hAnsi="Times New Roman" w:cs="Times New Roman"/>
      <w:color w:val="00000A"/>
      <w:sz w:val="2"/>
      <w:lang w:val="ru-RU" w:eastAsia="zh-CN"/>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link w:val="BodyTextChar"/>
    <w:pPr>
      <w:spacing w:lineRule="auto" w:line="288"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22">
    <w:name w:val="Название объекта2"/>
    <w:basedOn w:val="Normal"/>
    <w:qFormat/>
    <w:pPr>
      <w:suppressLineNumbers/>
      <w:spacing w:before="120" w:after="120"/>
    </w:pPr>
    <w:rPr>
      <w:rFonts w:cs="Arial"/>
      <w:i/>
      <w:iCs/>
      <w:sz w:val="24"/>
    </w:rPr>
  </w:style>
  <w:style w:type="paragraph" w:styleId="12">
    <w:name w:val="Название объекта1"/>
    <w:basedOn w:val="Normal"/>
    <w:qFormat/>
    <w:pPr>
      <w:suppressLineNumbers/>
      <w:spacing w:before="120" w:after="120"/>
    </w:pPr>
    <w:rPr>
      <w:rFonts w:cs="Arial"/>
      <w:i/>
      <w:iCs/>
    </w:rPr>
  </w:style>
  <w:style w:type="paragraph" w:styleId="Style17">
    <w:name w:val="Body Text Indent"/>
    <w:basedOn w:val="Normal"/>
    <w:link w:val="BodyTextIndentChar"/>
    <w:pPr>
      <w:ind w:left="0" w:right="0" w:firstLine="545"/>
      <w:jc w:val="both"/>
    </w:pPr>
    <w:rPr>
      <w:lang w:val="uk-UA"/>
    </w:rPr>
  </w:style>
  <w:style w:type="paragraph" w:styleId="13">
    <w:name w:val="Текст1"/>
    <w:basedOn w:val="Normal"/>
    <w:qFormat/>
    <w:pPr/>
    <w:rPr>
      <w:rFonts w:ascii="Courier New" w:hAnsi="Courier New" w:cs="Courier New"/>
      <w:sz w:val="20"/>
      <w:szCs w:val="20"/>
    </w:rPr>
  </w:style>
  <w:style w:type="paragraph" w:styleId="BalloonText">
    <w:name w:val="Balloon Text"/>
    <w:basedOn w:val="Normal"/>
    <w:link w:val="BalloonTextChar"/>
    <w:qFormat/>
    <w:pPr/>
    <w:rPr>
      <w:rFonts w:ascii="Tahoma" w:hAnsi="Tahoma" w:cs="Tahoma"/>
      <w:sz w:val="16"/>
      <w:szCs w:val="16"/>
    </w:rPr>
  </w:style>
  <w:style w:type="paragraph" w:styleId="Style18">
    <w:name w:val="Знак Знак Знак Знак Знак Знак"/>
    <w:basedOn w:val="Normal"/>
    <w:qFormat/>
    <w:pPr/>
    <w:rPr>
      <w:rFonts w:ascii="Verdana" w:hAnsi="Verdana" w:eastAsia="MS Mincho;ＭＳ 明朝" w:cs="Verdana"/>
      <w:sz w:val="20"/>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601</TotalTime>
  <Application>LibreOffice/7.4.0.3$Windows_X86_64 LibreOffice_project/f85e47c08ddd19c015c0114a68350214f7066f5a</Application>
  <AppVersion>15.0000</AppVersion>
  <Pages>2</Pages>
  <Words>421</Words>
  <Characters>2788</Characters>
  <CharactersWithSpaces>3425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2022-08-17T11:29:00Z</dcterms:created>
  <dc:creator>*</dc:creator>
  <dc:description/>
  <dc:language>uk-UA</dc:language>
  <cp:lastModifiedBy/>
  <cp:lastPrinted>2025-03-21T09:23:22Z</cp:lastPrinted>
  <dcterms:modified xsi:type="dcterms:W3CDTF">2025-03-21T15:49:48Z</dcterms:modified>
  <cp:revision>268</cp:revision>
  <dc:subject/>
  <dc:title> </dc:title>
</cp:coreProperties>
</file>

<file path=docProps/custom.xml><?xml version="1.0" encoding="utf-8"?>
<Properties xmlns="http://schemas.openxmlformats.org/officeDocument/2006/custom-properties" xmlns:vt="http://schemas.openxmlformats.org/officeDocument/2006/docPropsVTypes"/>
</file>