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3415" cy="653415"/>
                <wp:effectExtent l="0" t="0" r="0" b="0"/>
                <wp:wrapNone/>
                <wp:docPr id="1" name="shapetype_ole_rId2"/>
                <a:graphic xmlns:a="http://schemas.openxmlformats.org/drawingml/2006/main">
                  <a:graphicData uri="http://schemas.microsoft.com/office/word/2010/wordprocessingShape">
                    <wps:wsp>
                      <wps:cNvSpPr/>
                      <wps:spPr>
                        <a:xfrm>
                          <a:off x="0" y="0"/>
                          <a:ext cx="652680" cy="6526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35pt;height:51.3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50256962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    Ліщук   Т.Л</w:t>
      </w:r>
      <w:r>
        <w:rPr>
          <w:szCs w:val="28"/>
        </w:rPr>
        <w:t>.</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22"/>
          <w:szCs w:val="22"/>
        </w:rPr>
        <w:t xml:space="preserve"> </w:t>
      </w:r>
      <w:r>
        <w:rPr>
          <w:szCs w:val="28"/>
        </w:rPr>
        <w:t>на</w:t>
      </w:r>
      <w:r>
        <w:rPr>
          <w:sz w:val="22"/>
          <w:szCs w:val="22"/>
        </w:rPr>
        <w:t xml:space="preserve"> </w:t>
      </w:r>
      <w:r>
        <w:rPr>
          <w:szCs w:val="28"/>
        </w:rPr>
        <w:t>розроблення</w:t>
      </w:r>
      <w:r>
        <w:rPr>
          <w:sz w:val="22"/>
          <w:szCs w:val="22"/>
        </w:rPr>
        <w:t xml:space="preserve"> </w:t>
      </w:r>
      <w:r>
        <w:rPr>
          <w:spacing w:val="-2"/>
          <w:szCs w:val="28"/>
        </w:rPr>
        <w:t>технічної</w:t>
      </w:r>
      <w:r>
        <w:rPr>
          <w:spacing w:val="-2"/>
          <w:sz w:val="22"/>
          <w:szCs w:val="22"/>
        </w:rPr>
        <w:t xml:space="preserve"> </w:t>
      </w:r>
      <w:r>
        <w:rPr>
          <w:szCs w:val="28"/>
        </w:rPr>
        <w:t>докумен-</w:t>
      </w:r>
    </w:p>
    <w:p>
      <w:pPr>
        <w:pStyle w:val="Normal"/>
        <w:widowControl w:val="false"/>
        <w:tabs>
          <w:tab w:val="clear" w:pos="709"/>
          <w:tab w:val="left" w:pos="4395" w:leader="none"/>
          <w:tab w:val="left" w:pos="4678" w:leader="none"/>
          <w:tab w:val="left" w:pos="4962" w:leader="none"/>
        </w:tabs>
        <w:rPr>
          <w:szCs w:val="28"/>
        </w:rPr>
      </w:pPr>
      <w:r>
        <w:rPr>
          <w:spacing w:val="-10"/>
          <w:szCs w:val="28"/>
        </w:rPr>
        <w:t>тації   із   землеустрою</w:t>
      </w:r>
      <w:r>
        <w:rPr>
          <w:spacing w:val="-10"/>
          <w:sz w:val="32"/>
          <w:szCs w:val="32"/>
        </w:rPr>
        <w:t xml:space="preserve">    </w:t>
      </w:r>
      <w:r>
        <w:rPr>
          <w:spacing w:val="-10"/>
          <w:szCs w:val="28"/>
        </w:rPr>
        <w:t>щодо</w:t>
      </w:r>
      <w:r>
        <w:rPr>
          <w:spacing w:val="-10"/>
          <w:sz w:val="28"/>
          <w:szCs w:val="28"/>
        </w:rPr>
        <w:t xml:space="preserve">    </w:t>
      </w:r>
      <w:r>
        <w:rPr>
          <w:spacing w:val="-10"/>
          <w:szCs w:val="28"/>
        </w:rPr>
        <w:t>встановлення</w:t>
      </w:r>
    </w:p>
    <w:p>
      <w:pPr>
        <w:pStyle w:val="Normal"/>
        <w:widowControl w:val="false"/>
        <w:tabs>
          <w:tab w:val="clear" w:pos="709"/>
          <w:tab w:val="left" w:pos="4395" w:leader="none"/>
          <w:tab w:val="left" w:pos="4678" w:leader="none"/>
          <w:tab w:val="left" w:pos="4962" w:leader="none"/>
        </w:tabs>
        <w:rPr>
          <w:szCs w:val="28"/>
        </w:rPr>
      </w:pPr>
      <w:r>
        <w:rPr>
          <w:szCs w:val="28"/>
        </w:rPr>
        <w:t>(відновлення)   меж     земельної</w:t>
      </w:r>
      <w:r>
        <w:rPr>
          <w:sz w:val="28"/>
          <w:szCs w:val="28"/>
        </w:rPr>
        <w:t xml:space="preserve">     </w:t>
      </w:r>
      <w:r>
        <w:rPr>
          <w:spacing w:val="-6"/>
          <w:szCs w:val="28"/>
        </w:rPr>
        <w:t>ділянки</w:t>
      </w:r>
    </w:p>
    <w:p>
      <w:pPr>
        <w:pStyle w:val="Normal"/>
        <w:widowControl w:val="false"/>
        <w:tabs>
          <w:tab w:val="clear" w:pos="709"/>
          <w:tab w:val="left" w:pos="4395" w:leader="none"/>
          <w:tab w:val="left" w:pos="4678" w:leader="none"/>
          <w:tab w:val="left" w:pos="4962" w:leader="none"/>
        </w:tabs>
        <w:rPr>
          <w:szCs w:val="28"/>
        </w:rPr>
      </w:pPr>
      <w:r>
        <w:rPr>
          <w:spacing w:val="-6"/>
          <w:szCs w:val="28"/>
        </w:rPr>
        <w:t>в    натурі    (на     місцевості)    на</w:t>
      </w:r>
      <w:r>
        <w:rPr>
          <w:spacing w:val="-6"/>
          <w:sz w:val="28"/>
          <w:szCs w:val="28"/>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w:t>
      </w:r>
      <w:r>
        <w:rPr>
          <w:spacing w:val="-4"/>
          <w:sz w:val="28"/>
          <w:szCs w:val="28"/>
        </w:rPr>
        <w:t xml:space="preserve">   </w:t>
      </w:r>
      <w:r>
        <w:rPr>
          <w:spacing w:val="-4"/>
          <w:szCs w:val="28"/>
        </w:rPr>
        <w:t xml:space="preserve">№ </w:t>
      </w:r>
      <w:r>
        <w:rPr>
          <w:rFonts w:eastAsia="Times New Roman" w:cs="Times New Roman"/>
          <w:color w:val="1C1C1C"/>
          <w:spacing w:val="-4"/>
          <w:kern w:val="0"/>
          <w:sz w:val="28"/>
          <w:szCs w:val="28"/>
          <w:lang w:val="uk-UA" w:eastAsia="zh-CN" w:bidi="ar-SA"/>
        </w:rPr>
        <w:t xml:space="preserve">367 </w:t>
      </w:r>
      <w:r>
        <w:rPr>
          <w:spacing w:val="-4"/>
          <w:szCs w:val="28"/>
        </w:rPr>
        <w:t>(</w:t>
      </w:r>
      <w:r>
        <w:rPr>
          <w:rFonts w:eastAsia="Times New Roman" w:cs="Times New Roman"/>
          <w:color w:val="auto"/>
          <w:spacing w:val="-4"/>
          <w:kern w:val="0"/>
          <w:sz w:val="28"/>
          <w:szCs w:val="28"/>
          <w:lang w:val="uk-UA" w:eastAsia="zh-CN" w:bidi="ar-SA"/>
        </w:rPr>
        <w:t xml:space="preserve">рілля </w:t>
      </w:r>
      <w:r>
        <w:rPr>
          <w:rFonts w:eastAsia="Times New Roman" w:cs="Times New Roman"/>
          <w:color w:val="auto"/>
          <w:spacing w:val="-4"/>
          <w:kern w:val="0"/>
          <w:sz w:val="28"/>
          <w:szCs w:val="28"/>
          <w:lang w:val="en-US" w:eastAsia="zh-CN" w:bidi="ar-SA"/>
        </w:rPr>
        <w:t xml:space="preserve">— </w:t>
      </w:r>
      <w:r>
        <w:rPr>
          <w:rFonts w:eastAsia="Times New Roman" w:cs="Times New Roman"/>
          <w:color w:val="auto"/>
          <w:kern w:val="0"/>
          <w:sz w:val="28"/>
          <w:szCs w:val="28"/>
          <w:lang w:val="uk-UA" w:eastAsia="zh-CN" w:bidi="ar-SA"/>
        </w:rPr>
        <w:t>орієнтовною</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kern w:val="0"/>
          <w:sz w:val="28"/>
          <w:szCs w:val="28"/>
          <w:lang w:val="uk-UA" w:eastAsia="zh-CN" w:bidi="ar-SA"/>
        </w:rPr>
        <w:t>площею   1,60 га</w:t>
      </w:r>
      <w:r>
        <w:rPr>
          <w:szCs w:val="28"/>
        </w:rPr>
        <w:t xml:space="preserve">)   за   </w:t>
      </w:r>
      <w:r>
        <w:rPr>
          <w:spacing w:val="-4"/>
          <w:szCs w:val="28"/>
        </w:rPr>
        <w:t>межами</w:t>
      </w:r>
      <w:r>
        <w:rPr>
          <w:spacing w:val="-4"/>
          <w:sz w:val="26"/>
          <w:szCs w:val="26"/>
        </w:rPr>
        <w:t xml:space="preserve">     </w:t>
      </w:r>
      <w:r>
        <w:rPr>
          <w:spacing w:val="-8"/>
          <w:szCs w:val="28"/>
        </w:rPr>
        <w:t>населених</w:t>
      </w:r>
    </w:p>
    <w:p>
      <w:pPr>
        <w:pStyle w:val="Normal"/>
        <w:widowControl w:val="false"/>
        <w:tabs>
          <w:tab w:val="clear" w:pos="709"/>
          <w:tab w:val="left" w:pos="4395" w:leader="none"/>
          <w:tab w:val="left" w:pos="4678" w:leader="none"/>
          <w:tab w:val="left" w:pos="4962" w:leader="none"/>
        </w:tabs>
        <w:rPr>
          <w:szCs w:val="28"/>
        </w:rPr>
      </w:pPr>
      <w:r>
        <w:rPr>
          <w:spacing w:val="-8"/>
          <w:szCs w:val="28"/>
        </w:rPr>
        <w:t>пунктів    Луцької     міської</w:t>
      </w:r>
      <w:r>
        <w:rPr>
          <w:spacing w:val="-8"/>
          <w:sz w:val="24"/>
          <w:szCs w:val="24"/>
        </w:rPr>
        <w:t xml:space="preserve">     </w:t>
      </w:r>
      <w:r>
        <w:rPr>
          <w:spacing w:val="-8"/>
          <w:szCs w:val="28"/>
        </w:rPr>
        <w:t>терито</w:t>
      </w:r>
      <w:r>
        <w:rPr>
          <w:szCs w:val="28"/>
        </w:rPr>
        <w:t>ріальної</w:t>
      </w:r>
    </w:p>
    <w:p>
      <w:pPr>
        <w:pStyle w:val="Normal"/>
        <w:widowControl w:val="false"/>
        <w:tabs>
          <w:tab w:val="clear" w:pos="709"/>
          <w:tab w:val="left" w:pos="4395" w:leader="none"/>
          <w:tab w:val="left" w:pos="4678" w:leader="none"/>
          <w:tab w:val="left" w:pos="4962" w:leader="none"/>
        </w:tabs>
        <w:rPr>
          <w:szCs w:val="28"/>
        </w:rPr>
      </w:pPr>
      <w:r>
        <w:rPr>
          <w:rFonts w:eastAsia="Times New Roman"/>
          <w:spacing w:val="6"/>
          <w:szCs w:val="28"/>
          <w:lang w:eastAsia="ar-SA"/>
        </w:rPr>
        <w:t>громади (с. М</w:t>
      </w:r>
      <w:r>
        <w:rPr>
          <w:rFonts w:eastAsia="Times New Roman" w:cs="Times New Roman"/>
          <w:color w:val="auto"/>
          <w:spacing w:val="6"/>
          <w:kern w:val="0"/>
          <w:sz w:val="28"/>
          <w:szCs w:val="28"/>
          <w:lang w:val="uk-UA" w:eastAsia="ar-SA" w:bidi="ar-SA"/>
        </w:rPr>
        <w:t>оташівка</w:t>
      </w:r>
      <w:r>
        <w:rPr>
          <w:rFonts w:eastAsia="Times New Roman"/>
          <w:spacing w:val="6"/>
          <w:szCs w:val="28"/>
          <w:lang w:eastAsia="ar-SA"/>
        </w:rPr>
        <w:t>)</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w:t>
      </w:r>
      <w:r>
        <w:rPr>
          <w:rFonts w:eastAsia="Times New Roman" w:cs="Times New Roman"/>
          <w:color w:val="auto"/>
          <w:spacing w:val="-6"/>
          <w:kern w:val="0"/>
          <w:sz w:val="28"/>
          <w:szCs w:val="28"/>
          <w:lang w:val="uk-UA" w:eastAsia="zh-CN" w:bidi="ar-SA"/>
        </w:rPr>
        <w:t>Ліщук Тетяни Леонтіївни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Cs w:val="28"/>
        </w:rPr>
        <w:t>№ </w:t>
      </w:r>
      <w:r>
        <w:rPr>
          <w:rFonts w:eastAsia="Times New Roman" w:cs="Times New Roman"/>
          <w:color w:val="1C1C1C"/>
          <w:spacing w:val="-4"/>
          <w:kern w:val="0"/>
          <w:sz w:val="28"/>
          <w:szCs w:val="28"/>
          <w:lang w:val="uk-UA" w:eastAsia="zh-CN" w:bidi="ar-SA"/>
        </w:rPr>
        <w:t xml:space="preserve">367 </w:t>
      </w:r>
      <w:r>
        <w:rPr>
          <w:spacing w:val="-4"/>
          <w:szCs w:val="28"/>
        </w:rPr>
        <w:t>(</w:t>
      </w:r>
      <w:r>
        <w:rPr>
          <w:rFonts w:eastAsia="Times New Roman" w:cs="Times New Roman"/>
          <w:color w:val="auto"/>
          <w:spacing w:val="-4"/>
          <w:kern w:val="0"/>
          <w:sz w:val="28"/>
          <w:szCs w:val="28"/>
          <w:lang w:val="uk-UA" w:eastAsia="zh-CN" w:bidi="ar-SA"/>
        </w:rPr>
        <w:t>рілля</w:t>
      </w:r>
      <w:r>
        <w:rPr>
          <w:rFonts w:eastAsia="Times New Roman" w:cs="Times New Roman"/>
          <w:color w:val="auto"/>
          <w:spacing w:val="-6"/>
          <w:kern w:val="0"/>
          <w:sz w:val="28"/>
          <w:szCs w:val="28"/>
          <w:lang w:val="uk-UA" w:eastAsia="zh-CN" w:bidi="ar-SA"/>
        </w:rPr>
        <w:t xml:space="preserve">) орієнтовною площею 1,60 га </w:t>
      </w:r>
      <w:r>
        <w:rPr>
          <w:spacing w:val="-6"/>
          <w:szCs w:val="28"/>
        </w:rPr>
        <w:t xml:space="preserve">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громади (с. М</w:t>
      </w:r>
      <w:r>
        <w:rPr>
          <w:rFonts w:eastAsia="Times New Roman" w:cs="Times New Roman"/>
          <w:color w:val="auto"/>
          <w:spacing w:val="6"/>
          <w:kern w:val="0"/>
          <w:sz w:val="28"/>
          <w:szCs w:val="28"/>
          <w:lang w:val="uk-UA" w:eastAsia="ar-SA" w:bidi="ar-SA"/>
        </w:rPr>
        <w:t>оташівка</w:t>
      </w:r>
      <w:r>
        <w:rPr>
          <w:rFonts w:eastAsia="Times New Roman"/>
          <w:spacing w:val="6"/>
          <w:sz w:val="28"/>
          <w:szCs w:val="28"/>
          <w:lang w:eastAsia="ar-SA"/>
        </w:rPr>
        <w:t>)</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26.07.2019</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2151</w:t>
      </w:r>
      <w:r>
        <w:rPr>
          <w:color w:val="000000"/>
          <w:spacing w:val="-6"/>
          <w:szCs w:val="28"/>
        </w:rPr>
        <w:t>, спадкова справа № </w:t>
      </w:r>
      <w:r>
        <w:rPr>
          <w:rFonts w:eastAsia="Times New Roman" w:cs="Times New Roman"/>
          <w:color w:val="000000"/>
          <w:spacing w:val="-6"/>
          <w:kern w:val="0"/>
          <w:sz w:val="28"/>
          <w:szCs w:val="28"/>
          <w:lang w:val="uk-UA" w:eastAsia="zh-CN" w:bidi="ar-SA"/>
        </w:rPr>
        <w:t>12/2019</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0254885</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20.03.2002</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 xml:space="preserve">365 та розпорядження про зміни від 04.07.2000 № 274 </w:t>
      </w:r>
      <w:r>
        <w:rPr>
          <w:rFonts w:eastAsia="Times New Roman" w:cs="Times New Roman"/>
          <w:color w:val="000000"/>
          <w:spacing w:val="-6"/>
          <w:kern w:val="0"/>
          <w:sz w:val="28"/>
          <w:szCs w:val="28"/>
          <w:u w:val="none"/>
          <w:lang w:val="uk-UA" w:eastAsia="zh-CN" w:bidi="ar-SA"/>
        </w:rPr>
        <w:t xml:space="preserve">«Про уточнення грошової оцінки сільськогосподарських угідь земель колективної власності, вартості та розміру земельної частки (паю)                         в колишньому КСП </w:t>
      </w:r>
      <w:r>
        <w:rPr>
          <w:rFonts w:eastAsia="Times New Roman" w:cs="Times New Roman"/>
          <w:color w:val="111111"/>
          <w:spacing w:val="-6"/>
          <w:kern w:val="0"/>
          <w:sz w:val="28"/>
          <w:szCs w:val="28"/>
          <w:u w:val="none"/>
          <w:lang w:val="uk-UA" w:eastAsia="ar-SA" w:bidi="ar-SA"/>
        </w:rPr>
        <w:t>«Агрофірма “Маяк”»</w:t>
      </w:r>
      <w:r>
        <w:rPr>
          <w:rFonts w:eastAsia="Times New Roman" w:cs="Times New Roman"/>
          <w:color w:val="111111"/>
          <w:spacing w:val="-6"/>
          <w:kern w:val="0"/>
          <w:sz w:val="28"/>
          <w:szCs w:val="28"/>
          <w:lang w:val="uk-UA" w:eastAsia="zh-CN" w:bidi="ar-SA"/>
        </w:rPr>
        <w:t>,</w:t>
      </w:r>
      <w:r>
        <w:rPr>
          <w:color w:val="111111"/>
          <w:spacing w:val="-6"/>
          <w:szCs w:val="28"/>
        </w:rPr>
        <w:t xml:space="preserve">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20.03.2002</w:t>
      </w:r>
      <w:r>
        <w:rPr>
          <w:color w:val="111111"/>
          <w:spacing w:val="-6"/>
          <w:szCs w:val="28"/>
        </w:rPr>
        <w:t xml:space="preserve"> № </w:t>
      </w:r>
      <w:r>
        <w:rPr>
          <w:rFonts w:eastAsia="Times New Roman" w:cs="Times New Roman"/>
          <w:color w:val="111111"/>
          <w:spacing w:val="-6"/>
          <w:kern w:val="0"/>
          <w:sz w:val="28"/>
          <w:szCs w:val="28"/>
          <w:lang w:val="uk-UA" w:eastAsia="zh-CN" w:bidi="ar-SA"/>
        </w:rPr>
        <w:t>892</w:t>
      </w:r>
      <w:r>
        <w:rPr>
          <w:color w:val="111111"/>
          <w:spacing w:val="-6"/>
          <w:szCs w:val="28"/>
        </w:rPr>
        <w:t xml:space="preserve">,                       </w:t>
      </w:r>
      <w:r>
        <w:rPr>
          <w:color w:val="111111"/>
          <w:spacing w:val="-6"/>
          <w:sz w:val="28"/>
          <w:szCs w:val="28"/>
        </w:rPr>
        <w:t xml:space="preserve">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rFonts w:eastAsia="Times New Roman" w:cs="Times New Roman"/>
          <w:color w:val="111111"/>
          <w:spacing w:val="-6"/>
          <w:kern w:val="0"/>
          <w:sz w:val="28"/>
          <w:szCs w:val="28"/>
          <w:lang w:val="uk-UA" w:eastAsia="zh-CN" w:bidi="ar-SA"/>
        </w:rPr>
        <w:t>виписка</w:t>
      </w:r>
      <w:r>
        <w:rPr>
          <w:color w:val="111111"/>
          <w:spacing w:val="-6"/>
          <w:sz w:val="28"/>
          <w:szCs w:val="28"/>
        </w:rPr>
        <w:t xml:space="preserve"> старости </w:t>
      </w:r>
      <w:r>
        <w:rPr>
          <w:rFonts w:eastAsia="Times New Roman" w:cs="Times New Roman"/>
          <w:color w:val="111111"/>
          <w:spacing w:val="-6"/>
          <w:kern w:val="0"/>
          <w:sz w:val="28"/>
          <w:szCs w:val="28"/>
          <w:lang w:val="uk-UA" w:eastAsia="zh-CN" w:bidi="ar-SA"/>
        </w:rPr>
        <w:t>Княгининівського</w:t>
      </w:r>
      <w:r>
        <w:rPr>
          <w:color w:val="111111"/>
          <w:spacing w:val="-6"/>
          <w:sz w:val="28"/>
          <w:szCs w:val="28"/>
        </w:rPr>
        <w:t xml:space="preserve"> старостинського округу від </w:t>
      </w:r>
      <w:r>
        <w:rPr>
          <w:rFonts w:eastAsia="Times New Roman" w:cs="Times New Roman"/>
          <w:color w:val="111111"/>
          <w:spacing w:val="-6"/>
          <w:kern w:val="0"/>
          <w:sz w:val="28"/>
          <w:szCs w:val="28"/>
          <w:lang w:val="uk-UA" w:eastAsia="zh-CN" w:bidi="ar-SA"/>
        </w:rPr>
        <w:t>24.03.2025</w:t>
      </w:r>
      <w:r>
        <w:rPr>
          <w:color w:val="111111"/>
          <w:spacing w:val="-6"/>
          <w:sz w:val="28"/>
          <w:szCs w:val="28"/>
        </w:rPr>
        <w:t xml:space="preserve"> № </w:t>
      </w:r>
      <w:r>
        <w:rPr>
          <w:rFonts w:eastAsia="Times New Roman" w:cs="Times New Roman"/>
          <w:color w:val="111111"/>
          <w:spacing w:val="-6"/>
          <w:kern w:val="0"/>
          <w:sz w:val="28"/>
          <w:szCs w:val="28"/>
          <w:lang w:val="uk-UA" w:eastAsia="zh-CN" w:bidi="ar-SA"/>
        </w:rPr>
        <w:t>27-17</w:t>
      </w:r>
      <w:r>
        <w:rPr>
          <w:color w:val="111111"/>
          <w:spacing w:val="-6"/>
          <w:sz w:val="28"/>
          <w:szCs w:val="28"/>
        </w:rPr>
        <w:t>/</w:t>
      </w:r>
      <w:r>
        <w:rPr>
          <w:rFonts w:eastAsia="Times New Roman" w:cs="Times New Roman"/>
          <w:color w:val="111111"/>
          <w:spacing w:val="-6"/>
          <w:kern w:val="0"/>
          <w:sz w:val="28"/>
          <w:szCs w:val="28"/>
          <w:lang w:val="uk-UA" w:eastAsia="zh-CN" w:bidi="ar-SA"/>
        </w:rPr>
        <w:t>65</w:t>
      </w:r>
      <w:r>
        <w:rPr>
          <w:color w:val="111111"/>
          <w:spacing w:val="-6"/>
          <w:sz w:val="28"/>
          <w:szCs w:val="28"/>
        </w:rPr>
        <w:t>/202</w:t>
      </w:r>
      <w:r>
        <w:rPr>
          <w:rFonts w:eastAsia="Times New Roman" w:cs="Times New Roman"/>
          <w:color w:val="111111"/>
          <w:spacing w:val="-6"/>
          <w:kern w:val="0"/>
          <w:sz w:val="28"/>
          <w:szCs w:val="28"/>
          <w:lang w:val="uk-UA" w:eastAsia="zh-CN" w:bidi="ar-SA"/>
        </w:rPr>
        <w:t>5</w:t>
      </w:r>
      <w:r>
        <w:rPr>
          <w:color w:val="111111"/>
          <w:spacing w:val="-6"/>
          <w:sz w:val="28"/>
          <w:szCs w:val="28"/>
        </w:rPr>
        <w:t xml:space="preserve">,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widowControl/>
        <w:suppressAutoHyphens w:val="true"/>
        <w:bidi w:val="0"/>
        <w:spacing w:before="0" w:after="0"/>
        <w:ind w:left="0" w:right="57" w:firstLine="567"/>
        <w:jc w:val="both"/>
        <w:rPr>
          <w:spacing w:val="-6"/>
        </w:rPr>
      </w:pPr>
      <w:r>
        <w:rPr>
          <w:spacing w:val="-6"/>
        </w:rPr>
      </w:r>
    </w:p>
    <w:p>
      <w:pPr>
        <w:pStyle w:val="Normal"/>
        <w:jc w:val="both"/>
        <w:rPr>
          <w:szCs w:val="28"/>
        </w:rPr>
      </w:pPr>
      <w:r>
        <w:rPr>
          <w:szCs w:val="28"/>
        </w:rPr>
        <w:t>ВИРІШИЛА:</w:t>
      </w:r>
    </w:p>
    <w:p>
      <w:pPr>
        <w:pStyle w:val="Normal"/>
        <w:widowControl/>
        <w:suppressAutoHyphens w:val="true"/>
        <w:bidi w:val="0"/>
        <w:spacing w:before="0" w:after="0"/>
        <w:ind w:left="0" w:right="0" w:firstLine="567"/>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 xml:space="preserve">Ліщук Тетяні Леонтіївні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367</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серії  ВЛ № 0254885 від 20.03.2002, зареєстрованого у Книзі реєстрації сертифікатів на право на земельну частку (пай) від 20.03.2002 № 892,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орієнтовною площею 1,60 га</w:t>
      </w:r>
      <w:r>
        <w:rPr>
          <w:spacing w:val="-8"/>
          <w:sz w:val="28"/>
          <w:szCs w:val="28"/>
        </w:rPr>
        <w:t xml:space="preserve"> </w:t>
      </w:r>
      <w:r>
        <w:rPr>
          <w:rFonts w:eastAsia="Times New Roman" w:cs="Times New Roman"/>
          <w:color w:val="111111"/>
          <w:spacing w:val="-4"/>
          <w:kern w:val="0"/>
          <w:sz w:val="28"/>
          <w:szCs w:val="28"/>
          <w:lang w:val="uk-UA" w:eastAsia="zh-CN" w:bidi="ar-SA"/>
        </w:rPr>
        <w:t>(</w:t>
      </w:r>
      <w:r>
        <w:rPr>
          <w:rFonts w:eastAsia="Times New Roman" w:cs="Times New Roman"/>
          <w:color w:val="auto"/>
          <w:spacing w:val="-4"/>
          <w:kern w:val="0"/>
          <w:sz w:val="28"/>
          <w:szCs w:val="28"/>
          <w:lang w:val="uk-UA" w:eastAsia="zh-CN" w:bidi="ar-SA"/>
        </w:rPr>
        <w:t xml:space="preserve">рілля) </w:t>
      </w:r>
      <w:r>
        <w:rPr>
          <w:rFonts w:eastAsia="Times New Roman" w:cs="Times New Roman"/>
          <w:color w:val="auto"/>
          <w:spacing w:val="-4"/>
          <w:kern w:val="0"/>
          <w:sz w:val="28"/>
          <w:szCs w:val="28"/>
          <w:lang w:val="uk-UA" w:eastAsia="zh-CN" w:bidi="ar-SA"/>
        </w:rPr>
        <w:t xml:space="preserve">за </w:t>
      </w:r>
      <w:r>
        <w:rPr>
          <w:spacing w:val="-4"/>
          <w:sz w:val="28"/>
          <w:szCs w:val="28"/>
        </w:rPr>
        <w:t xml:space="preserve">межами </w:t>
      </w:r>
      <w:r>
        <w:rPr>
          <w:spacing w:val="-8"/>
          <w:sz w:val="28"/>
          <w:szCs w:val="28"/>
        </w:rPr>
        <w:t xml:space="preserve">населених </w:t>
      </w:r>
      <w:r>
        <w:rPr>
          <w:spacing w:val="-8"/>
          <w:szCs w:val="28"/>
        </w:rPr>
        <w:t>пунктів Луцької міської терито</w:t>
      </w:r>
      <w:r>
        <w:rPr>
          <w:szCs w:val="28"/>
        </w:rPr>
        <w:t xml:space="preserve">ріальної </w:t>
      </w:r>
      <w:r>
        <w:rPr>
          <w:rFonts w:eastAsia="Times New Roman"/>
          <w:spacing w:val="6"/>
          <w:sz w:val="28"/>
          <w:szCs w:val="28"/>
          <w:lang w:eastAsia="ar-SA"/>
        </w:rPr>
        <w:t>громади (с. М</w:t>
      </w:r>
      <w:r>
        <w:rPr>
          <w:rFonts w:eastAsia="Times New Roman" w:cs="Times New Roman"/>
          <w:color w:val="auto"/>
          <w:spacing w:val="6"/>
          <w:kern w:val="0"/>
          <w:sz w:val="28"/>
          <w:szCs w:val="28"/>
          <w:lang w:val="uk-UA" w:eastAsia="ar-SA" w:bidi="ar-SA"/>
        </w:rPr>
        <w:t>оташівка</w:t>
      </w:r>
      <w:r>
        <w:rPr>
          <w:rFonts w:eastAsia="Times New Roman"/>
          <w:spacing w:val="6"/>
          <w:sz w:val="28"/>
          <w:szCs w:val="28"/>
          <w:lang w:eastAsia="ar-SA"/>
        </w:rPr>
        <w:t>)</w:t>
      </w:r>
      <w:r>
        <w:rPr>
          <w:spacing w:val="-8"/>
          <w:sz w:val="28"/>
          <w:szCs w:val="28"/>
        </w:rPr>
        <w:t>, згідно з додатком.</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громадянку Ліщук Тетяну Леонтіївну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11111"/>
          <w:spacing w:val="-8"/>
          <w:kern w:val="0"/>
          <w:sz w:val="28"/>
          <w:szCs w:val="28"/>
          <w:lang w:val="uk-UA" w:eastAsia="zh-CN" w:bidi="ar-SA"/>
        </w:rPr>
        <w:t>367</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 xml:space="preserve">серії  ВЛ № 0254885                              від 20.03.2002, зареєстрованого у Книзі реєстрації сертифікатів на право                       на земельну частку (пай) від 20.03.2002 № 892, </w:t>
      </w:r>
      <w:r>
        <w:rPr>
          <w:rFonts w:eastAsia="Times New Roman" w:cs="Times New Roman"/>
          <w:color w:val="auto"/>
          <w:spacing w:val="-6"/>
          <w:kern w:val="0"/>
          <w:sz w:val="28"/>
          <w:szCs w:val="28"/>
          <w:lang w:val="uk-UA" w:eastAsia="zh-CN" w:bidi="ar-SA"/>
        </w:rPr>
        <w:t xml:space="preserve">орієнтовною площею 1,60 га </w:t>
      </w:r>
      <w:r>
        <w:rPr>
          <w:rFonts w:eastAsia="Times New Roman" w:cs="Times New Roman"/>
          <w:color w:val="111111"/>
          <w:spacing w:val="-4"/>
          <w:kern w:val="0"/>
          <w:sz w:val="28"/>
          <w:szCs w:val="28"/>
          <w:lang w:val="uk-UA" w:eastAsia="zh-CN" w:bidi="ar-SA"/>
        </w:rPr>
        <w:t>(</w:t>
      </w:r>
      <w:r>
        <w:rPr>
          <w:rFonts w:eastAsia="Times New Roman" w:cs="Times New Roman"/>
          <w:color w:val="auto"/>
          <w:spacing w:val="-4"/>
          <w:kern w:val="0"/>
          <w:sz w:val="28"/>
          <w:szCs w:val="28"/>
          <w:lang w:val="uk-UA" w:eastAsia="zh-CN" w:bidi="ar-SA"/>
        </w:rPr>
        <w:t>рілля)</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Application>LibreOffice/7.0.3.1$Windows_X86_64 LibreOffice_project/d7547858d014d4cf69878db179d326fc3483e082</Application>
  <Pages>2</Pages>
  <Words>605</Words>
  <Characters>3967</Characters>
  <CharactersWithSpaces>4987</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2025-04-11T12:11:54Z</cp:lastPrinted>
  <dcterms:modified xsi:type="dcterms:W3CDTF">2025-04-11T12:15:29Z</dcterms:modified>
  <cp:revision>161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