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9450" cy="679450"/>
                <wp:effectExtent l="0" t="0" r="0" b="0"/>
                <wp:wrapNone/>
                <wp:docPr id="1" name="shapetype_ole_rId2"/>
                <a:graphic xmlns:a="http://schemas.openxmlformats.org/drawingml/2006/main">
                  <a:graphicData uri="http://schemas.microsoft.com/office/word/2010/wordprocessingShape">
                    <wps:wsp>
                      <wps:cNvSpPr/>
                      <wps:spPr>
                        <a:xfrm>
                          <a:off x="0" y="0"/>
                          <a:ext cx="678960" cy="67896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3.4pt;height:53.4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466189923"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 w:val="28"/>
          <w:szCs w:val="28"/>
        </w:rPr>
      </w:pPr>
      <w:r>
        <w:rPr>
          <w:sz w:val="28"/>
          <w:szCs w:val="28"/>
        </w:rPr>
        <w:t xml:space="preserve">Про   надання </w:t>
      </w:r>
      <w:r>
        <w:rPr>
          <w:sz w:val="24"/>
          <w:szCs w:val="24"/>
        </w:rPr>
        <w:t xml:space="preserve"> </w:t>
      </w:r>
      <w:r>
        <w:rPr>
          <w:rFonts w:eastAsia="Times New Roman" w:cs="Times New Roman"/>
          <w:b w:val="false"/>
          <w:bCs w:val="false"/>
          <w:color w:val="000000"/>
          <w:spacing w:val="-6"/>
          <w:kern w:val="0"/>
          <w:sz w:val="28"/>
          <w:szCs w:val="28"/>
          <w:lang w:val="uk-UA" w:eastAsia="ar-SA" w:bidi="ar-SA"/>
        </w:rPr>
        <w:t>г</w:t>
      </w:r>
      <w:r>
        <w:rPr>
          <w:rFonts w:eastAsia="Times New Roman"/>
          <w:b w:val="false"/>
          <w:bCs w:val="false"/>
          <w:color w:val="000000"/>
          <w:spacing w:val="-6"/>
          <w:szCs w:val="28"/>
          <w:lang w:val="uk-UA" w:eastAsia="ar-SA"/>
        </w:rPr>
        <w:t>ромадян</w:t>
      </w:r>
      <w:r>
        <w:rPr>
          <w:rFonts w:eastAsia="Times New Roman" w:cs="Times New Roman"/>
          <w:b w:val="false"/>
          <w:bCs w:val="false"/>
          <w:color w:val="000000"/>
          <w:spacing w:val="-6"/>
          <w:kern w:val="0"/>
          <w:sz w:val="28"/>
          <w:szCs w:val="28"/>
          <w:lang w:val="uk-UA" w:eastAsia="ar-SA" w:bidi="ar-SA"/>
        </w:rPr>
        <w:t>ам</w:t>
      </w:r>
      <w:r>
        <w:rPr>
          <w:sz w:val="24"/>
          <w:szCs w:val="24"/>
        </w:rPr>
        <w:t xml:space="preserve"> </w:t>
      </w:r>
      <w:r>
        <w:rPr>
          <w:rFonts w:eastAsia="Times New Roman" w:cs="Times New Roman"/>
          <w:color w:val="auto"/>
          <w:kern w:val="0"/>
          <w:sz w:val="28"/>
          <w:szCs w:val="28"/>
          <w:lang w:val="uk-UA" w:eastAsia="zh-CN" w:bidi="ar-SA"/>
        </w:rPr>
        <w:t>Зайковській    М.С.,</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kern w:val="0"/>
          <w:sz w:val="28"/>
          <w:szCs w:val="28"/>
          <w:lang w:val="uk-UA" w:eastAsia="zh-CN" w:bidi="ar-SA"/>
        </w:rPr>
        <w:t>Рудчик Н.С.,</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Зарадюк О.С.,   Трефеловій А.В.</w:t>
      </w:r>
    </w:p>
    <w:p>
      <w:pPr>
        <w:pStyle w:val="Normal"/>
        <w:widowControl w:val="false"/>
        <w:tabs>
          <w:tab w:val="clear" w:pos="709"/>
          <w:tab w:val="left" w:pos="4395" w:leader="none"/>
          <w:tab w:val="left" w:pos="4678" w:leader="none"/>
          <w:tab w:val="left" w:pos="4962" w:leader="none"/>
        </w:tabs>
        <w:rPr>
          <w:sz w:val="28"/>
          <w:szCs w:val="28"/>
        </w:rPr>
      </w:pPr>
      <w:r>
        <w:rPr>
          <w:sz w:val="28"/>
          <w:szCs w:val="28"/>
        </w:rPr>
        <w:t>дозволу</w:t>
      </w:r>
      <w:r>
        <w:rPr>
          <w:sz w:val="24"/>
          <w:szCs w:val="24"/>
        </w:rPr>
        <w:t xml:space="preserve"> </w:t>
      </w:r>
      <w:r>
        <w:rPr>
          <w:sz w:val="28"/>
          <w:szCs w:val="28"/>
        </w:rPr>
        <w:t xml:space="preserve">на розроблення </w:t>
      </w:r>
      <w:r>
        <w:rPr>
          <w:spacing w:val="-2"/>
          <w:sz w:val="28"/>
          <w:szCs w:val="28"/>
        </w:rPr>
        <w:t>технічної</w:t>
      </w:r>
      <w:r>
        <w:rPr>
          <w:sz w:val="28"/>
          <w:szCs w:val="28"/>
        </w:rPr>
        <w:t xml:space="preserve"> докумен</w:t>
      </w:r>
      <w:r>
        <w:rPr>
          <w:spacing w:val="-10"/>
          <w:sz w:val="28"/>
          <w:szCs w:val="28"/>
        </w:rPr>
        <w:t>тації</w:t>
      </w:r>
    </w:p>
    <w:p>
      <w:pPr>
        <w:pStyle w:val="Normal"/>
        <w:widowControl w:val="false"/>
        <w:tabs>
          <w:tab w:val="clear" w:pos="709"/>
          <w:tab w:val="left" w:pos="4395" w:leader="none"/>
          <w:tab w:val="left" w:pos="4678" w:leader="none"/>
          <w:tab w:val="left" w:pos="4962" w:leader="none"/>
        </w:tabs>
        <w:rPr>
          <w:sz w:val="28"/>
          <w:szCs w:val="28"/>
        </w:rPr>
      </w:pPr>
      <w:r>
        <w:rPr>
          <w:spacing w:val="-10"/>
          <w:sz w:val="28"/>
          <w:szCs w:val="28"/>
        </w:rPr>
        <w:t>із</w:t>
      </w:r>
      <w:r>
        <w:rPr>
          <w:spacing w:val="-10"/>
          <w:sz w:val="24"/>
          <w:szCs w:val="24"/>
        </w:rPr>
        <w:t xml:space="preserve"> </w:t>
      </w:r>
      <w:r>
        <w:rPr>
          <w:spacing w:val="-10"/>
          <w:sz w:val="28"/>
          <w:szCs w:val="28"/>
        </w:rPr>
        <w:t>землеустрою</w:t>
      </w:r>
      <w:r>
        <w:rPr>
          <w:spacing w:val="-10"/>
          <w:sz w:val="32"/>
          <w:szCs w:val="32"/>
        </w:rPr>
        <w:t xml:space="preserve"> </w:t>
      </w:r>
      <w:r>
        <w:rPr>
          <w:spacing w:val="-10"/>
          <w:sz w:val="28"/>
          <w:szCs w:val="28"/>
        </w:rPr>
        <w:t xml:space="preserve">щодо встановлення </w:t>
      </w:r>
      <w:r>
        <w:rPr>
          <w:sz w:val="28"/>
          <w:szCs w:val="28"/>
        </w:rPr>
        <w:t>(відновлення)</w:t>
      </w:r>
    </w:p>
    <w:p>
      <w:pPr>
        <w:pStyle w:val="Normal"/>
        <w:widowControl w:val="false"/>
        <w:tabs>
          <w:tab w:val="clear" w:pos="709"/>
          <w:tab w:val="left" w:pos="4395" w:leader="none"/>
          <w:tab w:val="left" w:pos="4678" w:leader="none"/>
          <w:tab w:val="left" w:pos="4962" w:leader="none"/>
        </w:tabs>
        <w:rPr>
          <w:sz w:val="28"/>
          <w:szCs w:val="28"/>
        </w:rPr>
      </w:pPr>
      <w:r>
        <w:rPr>
          <w:sz w:val="28"/>
          <w:szCs w:val="28"/>
        </w:rPr>
        <w:t xml:space="preserve">меж  земельної   </w:t>
      </w:r>
      <w:r>
        <w:rPr>
          <w:spacing w:val="-6"/>
          <w:sz w:val="28"/>
          <w:szCs w:val="28"/>
        </w:rPr>
        <w:t>ділянки в натурі</w:t>
      </w:r>
      <w:r>
        <w:rPr>
          <w:spacing w:val="-6"/>
          <w:sz w:val="24"/>
          <w:szCs w:val="24"/>
        </w:rPr>
        <w:t xml:space="preserve"> </w:t>
      </w:r>
      <w:r>
        <w:rPr>
          <w:spacing w:val="-6"/>
          <w:sz w:val="28"/>
          <w:szCs w:val="28"/>
        </w:rPr>
        <w:t>(на місцевості)</w:t>
      </w:r>
    </w:p>
    <w:p>
      <w:pPr>
        <w:pStyle w:val="Normal"/>
        <w:widowControl w:val="false"/>
        <w:tabs>
          <w:tab w:val="clear" w:pos="709"/>
          <w:tab w:val="left" w:pos="4395" w:leader="none"/>
          <w:tab w:val="left" w:pos="4678" w:leader="none"/>
          <w:tab w:val="left" w:pos="4962" w:leader="none"/>
        </w:tabs>
        <w:rPr>
          <w:sz w:val="28"/>
          <w:szCs w:val="28"/>
        </w:rPr>
      </w:pPr>
      <w:r>
        <w:rPr>
          <w:spacing w:val="-6"/>
          <w:sz w:val="28"/>
          <w:szCs w:val="28"/>
        </w:rPr>
        <w:t>на  земельну</w:t>
      </w:r>
      <w:r>
        <w:rPr>
          <w:spacing w:val="-6"/>
          <w:sz w:val="22"/>
          <w:szCs w:val="22"/>
        </w:rPr>
        <w:t xml:space="preserve">    </w:t>
      </w:r>
      <w:r>
        <w:rPr>
          <w:spacing w:val="-6"/>
          <w:sz w:val="24"/>
          <w:szCs w:val="24"/>
        </w:rPr>
        <w:t xml:space="preserve"> </w:t>
      </w:r>
      <w:r>
        <w:rPr>
          <w:spacing w:val="-4"/>
          <w:sz w:val="28"/>
          <w:szCs w:val="28"/>
        </w:rPr>
        <w:t xml:space="preserve">частку </w:t>
      </w:r>
      <w:r>
        <w:rPr>
          <w:spacing w:val="-4"/>
          <w:sz w:val="24"/>
          <w:szCs w:val="24"/>
        </w:rPr>
        <w:t xml:space="preserve">  </w:t>
      </w:r>
      <w:r>
        <w:rPr>
          <w:spacing w:val="-4"/>
          <w:sz w:val="28"/>
          <w:szCs w:val="28"/>
        </w:rPr>
        <w:t xml:space="preserve"> (пай)</w:t>
      </w:r>
      <w:r>
        <w:rPr>
          <w:spacing w:val="-4"/>
          <w:sz w:val="26"/>
          <w:szCs w:val="26"/>
        </w:rPr>
        <w:t xml:space="preserve">    </w:t>
      </w:r>
      <w:r>
        <w:rPr>
          <w:spacing w:val="-4"/>
          <w:sz w:val="28"/>
          <w:szCs w:val="28"/>
        </w:rPr>
        <w:t>№ </w:t>
      </w:r>
      <w:r>
        <w:rPr>
          <w:rFonts w:eastAsia="Times New Roman" w:cs="Times New Roman"/>
          <w:color w:val="auto"/>
          <w:spacing w:val="-4"/>
          <w:kern w:val="0"/>
          <w:sz w:val="28"/>
          <w:szCs w:val="28"/>
          <w:lang w:val="uk-UA" w:eastAsia="zh-CN" w:bidi="ar-SA"/>
        </w:rPr>
        <w:t>1047 </w:t>
      </w:r>
      <w:r>
        <w:rPr>
          <w:spacing w:val="-4"/>
          <w:sz w:val="28"/>
          <w:szCs w:val="28"/>
        </w:rPr>
        <w:t>(</w:t>
      </w:r>
      <w:r>
        <w:rPr>
          <w:rFonts w:eastAsia="Times New Roman" w:cs="Times New Roman"/>
          <w:color w:val="auto"/>
          <w:spacing w:val="-4"/>
          <w:kern w:val="0"/>
          <w:sz w:val="28"/>
          <w:szCs w:val="28"/>
          <w:lang w:val="uk-UA" w:eastAsia="zh-CN" w:bidi="ar-SA"/>
        </w:rPr>
        <w:t>рілля</w:t>
      </w:r>
      <w:r>
        <w:rPr>
          <w:spacing w:val="-4"/>
          <w:sz w:val="28"/>
          <w:szCs w:val="28"/>
        </w:rPr>
        <w:t xml:space="preserve"> — </w:t>
      </w:r>
    </w:p>
    <w:p>
      <w:pPr>
        <w:pStyle w:val="Normal"/>
        <w:widowControl w:val="false"/>
        <w:tabs>
          <w:tab w:val="clear" w:pos="709"/>
          <w:tab w:val="left" w:pos="4395" w:leader="none"/>
          <w:tab w:val="left" w:pos="4678" w:leader="none"/>
          <w:tab w:val="left" w:pos="4962" w:leader="none"/>
        </w:tabs>
        <w:rPr>
          <w:sz w:val="28"/>
          <w:szCs w:val="28"/>
        </w:rPr>
      </w:pPr>
      <w:r>
        <w:rPr>
          <w:spacing w:val="-4"/>
          <w:sz w:val="28"/>
          <w:szCs w:val="28"/>
        </w:rPr>
        <w:t>орієнтовною</w:t>
      </w:r>
      <w:r>
        <w:rPr>
          <w:spacing w:val="-4"/>
          <w:sz w:val="24"/>
          <w:szCs w:val="24"/>
        </w:rPr>
        <w:t xml:space="preserve">   </w:t>
      </w:r>
      <w:r>
        <w:rPr>
          <w:spacing w:val="-4"/>
          <w:sz w:val="28"/>
          <w:szCs w:val="28"/>
        </w:rPr>
        <w:t xml:space="preserve">площею </w:t>
      </w:r>
      <w:r>
        <w:rPr>
          <w:rFonts w:eastAsia="Times New Roman" w:cs="Times New Roman"/>
          <w:color w:val="auto"/>
          <w:spacing w:val="-4"/>
          <w:kern w:val="0"/>
          <w:sz w:val="28"/>
          <w:szCs w:val="28"/>
          <w:lang w:val="uk-UA" w:eastAsia="zh-CN" w:bidi="ar-SA"/>
        </w:rPr>
        <w:t>1,36</w:t>
      </w:r>
      <w:r>
        <w:rPr>
          <w:spacing w:val="-4"/>
          <w:sz w:val="28"/>
          <w:szCs w:val="28"/>
        </w:rPr>
        <w:t> га</w:t>
      </w:r>
      <w:r>
        <w:rPr>
          <w:sz w:val="28"/>
          <w:szCs w:val="28"/>
        </w:rPr>
        <w:t>)     у    с. </w:t>
      </w:r>
      <w:r>
        <w:rPr>
          <w:rFonts w:eastAsia="Times New Roman" w:cs="Times New Roman"/>
          <w:color w:val="auto"/>
          <w:kern w:val="0"/>
          <w:sz w:val="28"/>
          <w:szCs w:val="28"/>
          <w:lang w:val="uk-UA" w:eastAsia="zh-CN" w:bidi="ar-SA"/>
        </w:rPr>
        <w:t>Клепачів</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kern w:val="0"/>
          <w:sz w:val="28"/>
          <w:szCs w:val="28"/>
          <w:lang w:val="uk-UA" w:eastAsia="zh-CN" w:bidi="ar-SA"/>
        </w:rPr>
        <w:t xml:space="preserve">Луцького     району        Волинської    </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 xml:space="preserve"> області</w:t>
      </w:r>
    </w:p>
    <w:p>
      <w:pPr>
        <w:pStyle w:val="Normal"/>
        <w:widowControl w:val="false"/>
        <w:tabs>
          <w:tab w:val="clear" w:pos="709"/>
          <w:tab w:val="left" w:pos="4395" w:leader="none"/>
          <w:tab w:val="left" w:pos="4678" w:leader="none"/>
          <w:tab w:val="left" w:pos="4962" w:leader="none"/>
        </w:tabs>
        <w:rPr>
          <w:sz w:val="24"/>
          <w:szCs w:val="24"/>
        </w:rPr>
      </w:pPr>
      <w:r>
        <w:rPr>
          <w:sz w:val="24"/>
          <w:szCs w:val="24"/>
        </w:rPr>
      </w:r>
    </w:p>
    <w:p>
      <w:pPr>
        <w:pStyle w:val="Normal"/>
        <w:ind w:firstLine="555"/>
        <w:jc w:val="both"/>
        <w:rPr>
          <w:sz w:val="28"/>
          <w:szCs w:val="28"/>
        </w:rPr>
      </w:pPr>
      <w:r>
        <w:rPr>
          <w:color w:val="000000"/>
          <w:spacing w:val="-6"/>
          <w:sz w:val="28"/>
          <w:szCs w:val="28"/>
        </w:rPr>
        <w:t xml:space="preserve">Розглянувши заяву громадян </w:t>
      </w:r>
      <w:r>
        <w:rPr>
          <w:rFonts w:eastAsia="Times New Roman" w:cs="Times New Roman"/>
          <w:color w:val="auto"/>
          <w:spacing w:val="-6"/>
          <w:kern w:val="0"/>
          <w:sz w:val="28"/>
          <w:szCs w:val="28"/>
          <w:lang w:val="uk-UA" w:eastAsia="zh-CN" w:bidi="ar-SA"/>
        </w:rPr>
        <w:t>Зайковської Марії Сергіївни (частка 1/4), Рудчик Наталії Сергіївни (частка 1/4), Зарадюк Ольги Сергіївни (частка 1/4), Трефелової Анжеліки Вікторівни (частка 1/4)</w:t>
      </w:r>
      <w:r>
        <w:rPr>
          <w:color w:val="000000"/>
          <w:spacing w:val="-6"/>
          <w:sz w:val="28"/>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w:t>
      </w:r>
      <w:r>
        <w:rPr>
          <w:color w:val="000000"/>
          <w:spacing w:val="-4"/>
          <w:sz w:val="28"/>
          <w:szCs w:val="28"/>
        </w:rPr>
        <w:t>№  </w:t>
      </w:r>
      <w:r>
        <w:rPr>
          <w:rFonts w:eastAsia="Times New Roman" w:cs="Times New Roman"/>
          <w:color w:val="auto"/>
          <w:spacing w:val="-4"/>
          <w:kern w:val="0"/>
          <w:sz w:val="28"/>
          <w:szCs w:val="28"/>
          <w:lang w:val="uk-UA" w:eastAsia="zh-CN" w:bidi="ar-SA"/>
        </w:rPr>
        <w:t xml:space="preserve">1047 </w:t>
      </w:r>
      <w:r>
        <w:rPr>
          <w:color w:val="000000"/>
          <w:spacing w:val="-4"/>
          <w:sz w:val="28"/>
          <w:szCs w:val="28"/>
        </w:rPr>
        <w:t>(</w:t>
      </w:r>
      <w:r>
        <w:rPr>
          <w:rFonts w:eastAsia="Times New Roman" w:cs="Times New Roman"/>
          <w:color w:val="auto"/>
          <w:spacing w:val="-4"/>
          <w:kern w:val="0"/>
          <w:sz w:val="28"/>
          <w:szCs w:val="28"/>
          <w:lang w:val="uk-UA" w:eastAsia="zh-CN" w:bidi="ar-SA"/>
        </w:rPr>
        <w:t>рілля)</w:t>
      </w:r>
      <w:r>
        <w:rPr>
          <w:color w:val="000000"/>
          <w:spacing w:val="-4"/>
          <w:sz w:val="28"/>
          <w:szCs w:val="28"/>
        </w:rPr>
        <w:t xml:space="preserve"> </w:t>
      </w:r>
      <w:r>
        <w:rPr>
          <w:spacing w:val="-4"/>
          <w:sz w:val="28"/>
          <w:szCs w:val="28"/>
        </w:rPr>
        <w:t>орієнтовною</w:t>
      </w:r>
      <w:r>
        <w:rPr>
          <w:spacing w:val="-4"/>
          <w:sz w:val="24"/>
          <w:szCs w:val="24"/>
        </w:rPr>
        <w:t xml:space="preserve"> </w:t>
      </w:r>
      <w:r>
        <w:rPr>
          <w:spacing w:val="-4"/>
          <w:sz w:val="28"/>
          <w:szCs w:val="28"/>
        </w:rPr>
        <w:t xml:space="preserve">площею </w:t>
      </w:r>
      <w:r>
        <w:rPr>
          <w:rFonts w:eastAsia="Times New Roman" w:cs="Times New Roman"/>
          <w:color w:val="auto"/>
          <w:spacing w:val="-4"/>
          <w:kern w:val="0"/>
          <w:sz w:val="28"/>
          <w:szCs w:val="28"/>
          <w:lang w:val="uk-UA" w:eastAsia="zh-CN" w:bidi="ar-SA"/>
        </w:rPr>
        <w:t>1,36</w:t>
      </w:r>
      <w:r>
        <w:rPr>
          <w:spacing w:val="-4"/>
          <w:sz w:val="28"/>
          <w:szCs w:val="28"/>
        </w:rPr>
        <w:t> га</w:t>
      </w:r>
      <w:r>
        <w:rPr>
          <w:sz w:val="28"/>
          <w:szCs w:val="28"/>
        </w:rPr>
        <w:t xml:space="preserve"> у с. </w:t>
      </w:r>
      <w:r>
        <w:rPr>
          <w:rFonts w:eastAsia="Times New Roman" w:cs="Times New Roman"/>
          <w:color w:val="auto"/>
          <w:kern w:val="0"/>
          <w:sz w:val="28"/>
          <w:szCs w:val="28"/>
          <w:lang w:val="uk-UA" w:eastAsia="zh-CN" w:bidi="ar-SA"/>
        </w:rPr>
        <w:t xml:space="preserve">Клепачів                                </w:t>
      </w:r>
      <w:r>
        <w:rPr>
          <w:rFonts w:eastAsia="Times New Roman" w:cs="Times New Roman"/>
          <w:color w:val="auto"/>
          <w:spacing w:val="-6"/>
          <w:kern w:val="0"/>
          <w:sz w:val="28"/>
          <w:szCs w:val="28"/>
          <w:lang w:val="uk-UA" w:eastAsia="zh-CN" w:bidi="ar-SA"/>
        </w:rPr>
        <w:t>Луцького району Волинської області</w:t>
      </w:r>
      <w:r>
        <w:rPr>
          <w:color w:val="000000"/>
          <w:spacing w:val="-6"/>
          <w:sz w:val="28"/>
          <w:szCs w:val="28"/>
        </w:rPr>
        <w:t xml:space="preserve">, </w:t>
      </w:r>
      <w:r>
        <w:rPr>
          <w:rFonts w:eastAsia="Times New Roman" w:cs="Times New Roman"/>
          <w:color w:val="000000"/>
          <w:spacing w:val="-6"/>
          <w:kern w:val="0"/>
          <w:sz w:val="28"/>
          <w:szCs w:val="28"/>
          <w:lang w:val="uk-UA" w:eastAsia="zh-CN" w:bidi="ar-SA"/>
        </w:rPr>
        <w:t>свідоцтва про право на спадщину за законом від 24.06.2020 спадкова справа 237/2020, зареєстровані в реєстрі                    за № 2-285,</w:t>
      </w:r>
      <w:r>
        <w:rPr>
          <w:rFonts w:eastAsia="Times New Roman" w:cs="Times New Roman"/>
          <w:color w:val="FF0000"/>
          <w:spacing w:val="-6"/>
          <w:kern w:val="0"/>
          <w:sz w:val="28"/>
          <w:szCs w:val="28"/>
          <w:lang w:val="uk-UA" w:eastAsia="zh-CN" w:bidi="ar-SA"/>
        </w:rPr>
        <w:t xml:space="preserve"> </w:t>
      </w:r>
      <w:r>
        <w:rPr>
          <w:rFonts w:eastAsia="Times New Roman" w:cs="Times New Roman"/>
          <w:color w:val="000000"/>
          <w:spacing w:val="-6"/>
          <w:kern w:val="0"/>
          <w:sz w:val="28"/>
          <w:szCs w:val="28"/>
          <w:lang w:val="uk-UA" w:eastAsia="zh-CN" w:bidi="ar-SA"/>
        </w:rPr>
        <w:t>№ 2-286,</w:t>
      </w:r>
      <w:r>
        <w:rPr>
          <w:rFonts w:eastAsia="Times New Roman" w:cs="Times New Roman"/>
          <w:color w:val="FF0000"/>
          <w:spacing w:val="-6"/>
          <w:kern w:val="0"/>
          <w:sz w:val="28"/>
          <w:szCs w:val="28"/>
          <w:lang w:val="uk-UA" w:eastAsia="zh-CN" w:bidi="ar-SA"/>
        </w:rPr>
        <w:t xml:space="preserve"> </w:t>
      </w:r>
      <w:r>
        <w:rPr>
          <w:rFonts w:eastAsia="Times New Roman" w:cs="Times New Roman"/>
          <w:color w:val="000000"/>
          <w:spacing w:val="-6"/>
          <w:kern w:val="0"/>
          <w:sz w:val="28"/>
          <w:szCs w:val="28"/>
          <w:lang w:val="uk-UA" w:eastAsia="zh-CN" w:bidi="ar-SA"/>
        </w:rPr>
        <w:t>№ 2-287, № 2-288 та свідоцтво про право на спадщину за законом від 21.03.2025 спадкова справа 383/2021, зареєстровано у реєстрі за                   № 994,</w:t>
      </w:r>
      <w:r>
        <w:rPr>
          <w:rFonts w:eastAsia="Times New Roman" w:cs="Times New Roman"/>
          <w:color w:val="FF0000"/>
          <w:spacing w:val="-6"/>
          <w:kern w:val="0"/>
          <w:sz w:val="28"/>
          <w:szCs w:val="28"/>
          <w:lang w:val="uk-UA" w:eastAsia="zh-CN" w:bidi="ar-SA"/>
        </w:rPr>
        <w:t xml:space="preserve"> </w:t>
      </w:r>
      <w:r>
        <w:rPr>
          <w:rFonts w:eastAsia="Times New Roman" w:cs="Times New Roman"/>
          <w:color w:val="111111"/>
          <w:spacing w:val="-6"/>
          <w:kern w:val="0"/>
          <w:sz w:val="28"/>
          <w:szCs w:val="28"/>
          <w:lang w:val="uk-UA" w:eastAsia="zh-CN" w:bidi="ar-SA"/>
        </w:rPr>
        <w:t xml:space="preserve">сертифікат на право на земельну частку (пай), яка перебувала у колективній власності колишнього </w:t>
      </w:r>
      <w:r>
        <w:rPr>
          <w:rFonts w:eastAsia="Times New Roman" w:cs="Times New Roman"/>
          <w:i w:val="false"/>
          <w:iCs w:val="false"/>
          <w:color w:val="000000"/>
          <w:spacing w:val="-6"/>
          <w:kern w:val="0"/>
          <w:sz w:val="28"/>
          <w:szCs w:val="28"/>
          <w:highlight w:val="white"/>
          <w:u w:val="none"/>
          <w:shd w:fill="FFFFFF" w:val="clear"/>
          <w:lang w:val="uk-UA" w:eastAsia="zh-CN" w:bidi="ar-SA"/>
        </w:rPr>
        <w:t>акціонерно-пайового товариства</w:t>
      </w:r>
      <w:r>
        <w:rPr>
          <w:rFonts w:eastAsia="Times New Roman" w:cs="Times New Roman"/>
          <w:i w:val="false"/>
          <w:iCs w:val="false"/>
          <w:color w:val="FF0000"/>
          <w:spacing w:val="-6"/>
          <w:kern w:val="0"/>
          <w:sz w:val="28"/>
          <w:szCs w:val="28"/>
          <w:highlight w:val="white"/>
          <w:u w:val="none"/>
          <w:shd w:fill="FFFFFF" w:val="clear"/>
          <w:lang w:val="uk-UA" w:eastAsia="zh-CN" w:bidi="ar-SA"/>
        </w:rPr>
        <w:t xml:space="preserve"> </w:t>
      </w:r>
      <w:r>
        <w:rPr>
          <w:rFonts w:eastAsia="Times New Roman" w:cs="Times New Roman"/>
          <w:i w:val="false"/>
          <w:iCs w:val="false"/>
          <w:color w:val="000000"/>
          <w:spacing w:val="-6"/>
          <w:kern w:val="0"/>
          <w:sz w:val="28"/>
          <w:szCs w:val="28"/>
          <w:highlight w:val="white"/>
          <w:u w:val="none"/>
          <w:shd w:fill="FFFFFF" w:val="clear"/>
          <w:lang w:val="uk-UA" w:eastAsia="zh-CN" w:bidi="ar-SA"/>
        </w:rPr>
        <w:t>“</w:t>
      </w:r>
      <w:r>
        <w:rPr>
          <w:rFonts w:eastAsia="Times New Roman" w:cs="Times New Roman"/>
          <w:color w:val="000000"/>
          <w:spacing w:val="-6"/>
          <w:kern w:val="0"/>
          <w:sz w:val="28"/>
          <w:szCs w:val="28"/>
          <w:highlight w:val="white"/>
          <w:u w:val="none"/>
          <w:shd w:fill="FFFFFF" w:val="clear"/>
          <w:lang w:val="uk-UA" w:eastAsia="zh-CN" w:bidi="ar-SA"/>
        </w:rPr>
        <w:t>Волинь”</w:t>
      </w:r>
      <w:r>
        <w:rPr>
          <w:rFonts w:eastAsia="Times New Roman" w:cs="Times New Roman"/>
          <w:color w:val="000000"/>
          <w:spacing w:val="-6"/>
          <w:kern w:val="0"/>
          <w:sz w:val="28"/>
          <w:szCs w:val="28"/>
          <w:lang w:val="uk-UA" w:eastAsia="zh-CN" w:bidi="ar-SA"/>
        </w:rPr>
        <w:t xml:space="preserve"> </w:t>
      </w:r>
      <w:r>
        <w:rPr>
          <w:rFonts w:eastAsia="Times New Roman" w:cs="Times New Roman"/>
          <w:color w:val="111111"/>
          <w:spacing w:val="-6"/>
          <w:kern w:val="0"/>
          <w:sz w:val="28"/>
          <w:szCs w:val="28"/>
          <w:highlight w:val="white"/>
          <w:u w:val="none"/>
          <w:shd w:fill="FFFFFF" w:val="clear"/>
          <w:lang w:val="uk-UA" w:eastAsia="zh-CN" w:bidi="ar-SA"/>
        </w:rPr>
        <w:t>серії ВЛ № </w:t>
      </w:r>
      <w:r>
        <w:rPr>
          <w:rFonts w:eastAsia="Times New Roman" w:cs="Times New Roman"/>
          <w:color w:val="000000"/>
          <w:spacing w:val="-6"/>
          <w:kern w:val="0"/>
          <w:sz w:val="28"/>
          <w:szCs w:val="28"/>
          <w:highlight w:val="white"/>
          <w:u w:val="none"/>
          <w:shd w:fill="FFFFFF" w:val="clear"/>
          <w:lang w:val="uk-UA" w:eastAsia="zh-CN" w:bidi="ar-SA"/>
        </w:rPr>
        <w:t>0101832 від 31.12.1996, з</w:t>
      </w:r>
      <w:r>
        <w:rPr>
          <w:rFonts w:eastAsia="Times New Roman" w:cs="Times New Roman"/>
          <w:color w:val="111111"/>
          <w:spacing w:val="-6"/>
          <w:kern w:val="0"/>
          <w:sz w:val="28"/>
          <w:szCs w:val="28"/>
          <w:highlight w:val="white"/>
          <w:u w:val="none"/>
          <w:shd w:fill="FFFFFF" w:val="clear"/>
          <w:lang w:val="uk-UA" w:eastAsia="zh-CN" w:bidi="ar-SA"/>
        </w:rPr>
        <w:t xml:space="preserve">ареєстрований у Книзі реєстрації сертифікатів на право на земельну частку (пай) від </w:t>
      </w:r>
      <w:r>
        <w:rPr>
          <w:rFonts w:eastAsia="Times New Roman" w:cs="Times New Roman"/>
          <w:color w:val="000000"/>
          <w:spacing w:val="-6"/>
          <w:kern w:val="0"/>
          <w:sz w:val="28"/>
          <w:szCs w:val="28"/>
          <w:highlight w:val="white"/>
          <w:u w:val="none"/>
          <w:shd w:fill="FFFFFF" w:val="clear"/>
          <w:lang w:val="uk-UA" w:eastAsia="zh-CN" w:bidi="ar-SA"/>
        </w:rPr>
        <w:t>31.12.1996</w:t>
      </w:r>
      <w:r>
        <w:rPr>
          <w:rFonts w:eastAsia="Times New Roman" w:cs="Times New Roman"/>
          <w:color w:val="111111"/>
          <w:spacing w:val="-6"/>
          <w:kern w:val="0"/>
          <w:sz w:val="28"/>
          <w:szCs w:val="28"/>
          <w:highlight w:val="white"/>
          <w:u w:val="none"/>
          <w:shd w:fill="FFFFFF" w:val="clear"/>
          <w:lang w:val="uk-UA" w:eastAsia="zh-CN" w:bidi="ar-SA"/>
        </w:rPr>
        <w:t xml:space="preserve"> № </w:t>
      </w:r>
      <w:r>
        <w:rPr>
          <w:rFonts w:eastAsia="Times New Roman" w:cs="Times New Roman"/>
          <w:color w:val="000000"/>
          <w:spacing w:val="-6"/>
          <w:kern w:val="0"/>
          <w:sz w:val="28"/>
          <w:szCs w:val="28"/>
          <w:highlight w:val="white"/>
          <w:u w:val="none"/>
          <w:shd w:fill="FFFFFF" w:val="clear"/>
          <w:lang w:val="uk-UA" w:eastAsia="zh-CN" w:bidi="ar-SA"/>
        </w:rPr>
        <w:t xml:space="preserve">396, </w:t>
      </w:r>
      <w:r>
        <w:rPr>
          <w:rFonts w:eastAsia="Times New Roman" w:cs="Times New Roman"/>
          <w:color w:val="111111"/>
          <w:spacing w:val="-6"/>
          <w:kern w:val="0"/>
          <w:sz w:val="28"/>
          <w:szCs w:val="28"/>
          <w:highlight w:val="white"/>
          <w:u w:val="none"/>
          <w:shd w:fill="FFFFFF" w:val="clear"/>
          <w:lang w:val="uk-UA" w:eastAsia="zh-CN" w:bidi="ar-SA"/>
        </w:rPr>
        <w:t xml:space="preserve">виданий на підставі розпорядження голови Ківерцівської районної державної адміністрації </w:t>
      </w:r>
      <w:r>
        <w:rPr>
          <w:rFonts w:eastAsia="Times New Roman" w:cs="Times New Roman"/>
          <w:color w:val="000000"/>
          <w:spacing w:val="-6"/>
          <w:kern w:val="0"/>
          <w:sz w:val="28"/>
          <w:szCs w:val="28"/>
          <w:highlight w:val="white"/>
          <w:u w:val="none"/>
          <w:shd w:fill="FFFFFF" w:val="clear"/>
          <w:lang w:val="uk-UA" w:eastAsia="zh-CN" w:bidi="ar-SA"/>
        </w:rPr>
        <w:t>Волинської області</w:t>
      </w:r>
      <w:r>
        <w:rPr>
          <w:rFonts w:eastAsia="Times New Roman" w:cs="Times New Roman"/>
          <w:color w:val="111111"/>
          <w:spacing w:val="-6"/>
          <w:kern w:val="0"/>
          <w:sz w:val="28"/>
          <w:szCs w:val="28"/>
          <w:highlight w:val="white"/>
          <w:u w:val="none"/>
          <w:shd w:fill="FFFFFF" w:val="clear"/>
          <w:lang w:val="uk-UA" w:eastAsia="zh-CN" w:bidi="ar-SA"/>
        </w:rPr>
        <w:t xml:space="preserve"> </w:t>
      </w:r>
      <w:r>
        <w:rPr>
          <w:rFonts w:eastAsia="Times New Roman" w:cs="Times New Roman"/>
          <w:color w:val="000000"/>
          <w:spacing w:val="-6"/>
          <w:kern w:val="0"/>
          <w:sz w:val="28"/>
          <w:szCs w:val="28"/>
          <w:highlight w:val="white"/>
          <w:u w:val="none"/>
          <w:shd w:fill="FFFFFF" w:val="clear"/>
          <w:lang w:val="uk-UA" w:eastAsia="zh-CN" w:bidi="ar-SA"/>
        </w:rPr>
        <w:t>від 31.12.1996 № 380, «Про видачу сертифікатів на право на земельну частку</w:t>
      </w:r>
      <w:r>
        <w:rPr>
          <w:rFonts w:eastAsia="Times New Roman" w:cs="Times New Roman"/>
          <w:i w:val="false"/>
          <w:iCs w:val="false"/>
          <w:color w:val="000000"/>
          <w:spacing w:val="-6"/>
          <w:kern w:val="0"/>
          <w:sz w:val="28"/>
          <w:szCs w:val="28"/>
          <w:highlight w:val="white"/>
          <w:u w:val="none"/>
          <w:shd w:fill="FFFFFF" w:val="clear"/>
          <w:lang w:val="uk-UA" w:eastAsia="zh-CN" w:bidi="ar-SA"/>
        </w:rPr>
        <w:t xml:space="preserve"> /пай/ членам акціонерно-пайового товариства</w:t>
      </w:r>
      <w:r>
        <w:rPr>
          <w:rFonts w:eastAsia="Times New Roman" w:cs="Times New Roman"/>
          <w:i w:val="false"/>
          <w:iCs w:val="false"/>
          <w:color w:val="FF0000"/>
          <w:spacing w:val="-6"/>
          <w:kern w:val="0"/>
          <w:sz w:val="28"/>
          <w:szCs w:val="28"/>
          <w:highlight w:val="white"/>
          <w:u w:val="none"/>
          <w:shd w:fill="FFFFFF" w:val="clear"/>
          <w:lang w:val="uk-UA" w:eastAsia="zh-CN" w:bidi="ar-SA"/>
        </w:rPr>
        <w:t xml:space="preserve"> </w:t>
      </w:r>
      <w:r>
        <w:rPr>
          <w:rFonts w:eastAsia="Times New Roman" w:cs="Times New Roman"/>
          <w:i w:val="false"/>
          <w:iCs w:val="false"/>
          <w:color w:val="000000"/>
          <w:spacing w:val="-6"/>
          <w:kern w:val="0"/>
          <w:sz w:val="28"/>
          <w:szCs w:val="28"/>
          <w:highlight w:val="white"/>
          <w:u w:val="none"/>
          <w:shd w:fill="FFFFFF" w:val="clear"/>
          <w:lang w:val="uk-UA" w:eastAsia="zh-CN" w:bidi="ar-SA"/>
        </w:rPr>
        <w:t>“</w:t>
      </w:r>
      <w:r>
        <w:rPr>
          <w:rFonts w:eastAsia="Times New Roman" w:cs="Times New Roman"/>
          <w:color w:val="000000"/>
          <w:spacing w:val="-6"/>
          <w:kern w:val="0"/>
          <w:sz w:val="28"/>
          <w:szCs w:val="28"/>
          <w:highlight w:val="white"/>
          <w:u w:val="none"/>
          <w:shd w:fill="FFFFFF" w:val="clear"/>
          <w:lang w:val="uk-UA" w:eastAsia="zh-CN" w:bidi="ar-SA"/>
        </w:rPr>
        <w:t>Волинь”</w:t>
      </w:r>
      <w:r>
        <w:rPr>
          <w:rFonts w:eastAsia="Times New Roman" w:cs="Times New Roman"/>
          <w:color w:val="111111"/>
          <w:spacing w:val="-6"/>
          <w:kern w:val="2"/>
          <w:sz w:val="28"/>
          <w:szCs w:val="28"/>
          <w:highlight w:val="white"/>
          <w:u w:val="none"/>
          <w:shd w:fill="FFFFFF" w:val="clear"/>
          <w:lang w:val="uk-UA" w:eastAsia="zh-CN" w:bidi="ar-SA"/>
        </w:rPr>
        <w:t>»</w:t>
      </w:r>
      <w:r>
        <w:rPr>
          <w:rFonts w:eastAsia="Times New Roman" w:cs="Times New Roman"/>
          <w:color w:val="000000"/>
          <w:spacing w:val="-6"/>
          <w:kern w:val="0"/>
          <w:sz w:val="28"/>
          <w:szCs w:val="28"/>
          <w:highlight w:val="white"/>
          <w:u w:val="none"/>
          <w:shd w:fill="FFFFFF" w:val="clear"/>
          <w:lang w:val="uk-UA" w:eastAsia="zh-CN" w:bidi="ar-SA"/>
        </w:rPr>
        <w:t>,</w:t>
      </w:r>
      <w:r>
        <w:rPr>
          <w:rFonts w:eastAsia="Times New Roman" w:cs="Times New Roman"/>
          <w:color w:val="000000"/>
          <w:spacing w:val="-6"/>
          <w:kern w:val="0"/>
          <w:sz w:val="28"/>
          <w:szCs w:val="28"/>
          <w:u w:val="none"/>
          <w:lang w:val="uk-UA" w:eastAsia="zh-CN" w:bidi="ar-SA"/>
        </w:rPr>
        <w:t xml:space="preserve">       довідка старости Жидичинського старостинського округу від 09.04.2025                                № 26-18/74/2025,</w:t>
      </w:r>
      <w:r>
        <w:rPr>
          <w:color w:val="FF0000"/>
          <w:spacing w:val="-6"/>
          <w:sz w:val="28"/>
          <w:szCs w:val="28"/>
        </w:rPr>
        <w:t xml:space="preserve"> </w:t>
      </w:r>
      <w:r>
        <w:rPr>
          <w:color w:val="111111"/>
          <w:spacing w:val="-6"/>
          <w:kern w:val="2"/>
          <w:sz w:val="28"/>
          <w:szCs w:val="28"/>
          <w:highlight w:val="white"/>
          <w:shd w:fill="FFFFFF" w:val="clear"/>
        </w:rPr>
        <w:t>керуючись статтями 12, 22, 25, 79-1, 81, 86, 96, 118, пунктами 16, 17, 24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kern w:val="2"/>
          <w:sz w:val="28"/>
          <w:szCs w:val="28"/>
          <w:highlight w:val="white"/>
          <w:shd w:fill="FFFFFF" w:val="clear"/>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highlight w:val="white"/>
          <w:shd w:fill="FFFFFF" w:val="clear"/>
        </w:rPr>
        <w:t>розпорядженням Кабінету Міністрів України від 12.</w:t>
      </w:r>
      <w:r>
        <w:rPr>
          <w:color w:val="000000"/>
          <w:spacing w:val="-6"/>
          <w:kern w:val="2"/>
          <w:sz w:val="28"/>
          <w:szCs w:val="28"/>
          <w:highlight w:val="white"/>
          <w:shd w:fill="FFFFFF" w:val="clear"/>
          <w:lang w:val="en-US"/>
        </w:rPr>
        <w:t>06.</w:t>
      </w:r>
      <w:r>
        <w:rPr>
          <w:color w:val="000000"/>
          <w:spacing w:val="-6"/>
          <w:kern w:val="2"/>
          <w:sz w:val="28"/>
          <w:szCs w:val="28"/>
          <w:highlight w:val="white"/>
          <w:shd w:fill="FFFFFF" w:val="clear"/>
        </w:rPr>
        <w:t>2020 № 708-р «</w:t>
      </w:r>
      <w:r>
        <w:rPr>
          <w:color w:val="111111"/>
          <w:spacing w:val="-6"/>
          <w:kern w:val="2"/>
          <w:sz w:val="28"/>
          <w:szCs w:val="28"/>
          <w:highlight w:val="white"/>
          <w:shd w:fill="FFFFFF" w:val="clear"/>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 xml:space="preserve">», </w:t>
      </w:r>
      <w:r>
        <w:rPr>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rFonts w:eastAsia="Times New Roman" w:cs="Times New Roman"/>
          <w:color w:val="000000"/>
          <w:spacing w:val="-6"/>
          <w:kern w:val="0"/>
          <w:sz w:val="28"/>
          <w:szCs w:val="28"/>
          <w:lang w:val="en-US" w:eastAsia="uk-UA" w:bidi="ar-S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lang w:eastAsia="uk-UA"/>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ind w:firstLine="555"/>
        <w:jc w:val="both"/>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pacing w:val="-8"/>
          <w:sz w:val="28"/>
          <w:szCs w:val="28"/>
        </w:rPr>
        <w:t>1. </w:t>
      </w:r>
      <w:r>
        <w:rPr>
          <w:rFonts w:eastAsia="Times New Roman" w:cs="Times New Roman"/>
          <w:color w:val="auto"/>
          <w:spacing w:val="-8"/>
          <w:kern w:val="0"/>
          <w:sz w:val="28"/>
          <w:szCs w:val="28"/>
          <w:u w:val="none"/>
          <w:lang w:val="uk-UA" w:eastAsia="zh-CN" w:bidi="ar-SA"/>
        </w:rPr>
        <w:t xml:space="preserve">Надати громадянам </w:t>
      </w:r>
      <w:r>
        <w:rPr>
          <w:rFonts w:eastAsia="Times New Roman" w:cs="Times New Roman"/>
          <w:color w:val="auto"/>
          <w:spacing w:val="-6"/>
          <w:kern w:val="0"/>
          <w:sz w:val="28"/>
          <w:szCs w:val="28"/>
          <w:u w:val="none"/>
          <w:lang w:val="uk-UA" w:eastAsia="zh-CN" w:bidi="ar-SA"/>
        </w:rPr>
        <w:t>Зайковській Марії Сергіївні (частка 1/4), Рудчик Наталії Сергіївні (частка 1/4), Зарадюк Ользі Сергіївні (частка 1/4), Трефеловій Анжеліці Вікторівні (частка 1/4)</w:t>
      </w:r>
      <w:r>
        <w:rPr>
          <w:rFonts w:eastAsia="Times New Roman" w:cs="Times New Roman"/>
          <w:color w:val="auto"/>
          <w:spacing w:val="-8"/>
          <w:kern w:val="0"/>
          <w:sz w:val="28"/>
          <w:szCs w:val="28"/>
          <w:u w:val="none"/>
          <w:lang w:val="uk-UA" w:eastAsia="zh-CN" w:bidi="ar-SA"/>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w:t>
      </w:r>
      <w:r>
        <w:rPr>
          <w:rFonts w:eastAsia="Times New Roman" w:cs="Times New Roman"/>
          <w:color w:val="000000"/>
          <w:spacing w:val="-8"/>
          <w:kern w:val="0"/>
          <w:sz w:val="28"/>
          <w:szCs w:val="28"/>
          <w:u w:val="none"/>
          <w:lang w:val="uk-UA" w:eastAsia="zh-CN" w:bidi="ar-SA"/>
        </w:rPr>
        <w:t>№ 1047</w:t>
      </w:r>
      <w:r>
        <w:rPr>
          <w:rFonts w:eastAsia="Times New Roman" w:cs="Times New Roman"/>
          <w:color w:val="auto"/>
          <w:spacing w:val="-8"/>
          <w:kern w:val="0"/>
          <w:sz w:val="28"/>
          <w:szCs w:val="28"/>
          <w:u w:val="none"/>
          <w:lang w:val="uk-UA" w:eastAsia="zh-CN" w:bidi="ar-SA"/>
        </w:rPr>
        <w:t xml:space="preserve">, відповідно до сертифіката на право на земельну частку (пай), </w:t>
      </w:r>
      <w:r>
        <w:rPr>
          <w:rFonts w:eastAsia="Times New Roman" w:cs="Times New Roman"/>
          <w:color w:val="111111"/>
          <w:spacing w:val="-6"/>
          <w:kern w:val="0"/>
          <w:sz w:val="28"/>
          <w:szCs w:val="28"/>
          <w:u w:val="none"/>
          <w:lang w:val="uk-UA" w:eastAsia="zh-CN" w:bidi="ar-SA"/>
        </w:rPr>
        <w:t>яка перебувала у колективній</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власності</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колишнього</w:t>
      </w:r>
      <w:r>
        <w:rPr>
          <w:rFonts w:eastAsia="Times New Roman" w:cs="Times New Roman"/>
          <w:color w:val="auto"/>
          <w:spacing w:val="-6"/>
          <w:kern w:val="0"/>
          <w:sz w:val="12"/>
          <w:szCs w:val="12"/>
          <w:u w:val="none"/>
          <w:lang w:val="uk-UA" w:eastAsia="zh-CN" w:bidi="ar-SA"/>
        </w:rPr>
        <w:t xml:space="preserve"> </w:t>
      </w:r>
      <w:r>
        <w:rPr>
          <w:rFonts w:eastAsia="Times New Roman" w:cs="Times New Roman"/>
          <w:i w:val="false"/>
          <w:iCs w:val="false"/>
          <w:color w:val="000000"/>
          <w:spacing w:val="-6"/>
          <w:kern w:val="0"/>
          <w:sz w:val="28"/>
          <w:szCs w:val="28"/>
          <w:u w:val="none"/>
          <w:lang w:val="uk-UA" w:eastAsia="zh-CN" w:bidi="ar-SA"/>
        </w:rPr>
        <w:t>акціонерно-пайового товариства</w:t>
      </w:r>
      <w:r>
        <w:rPr>
          <w:rFonts w:eastAsia="Times New Roman" w:cs="Times New Roman"/>
          <w:i w:val="false"/>
          <w:iCs w:val="false"/>
          <w:color w:val="FF0000"/>
          <w:spacing w:val="-6"/>
          <w:kern w:val="0"/>
          <w:sz w:val="28"/>
          <w:szCs w:val="28"/>
          <w:u w:val="none"/>
          <w:lang w:val="uk-UA" w:eastAsia="zh-CN" w:bidi="ar-SA"/>
        </w:rPr>
        <w:t xml:space="preserve"> </w:t>
      </w:r>
      <w:r>
        <w:rPr>
          <w:rFonts w:eastAsia="Times New Roman" w:cs="Times New Roman"/>
          <w:i w:val="false"/>
          <w:iCs w:val="false"/>
          <w:color w:val="000000"/>
          <w:spacing w:val="-6"/>
          <w:kern w:val="0"/>
          <w:sz w:val="28"/>
          <w:szCs w:val="28"/>
          <w:u w:val="none"/>
          <w:lang w:val="uk-UA" w:eastAsia="zh-CN" w:bidi="ar-SA"/>
        </w:rPr>
        <w:t>“</w:t>
      </w:r>
      <w:r>
        <w:rPr>
          <w:rFonts w:eastAsia="Times New Roman" w:cs="Times New Roman"/>
          <w:color w:val="000000"/>
          <w:spacing w:val="-6"/>
          <w:kern w:val="0"/>
          <w:sz w:val="28"/>
          <w:szCs w:val="28"/>
          <w:u w:val="none"/>
          <w:lang w:val="uk-UA" w:eastAsia="zh-CN" w:bidi="ar-SA"/>
        </w:rPr>
        <w:t>Волинь”</w:t>
      </w:r>
      <w:r>
        <w:rPr>
          <w:rFonts w:eastAsia="Times New Roman" w:cs="Times New Roman"/>
          <w:color w:val="000000"/>
          <w:spacing w:val="-6"/>
          <w:kern w:val="0"/>
          <w:sz w:val="28"/>
          <w:szCs w:val="28"/>
          <w:u w:val="none"/>
          <w:lang w:val="uk-UA" w:eastAsia="uk-UA" w:bidi="ar-SA"/>
        </w:rPr>
        <w:t xml:space="preserve"> </w:t>
      </w:r>
      <w:r>
        <w:rPr>
          <w:rFonts w:eastAsia="Times New Roman" w:cs="Times New Roman"/>
          <w:color w:val="auto"/>
          <w:spacing w:val="-6"/>
          <w:kern w:val="0"/>
          <w:sz w:val="28"/>
          <w:szCs w:val="28"/>
          <w:u w:val="none"/>
          <w:lang w:val="uk-UA" w:eastAsia="zh-CN" w:bidi="ar-SA"/>
        </w:rPr>
        <w:t xml:space="preserve">від 31.12.1996,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 xml:space="preserve">0101832 — </w:t>
      </w:r>
      <w:r>
        <w:rPr>
          <w:rFonts w:eastAsia="Times New Roman" w:cs="Times New Roman"/>
          <w:color w:val="111111"/>
          <w:spacing w:val="-6"/>
          <w:kern w:val="0"/>
          <w:sz w:val="28"/>
          <w:szCs w:val="28"/>
          <w:u w:val="none"/>
          <w:lang w:val="uk-UA" w:eastAsia="zh-CN" w:bidi="ar-SA"/>
        </w:rPr>
        <w:t xml:space="preserve">виданого на підставі розпорядження голови Ківерцівської районної державної адміністрації </w:t>
      </w:r>
      <w:r>
        <w:rPr>
          <w:rFonts w:eastAsia="Times New Roman" w:cs="Times New Roman"/>
          <w:color w:val="000000"/>
          <w:spacing w:val="-6"/>
          <w:kern w:val="0"/>
          <w:sz w:val="28"/>
          <w:szCs w:val="28"/>
          <w:u w:val="none"/>
          <w:lang w:val="uk-UA" w:eastAsia="zh-CN" w:bidi="ar-SA"/>
        </w:rPr>
        <w:t>Волинської області</w:t>
      </w:r>
      <w:r>
        <w:rPr>
          <w:rFonts w:eastAsia="Times New Roman" w:cs="Times New Roman"/>
          <w:color w:val="111111"/>
          <w:spacing w:val="-6"/>
          <w:kern w:val="0"/>
          <w:sz w:val="28"/>
          <w:szCs w:val="28"/>
          <w:u w:val="none"/>
          <w:lang w:val="uk-UA" w:eastAsia="zh-CN" w:bidi="ar-SA"/>
        </w:rPr>
        <w:t xml:space="preserve"> </w:t>
      </w:r>
      <w:r>
        <w:rPr>
          <w:rFonts w:eastAsia="Times New Roman" w:cs="Times New Roman"/>
          <w:color w:val="000000"/>
          <w:spacing w:val="-6"/>
          <w:kern w:val="0"/>
          <w:sz w:val="28"/>
          <w:szCs w:val="28"/>
          <w:u w:val="none"/>
          <w:lang w:val="uk-UA" w:eastAsia="zh-CN" w:bidi="ar-SA"/>
        </w:rPr>
        <w:t>від 31.12.1996 № 380, з</w:t>
      </w:r>
      <w:r>
        <w:rPr>
          <w:rFonts w:eastAsia="Times New Roman" w:cs="Times New Roman"/>
          <w:color w:val="111111"/>
          <w:spacing w:val="-6"/>
          <w:kern w:val="0"/>
          <w:sz w:val="28"/>
          <w:szCs w:val="28"/>
          <w:u w:val="none"/>
          <w:lang w:val="uk-UA" w:eastAsia="zh-CN" w:bidi="ar-SA"/>
        </w:rPr>
        <w:t xml:space="preserve">ареєстрованого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31.12.1996</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396</w:t>
      </w:r>
      <w:r>
        <w:rPr>
          <w:rFonts w:eastAsia="Times New Roman" w:cs="Times New Roman"/>
          <w:color w:val="000000"/>
          <w:spacing w:val="-6"/>
          <w:kern w:val="0"/>
          <w:sz w:val="28"/>
          <w:szCs w:val="28"/>
          <w:u w:val="none"/>
          <w:lang w:val="uk-UA" w:eastAsia="zh-CN" w:bidi="ar-SA"/>
        </w:rPr>
        <w:t>,</w:t>
      </w:r>
      <w:r>
        <w:rPr>
          <w:spacing w:val="-8"/>
          <w:sz w:val="28"/>
          <w:szCs w:val="28"/>
        </w:rPr>
        <w:t xml:space="preserve"> </w:t>
      </w:r>
      <w:r>
        <w:rPr>
          <w:spacing w:val="-4"/>
          <w:sz w:val="28"/>
          <w:szCs w:val="28"/>
        </w:rPr>
        <w:t xml:space="preserve">орієнтовною </w:t>
      </w:r>
      <w:r>
        <w:rPr>
          <w:spacing w:val="-8"/>
          <w:sz w:val="28"/>
          <w:szCs w:val="28"/>
        </w:rPr>
        <w:t>площею</w:t>
      </w:r>
      <w:r>
        <w:rPr>
          <w:color w:val="000000"/>
          <w:spacing w:val="-8"/>
          <w:sz w:val="28"/>
          <w:szCs w:val="28"/>
        </w:rPr>
        <w:t xml:space="preserve"> </w:t>
      </w:r>
      <w:r>
        <w:rPr>
          <w:rFonts w:eastAsia="Times New Roman" w:cs="Times New Roman"/>
          <w:color w:val="000000"/>
          <w:spacing w:val="-8"/>
          <w:kern w:val="0"/>
          <w:sz w:val="28"/>
          <w:szCs w:val="28"/>
          <w:lang w:val="uk-UA" w:eastAsia="zh-CN" w:bidi="ar-SA"/>
        </w:rPr>
        <w:t>1,36</w:t>
      </w:r>
      <w:r>
        <w:rPr>
          <w:color w:val="000000"/>
          <w:spacing w:val="-8"/>
          <w:sz w:val="28"/>
          <w:szCs w:val="28"/>
        </w:rPr>
        <w:t> га (</w:t>
      </w:r>
      <w:r>
        <w:rPr>
          <w:rFonts w:eastAsia="Times New Roman" w:cs="Times New Roman"/>
          <w:color w:val="000000"/>
          <w:spacing w:val="-4"/>
          <w:kern w:val="0"/>
          <w:sz w:val="28"/>
          <w:szCs w:val="28"/>
          <w:lang w:val="uk-UA" w:eastAsia="zh-CN" w:bidi="ar-SA"/>
        </w:rPr>
        <w:t>рілля</w:t>
      </w:r>
      <w:r>
        <w:rPr>
          <w:color w:val="000000"/>
          <w:spacing w:val="-8"/>
          <w:sz w:val="28"/>
          <w:szCs w:val="28"/>
        </w:rPr>
        <w:t>)</w:t>
      </w:r>
      <w:r>
        <w:rPr>
          <w:spacing w:val="-8"/>
          <w:sz w:val="28"/>
          <w:szCs w:val="28"/>
        </w:rPr>
        <w:t xml:space="preserve"> </w:t>
      </w:r>
      <w:r>
        <w:rPr>
          <w:rFonts w:eastAsia="Times New Roman" w:cs="Times New Roman"/>
          <w:color w:val="auto"/>
          <w:spacing w:val="-8"/>
          <w:kern w:val="0"/>
          <w:sz w:val="28"/>
          <w:szCs w:val="28"/>
          <w:lang w:val="uk-UA" w:eastAsia="zh-CN" w:bidi="ar-SA"/>
        </w:rPr>
        <w:t>у</w:t>
      </w:r>
      <w:r>
        <w:rPr>
          <w:spacing w:val="-8"/>
          <w:sz w:val="28"/>
          <w:szCs w:val="28"/>
        </w:rPr>
        <w:t xml:space="preserve"> с. </w:t>
      </w:r>
      <w:r>
        <w:rPr>
          <w:rFonts w:eastAsia="Times New Roman" w:cs="Times New Roman"/>
          <w:color w:val="auto"/>
          <w:spacing w:val="-8"/>
          <w:kern w:val="0"/>
          <w:sz w:val="28"/>
          <w:szCs w:val="28"/>
          <w:lang w:val="uk-UA" w:eastAsia="zh-CN" w:bidi="ar-SA"/>
        </w:rPr>
        <w:t>Клепачів Луцького району Волинської області</w:t>
      </w:r>
      <w:r>
        <w:rPr>
          <w:spacing w:val="-8"/>
          <w:sz w:val="28"/>
          <w:szCs w:val="28"/>
        </w:rPr>
        <w:t>, згідно з додатком.</w:t>
      </w:r>
    </w:p>
    <w:p>
      <w:pPr>
        <w:pStyle w:val="Normal"/>
        <w:ind w:left="0" w:right="0" w:firstLine="567"/>
        <w:jc w:val="both"/>
        <w:rPr/>
      </w:pPr>
      <w:r>
        <w:rPr>
          <w:spacing w:val="-8"/>
          <w:szCs w:val="28"/>
        </w:rPr>
        <w:t xml:space="preserve">2. Зобов’язати </w:t>
      </w:r>
      <w:r>
        <w:rPr>
          <w:rFonts w:eastAsia="Times New Roman" w:cs="Times New Roman"/>
          <w:color w:val="auto"/>
          <w:spacing w:val="-8"/>
          <w:kern w:val="0"/>
          <w:sz w:val="28"/>
          <w:szCs w:val="28"/>
          <w:lang w:val="uk-UA" w:eastAsia="zh-CN" w:bidi="ar-SA"/>
        </w:rPr>
        <w:t xml:space="preserve">громадян </w:t>
      </w:r>
      <w:r>
        <w:rPr>
          <w:rFonts w:eastAsia="Times New Roman" w:cs="Times New Roman"/>
          <w:color w:val="auto"/>
          <w:spacing w:val="-6"/>
          <w:kern w:val="0"/>
          <w:sz w:val="28"/>
          <w:szCs w:val="28"/>
          <w:u w:val="none"/>
          <w:lang w:val="uk-UA" w:eastAsia="zh-CN" w:bidi="ar-SA"/>
        </w:rPr>
        <w:t>Зайковську Марію Сергіївну (частка 1/4), Рудчик Наталію Сергіївну (частка 1/4), Зарадюк Ольгу Сергіївну (частка 1/4), Трефелову Анжеліку Вікторівну (частка 1/4)</w:t>
      </w:r>
      <w:r>
        <w:rPr>
          <w:rFonts w:eastAsia="Times New Roman" w:cs="Times New Roman"/>
          <w:color w:val="auto"/>
          <w:spacing w:val="-8"/>
          <w:kern w:val="0"/>
          <w:sz w:val="28"/>
          <w:szCs w:val="28"/>
          <w:lang w:val="uk-UA" w:eastAsia="zh-CN" w:bidi="ar-SA"/>
        </w:rPr>
        <w:t xml:space="preserve"> </w:t>
      </w:r>
      <w:r>
        <w:rPr>
          <w:spacing w:val="-8"/>
          <w:szCs w:val="28"/>
        </w:rPr>
        <w:t>розробити технічну документацію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w:t>
      </w:r>
      <w:r>
        <w:rPr>
          <w:color w:val="000000"/>
          <w:spacing w:val="-8"/>
          <w:szCs w:val="28"/>
        </w:rPr>
        <w:t>№ </w:t>
      </w:r>
      <w:r>
        <w:rPr>
          <w:rFonts w:eastAsia="Times New Roman" w:cs="Times New Roman"/>
          <w:color w:val="000000"/>
          <w:spacing w:val="-8"/>
          <w:kern w:val="0"/>
          <w:sz w:val="28"/>
          <w:szCs w:val="28"/>
          <w:u w:val="none"/>
          <w:lang w:val="uk-UA" w:eastAsia="zh-CN" w:bidi="ar-SA"/>
        </w:rPr>
        <w:t>1047</w:t>
      </w:r>
      <w:r>
        <w:rPr>
          <w:rFonts w:eastAsia="Times New Roman" w:cs="Times New Roman"/>
          <w:color w:val="auto"/>
          <w:spacing w:val="-8"/>
          <w:kern w:val="0"/>
          <w:sz w:val="28"/>
          <w:szCs w:val="28"/>
          <w:lang w:val="uk-UA" w:eastAsia="zh-CN" w:bidi="ar-SA"/>
        </w:rPr>
        <w:t xml:space="preserve">, </w:t>
      </w:r>
      <w:r>
        <w:rPr>
          <w:spacing w:val="-8"/>
          <w:szCs w:val="28"/>
        </w:rPr>
        <w:t xml:space="preserve">відповідно до сертифіката на право на земельну частку (пай), </w:t>
      </w:r>
      <w:r>
        <w:rPr>
          <w:rFonts w:eastAsia="Times New Roman" w:cs="Times New Roman"/>
          <w:color w:val="111111"/>
          <w:spacing w:val="-6"/>
          <w:kern w:val="0"/>
          <w:sz w:val="28"/>
          <w:szCs w:val="28"/>
          <w:u w:val="none"/>
          <w:lang w:val="uk-UA" w:eastAsia="zh-CN" w:bidi="ar-SA"/>
        </w:rPr>
        <w:t>яка перебувала у колективній</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власності</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колишнього</w:t>
      </w:r>
      <w:r>
        <w:rPr>
          <w:rFonts w:eastAsia="Times New Roman" w:cs="Times New Roman"/>
          <w:color w:val="auto"/>
          <w:spacing w:val="-6"/>
          <w:kern w:val="0"/>
          <w:sz w:val="12"/>
          <w:szCs w:val="12"/>
          <w:u w:val="none"/>
          <w:lang w:val="uk-UA" w:eastAsia="zh-CN" w:bidi="ar-SA"/>
        </w:rPr>
        <w:t xml:space="preserve"> </w:t>
      </w:r>
      <w:r>
        <w:rPr>
          <w:rFonts w:eastAsia="Times New Roman" w:cs="Times New Roman"/>
          <w:i w:val="false"/>
          <w:iCs w:val="false"/>
          <w:color w:val="000000"/>
          <w:spacing w:val="-6"/>
          <w:kern w:val="0"/>
          <w:sz w:val="28"/>
          <w:szCs w:val="28"/>
          <w:u w:val="none"/>
          <w:lang w:val="uk-UA" w:eastAsia="zh-CN" w:bidi="ar-SA"/>
        </w:rPr>
        <w:t>акціонерно-пайового товариства</w:t>
      </w:r>
      <w:r>
        <w:rPr>
          <w:rFonts w:eastAsia="Times New Roman" w:cs="Times New Roman"/>
          <w:i w:val="false"/>
          <w:iCs w:val="false"/>
          <w:color w:val="FF0000"/>
          <w:spacing w:val="-6"/>
          <w:kern w:val="0"/>
          <w:sz w:val="28"/>
          <w:szCs w:val="28"/>
          <w:u w:val="none"/>
          <w:lang w:val="uk-UA" w:eastAsia="zh-CN" w:bidi="ar-SA"/>
        </w:rPr>
        <w:t xml:space="preserve"> </w:t>
      </w:r>
      <w:r>
        <w:rPr>
          <w:rFonts w:eastAsia="Times New Roman" w:cs="Times New Roman"/>
          <w:i w:val="false"/>
          <w:iCs w:val="false"/>
          <w:color w:val="000000"/>
          <w:spacing w:val="-6"/>
          <w:kern w:val="0"/>
          <w:sz w:val="28"/>
          <w:szCs w:val="28"/>
          <w:u w:val="none"/>
          <w:lang w:val="uk-UA" w:eastAsia="zh-CN" w:bidi="ar-SA"/>
        </w:rPr>
        <w:t>“</w:t>
      </w:r>
      <w:r>
        <w:rPr>
          <w:rFonts w:eastAsia="Times New Roman" w:cs="Times New Roman"/>
          <w:color w:val="000000"/>
          <w:spacing w:val="-6"/>
          <w:kern w:val="0"/>
          <w:sz w:val="28"/>
          <w:szCs w:val="28"/>
          <w:u w:val="none"/>
          <w:lang w:val="uk-UA" w:eastAsia="zh-CN" w:bidi="ar-SA"/>
        </w:rPr>
        <w:t>Волинь”</w:t>
      </w:r>
      <w:r>
        <w:rPr>
          <w:rFonts w:eastAsia="Times New Roman" w:cs="Times New Roman"/>
          <w:color w:val="000000"/>
          <w:spacing w:val="-6"/>
          <w:kern w:val="0"/>
          <w:sz w:val="28"/>
          <w:szCs w:val="28"/>
          <w:u w:val="none"/>
          <w:lang w:val="uk-UA" w:eastAsia="uk-UA" w:bidi="ar-SA"/>
        </w:rPr>
        <w:t xml:space="preserve"> </w:t>
      </w:r>
      <w:r>
        <w:rPr>
          <w:rFonts w:eastAsia="Times New Roman" w:cs="Times New Roman"/>
          <w:color w:val="auto"/>
          <w:spacing w:val="-6"/>
          <w:kern w:val="0"/>
          <w:sz w:val="28"/>
          <w:szCs w:val="28"/>
          <w:u w:val="none"/>
          <w:lang w:val="uk-UA" w:eastAsia="zh-CN" w:bidi="ar-SA"/>
        </w:rPr>
        <w:t xml:space="preserve">від 31.12.1996,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 xml:space="preserve">0101832 — </w:t>
      </w:r>
      <w:r>
        <w:rPr>
          <w:rFonts w:eastAsia="Times New Roman" w:cs="Times New Roman"/>
          <w:color w:val="111111"/>
          <w:spacing w:val="-6"/>
          <w:kern w:val="0"/>
          <w:sz w:val="28"/>
          <w:szCs w:val="28"/>
          <w:u w:val="none"/>
          <w:lang w:val="uk-UA" w:eastAsia="zh-CN" w:bidi="ar-SA"/>
        </w:rPr>
        <w:t xml:space="preserve">виданого на підставі розпорядження голови Ківерцівської районної державної адміністрації </w:t>
      </w:r>
      <w:r>
        <w:rPr>
          <w:rFonts w:eastAsia="Times New Roman" w:cs="Times New Roman"/>
          <w:color w:val="000000"/>
          <w:spacing w:val="-6"/>
          <w:kern w:val="0"/>
          <w:sz w:val="28"/>
          <w:szCs w:val="28"/>
          <w:u w:val="none"/>
          <w:lang w:val="uk-UA" w:eastAsia="zh-CN" w:bidi="ar-SA"/>
        </w:rPr>
        <w:t>Волинської області</w:t>
      </w:r>
      <w:r>
        <w:rPr>
          <w:rFonts w:eastAsia="Times New Roman" w:cs="Times New Roman"/>
          <w:color w:val="111111"/>
          <w:spacing w:val="-6"/>
          <w:kern w:val="0"/>
          <w:sz w:val="28"/>
          <w:szCs w:val="28"/>
          <w:u w:val="none"/>
          <w:lang w:val="uk-UA" w:eastAsia="zh-CN" w:bidi="ar-SA"/>
        </w:rPr>
        <w:t xml:space="preserve"> </w:t>
      </w:r>
      <w:r>
        <w:rPr>
          <w:rFonts w:eastAsia="Times New Roman" w:cs="Times New Roman"/>
          <w:color w:val="000000"/>
          <w:spacing w:val="-6"/>
          <w:kern w:val="0"/>
          <w:sz w:val="28"/>
          <w:szCs w:val="28"/>
          <w:u w:val="none"/>
          <w:lang w:val="uk-UA" w:eastAsia="zh-CN" w:bidi="ar-SA"/>
        </w:rPr>
        <w:t>від 31.12.1996 № 380, з</w:t>
      </w:r>
      <w:r>
        <w:rPr>
          <w:rFonts w:eastAsia="Times New Roman" w:cs="Times New Roman"/>
          <w:color w:val="111111"/>
          <w:spacing w:val="-6"/>
          <w:kern w:val="0"/>
          <w:sz w:val="28"/>
          <w:szCs w:val="28"/>
          <w:u w:val="none"/>
          <w:lang w:val="uk-UA" w:eastAsia="zh-CN" w:bidi="ar-SA"/>
        </w:rPr>
        <w:t xml:space="preserve">ареєстрованого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31.12.1996</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396</w:t>
      </w:r>
      <w:r>
        <w:rPr>
          <w:rFonts w:eastAsia="Times New Roman" w:cs="Times New Roman"/>
          <w:color w:val="000000"/>
          <w:spacing w:val="-6"/>
          <w:kern w:val="0"/>
          <w:sz w:val="28"/>
          <w:szCs w:val="28"/>
          <w:u w:val="none"/>
          <w:lang w:val="uk-UA" w:eastAsia="zh-CN" w:bidi="ar-SA"/>
        </w:rPr>
        <w:t>,</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 xml:space="preserve">орієнтовною </w:t>
      </w:r>
      <w:r>
        <w:rPr>
          <w:rFonts w:eastAsia="Times New Roman" w:cs="Times New Roman"/>
          <w:color w:val="auto"/>
          <w:spacing w:val="-8"/>
          <w:kern w:val="0"/>
          <w:sz w:val="28"/>
          <w:szCs w:val="28"/>
          <w:lang w:val="uk-UA" w:eastAsia="zh-CN" w:bidi="ar-SA"/>
        </w:rPr>
        <w:t xml:space="preserve">площею </w:t>
      </w:r>
      <w:r>
        <w:rPr>
          <w:rFonts w:eastAsia="Times New Roman" w:cs="Times New Roman"/>
          <w:color w:val="000000"/>
          <w:spacing w:val="-8"/>
          <w:kern w:val="0"/>
          <w:sz w:val="28"/>
          <w:szCs w:val="28"/>
          <w:lang w:val="uk-UA" w:eastAsia="zh-CN" w:bidi="ar-SA"/>
        </w:rPr>
        <w:t>1,36 га (</w:t>
      </w:r>
      <w:r>
        <w:rPr>
          <w:rFonts w:eastAsia="Times New Roman" w:cs="Times New Roman"/>
          <w:color w:val="000000"/>
          <w:spacing w:val="-4"/>
          <w:kern w:val="0"/>
          <w:sz w:val="28"/>
          <w:szCs w:val="28"/>
          <w:lang w:val="uk-UA" w:eastAsia="zh-CN" w:bidi="ar-SA"/>
        </w:rPr>
        <w:t>рілля</w:t>
      </w:r>
      <w:r>
        <w:rPr>
          <w:rFonts w:eastAsia="Times New Roman" w:cs="Times New Roman"/>
          <w:color w:val="000000"/>
          <w:spacing w:val="-8"/>
          <w:kern w:val="0"/>
          <w:sz w:val="28"/>
          <w:szCs w:val="28"/>
          <w:lang w:val="uk-UA" w:eastAsia="zh-CN" w:bidi="ar-SA"/>
        </w:rPr>
        <w:t>)</w:t>
      </w:r>
      <w:r>
        <w:rPr>
          <w:rFonts w:eastAsia="Times New Roman" w:cs="Times New Roman"/>
          <w:color w:val="auto"/>
          <w:spacing w:val="-8"/>
          <w:kern w:val="0"/>
          <w:sz w:val="28"/>
          <w:szCs w:val="28"/>
          <w:lang w:val="uk-UA" w:eastAsia="zh-CN" w:bidi="ar-SA"/>
        </w:rPr>
        <w:t xml:space="preserve"> у с. Клепачів Луцького </w:t>
      </w:r>
      <w:r>
        <w:rPr>
          <w:rFonts w:eastAsia="Times New Roman" w:cs="Times New Roman"/>
          <w:color w:val="auto"/>
          <w:spacing w:val="0"/>
          <w:kern w:val="0"/>
          <w:sz w:val="28"/>
          <w:szCs w:val="28"/>
          <w:lang w:val="uk-UA" w:eastAsia="zh-CN" w:bidi="ar-SA"/>
        </w:rPr>
        <w:t>району Волинської області</w:t>
      </w:r>
      <w:r>
        <w:rPr>
          <w:spacing w:val="-8"/>
          <w:szCs w:val="28"/>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z w:val="28"/>
          <w:szCs w:val="2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 w:val="24"/>
          <w:szCs w:val="24"/>
        </w:rPr>
      </w:pPr>
      <w:r>
        <w:rPr>
          <w:sz w:val="24"/>
          <w:szCs w:val="24"/>
        </w:rPr>
      </w:r>
    </w:p>
    <w:p>
      <w:pPr>
        <w:pStyle w:val="Normal"/>
        <w:jc w:val="both"/>
        <w:rPr>
          <w:sz w:val="28"/>
          <w:szCs w:val="28"/>
        </w:rPr>
      </w:pPr>
      <w:r>
        <w:rPr>
          <w:sz w:val="28"/>
          <w:szCs w:val="28"/>
        </w:rPr>
        <w:t>Міський голова                                                                             Ігор ПОЛІЩУК</w:t>
      </w:r>
    </w:p>
    <w:p>
      <w:pPr>
        <w:pStyle w:val="Normal"/>
        <w:jc w:val="both"/>
        <w:rPr>
          <w:sz w:val="36"/>
          <w:szCs w:val="36"/>
        </w:rPr>
      </w:pPr>
      <w:r>
        <w:rPr>
          <w:sz w:val="36"/>
          <w:szCs w:val="36"/>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9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Интернет-ссылка"/>
    <w:qFormat/>
    <w:rPr>
      <w:color w:val="000080"/>
      <w:u w:val="single"/>
      <w:lang w:val="zxx"/>
    </w:rPr>
  </w:style>
  <w:style w:type="character" w:styleId="WWWW8Num2ztrue61">
    <w:name w:val="WW-WW8Num2ztrue61"/>
    <w:qFormat/>
    <w:rPr/>
  </w:style>
  <w:style w:type="character" w:styleId="WWWW8Num2ztrue51">
    <w:name w:val="WW-WW8Num2ztrue51"/>
    <w:qFormat/>
    <w:rPr/>
  </w:style>
  <w:style w:type="character" w:styleId="WWWW8Num2ztrue41">
    <w:name w:val="WW-WW8Num2ztrue41"/>
    <w:qFormat/>
    <w:rPr/>
  </w:style>
  <w:style w:type="character" w:styleId="WWWW8Num2ztrue31">
    <w:name w:val="WW-WW8Num2ztrue31"/>
    <w:qFormat/>
    <w:rPr/>
  </w:style>
  <w:style w:type="character" w:styleId="WWWW8Num2ztrue21">
    <w:name w:val="WW-WW8Num2ztrue21"/>
    <w:qFormat/>
    <w:rPr/>
  </w:style>
  <w:style w:type="character" w:styleId="WWWW8Num2ztrue11">
    <w:name w:val="WW-WW8Num2ztrue11"/>
    <w:qFormat/>
    <w:rPr/>
  </w:style>
  <w:style w:type="character" w:styleId="WWWW8Num2ztrue7">
    <w:name w:val="WW-WW8Num2ztrue7"/>
    <w:qFormat/>
    <w:rPr/>
  </w:style>
  <w:style w:type="character" w:styleId="WWWW8Num1ztrue611111111111111111111111111111111111111111">
    <w:name w:val="WW-WW8Num1ztrue611111111111111111111111111111111111111111"/>
    <w:qFormat/>
    <w:rPr/>
  </w:style>
  <w:style w:type="character" w:styleId="WWWW8Num1ztrue511111111111111111111111111111111111111111">
    <w:name w:val="WW-WW8Num1ztrue511111111111111111111111111111111111111111"/>
    <w:qFormat/>
    <w:rPr/>
  </w:style>
  <w:style w:type="character" w:styleId="WWWW8Num1ztrue411111111111111111111111111111111111111111">
    <w:name w:val="WW-WW8Num1ztrue411111111111111111111111111111111111111111"/>
    <w:qFormat/>
    <w:rPr/>
  </w:style>
  <w:style w:type="character" w:styleId="WWWW8Num1ztrue311111111111111111111111111111111111111111">
    <w:name w:val="WW-WW8Num1ztrue311111111111111111111111111111111111111111"/>
    <w:qFormat/>
    <w:rPr/>
  </w:style>
  <w:style w:type="character" w:styleId="WWWW8Num1ztrue211111111111111111111111111111111111111111">
    <w:name w:val="WW-WW8Num1ztrue211111111111111111111111111111111111111111"/>
    <w:qFormat/>
    <w:rPr/>
  </w:style>
  <w:style w:type="character" w:styleId="WWWW8Num1ztrue111111111111111111111111111111111111111111">
    <w:name w:val="WW-WW8Num1ztrue111111111111111111111111111111111111111111"/>
    <w:qFormat/>
    <w:rPr/>
  </w:style>
  <w:style w:type="character" w:styleId="WWWW8Num1ztrue71111111111111111111111111111111111111111">
    <w:name w:val="WW-WW8Num1ztrue71111111111111111111111111111111111111111"/>
    <w:qFormat/>
    <w:rPr/>
  </w:style>
  <w:style w:type="character" w:styleId="WWWW8Num1ztrue61111111111111111111111111111111111111111">
    <w:name w:val="WW-WW8Num1ztrue61111111111111111111111111111111111111111"/>
    <w:qFormat/>
    <w:rPr/>
  </w:style>
  <w:style w:type="character" w:styleId="WWWW8Num1ztrue51111111111111111111111111111111111111111">
    <w:name w:val="WW-WW8Num1ztrue51111111111111111111111111111111111111111"/>
    <w:qFormat/>
    <w:rPr/>
  </w:style>
  <w:style w:type="character" w:styleId="WWWW8Num1ztrue41111111111111111111111111111111111111111">
    <w:name w:val="WW-WW8Num1ztrue41111111111111111111111111111111111111111"/>
    <w:qFormat/>
    <w:rPr/>
  </w:style>
  <w:style w:type="character" w:styleId="WWWW8Num1ztrue31111111111111111111111111111111111111111">
    <w:name w:val="WW-WW8Num1ztrue31111111111111111111111111111111111111111"/>
    <w:qFormat/>
    <w:rPr/>
  </w:style>
  <w:style w:type="character" w:styleId="WWWW8Num1ztrue21111111111111111111111111111111111111111">
    <w:name w:val="WW-WW8Num1ztrue21111111111111111111111111111111111111111"/>
    <w:qFormat/>
    <w:rPr/>
  </w:style>
  <w:style w:type="character" w:styleId="WWWW8Num1ztrue11111111111111111111111111111111111111111">
    <w:name w:val="WW-WW8Num1ztrue11111111111111111111111111111111111111111"/>
    <w:qFormat/>
    <w:rPr/>
  </w:style>
  <w:style w:type="character" w:styleId="WWWW8Num1ztrue7111111111111111111111111111111111111111">
    <w:name w:val="WW-WW8Num1ztrue7111111111111111111111111111111111111111"/>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character" w:styleId="WWWW8Num2ztrue6">
    <w:name w:val="WW-WW8Num2ztrue6"/>
    <w:qFormat/>
    <w:rPr/>
  </w:style>
  <w:style w:type="character" w:styleId="WWWW8Num2ztrue5">
    <w:name w:val="WW-WW8Num2ztrue5"/>
    <w:qFormat/>
    <w:rPr/>
  </w:style>
  <w:style w:type="character" w:styleId="WWWW8Num2ztrue4">
    <w:name w:val="WW-WW8Num2ztrue4"/>
    <w:qFormat/>
    <w:rPr/>
  </w:style>
  <w:style w:type="character" w:styleId="WWWW8Num2ztrue3">
    <w:name w:val="WW-WW8Num2ztrue3"/>
    <w:qFormat/>
    <w:rPr/>
  </w:style>
  <w:style w:type="character" w:styleId="WWWW8Num2ztrue2">
    <w:name w:val="WW-WW8Num2ztrue2"/>
    <w:qFormat/>
    <w:rPr/>
  </w:style>
  <w:style w:type="character" w:styleId="WWWW8Num2ztrue1">
    <w:name w:val="WW-WW8Num2ztrue1"/>
    <w:qFormat/>
    <w:rPr/>
  </w:style>
  <w:style w:type="character" w:styleId="WWWW8Num2ztrue">
    <w:name w:val="WW-WW8Num2ztrue"/>
    <w:qFormat/>
    <w:rPr/>
  </w:style>
  <w:style w:type="character" w:styleId="WW8Num2ztrue">
    <w:name w:val="WW8Num2ztrue"/>
    <w:qFormat/>
    <w:rPr/>
  </w:style>
  <w:style w:type="character" w:styleId="WW8Num2zfalse">
    <w:name w:val="WW8Num2zfalse"/>
    <w:qFormat/>
    <w:rPr/>
  </w:style>
  <w:style w:type="character" w:styleId="Style13">
    <w:name w:val="Основной шрифт абзаца"/>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Style19"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20">
    <w:name w:val="Header"/>
    <w:basedOn w:val="Normal"/>
    <w:pPr>
      <w:tabs>
        <w:tab w:val="clear" w:pos="709"/>
        <w:tab w:val="center" w:pos="4677" w:leader="none"/>
        <w:tab w:val="right" w:pos="9355" w:leader="none"/>
      </w:tabs>
    </w:pPr>
    <w:rPr/>
  </w:style>
  <w:style w:type="paragraph" w:styleId="Style21">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paragraph" w:styleId="Style22">
    <w:name w:val="Заголовок таблицы"/>
    <w:qFormat/>
    <w:pPr>
      <w:widowControl/>
      <w:suppressAutoHyphens w:val="true"/>
      <w:bidi w:val="0"/>
      <w:spacing w:before="0" w:after="0"/>
      <w:jc w:val="center"/>
    </w:pPr>
    <w:rPr>
      <w:rFonts w:ascii="Times New Roman" w:hAnsi="Times New Roman" w:eastAsia="NSimSun" w:cs="Arial"/>
      <w:b/>
      <w:color w:val="auto"/>
      <w:kern w:val="0"/>
      <w:sz w:val="28"/>
      <w:szCs w:val="24"/>
      <w:lang w:val="uk-UA" w:eastAsia="zh-CN" w:bidi="hi-IN"/>
    </w:rPr>
  </w:style>
  <w:style w:type="paragraph" w:styleId="Style23">
    <w:name w:val="Содержимое таблицы"/>
    <w:basedOn w:val="Normal"/>
    <w:qFormat/>
    <w:pPr/>
    <w:rPr/>
  </w:style>
  <w:style w:type="paragraph" w:styleId="Style24">
    <w:name w:val="Текст выноски"/>
    <w:basedOn w:val="Normal"/>
    <w:qFormat/>
    <w:pPr/>
    <w:rPr>
      <w:rFonts w:ascii="Tahoma" w:hAnsi="Tahoma" w:eastAsia="Tahoma"/>
      <w:sz w:val="16"/>
      <w:szCs w:val="16"/>
      <w:lang w:eastAsia="ar-SA"/>
    </w:rPr>
  </w:style>
  <w:style w:type="paragraph" w:styleId="Style25">
    <w:name w:val="Название объекта"/>
    <w:basedOn w:val="Normal"/>
    <w:qFormat/>
    <w:pPr>
      <w:spacing w:before="120" w:after="120"/>
    </w:pPr>
    <w:rPr>
      <w:rFonts w:eastAsia="Mangal"/>
      <w:i/>
      <w:iCs/>
      <w:lang w:eastAsia="ar-SA"/>
    </w:rPr>
  </w:style>
  <w:style w:type="paragraph" w:styleId="Style26">
    <w:name w:val="Указатель"/>
    <w:basedOn w:val="Normal"/>
    <w:qFormat/>
    <w:pPr/>
    <w:rPr>
      <w:rFonts w:eastAsia="Mangal"/>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1033</TotalTime>
  <Application>LibreOffice/7.0.3.1$Windows_X86_64 LibreOffice_project/d7547858d014d4cf69878db179d326fc3483e082</Application>
  <Pages>2</Pages>
  <Words>654</Words>
  <Characters>4263</Characters>
  <CharactersWithSpaces>5220</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2025-04-14T09:14:03Z</cp:lastPrinted>
  <dcterms:modified xsi:type="dcterms:W3CDTF">2025-04-14T12:56:07Z</dcterms:modified>
  <cp:revision>210</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