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9130" cy="65913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8440" cy="658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1.8pt;height:51.8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4pt;height:58.55pt;mso-wrap-distance-right:0pt" filled="t" fillcolor="#FFFFFF" o:ole="">
            <v:imagedata r:id="rId3" o:title=""/>
          </v:shape>
          <o:OLEObject Type="Embed" ProgID="PBrush" ShapeID="ole_rId2" DrawAspect="Content" ObjectID="_1376999695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9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suppressAutoHyphens w:val="true"/>
        <w:bidi w:val="0"/>
        <w:spacing w:before="0" w:after="0"/>
        <w:ind w:left="0" w:right="3855" w:hanging="0"/>
        <w:jc w:val="both"/>
        <w:rPr/>
      </w:pPr>
      <w:r>
        <w:rPr>
          <w:sz w:val="28"/>
          <w:szCs w:val="28"/>
        </w:rPr>
        <w:t>Про виділення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ину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Ревку М.О.</w:t>
      </w:r>
      <w:r>
        <w:rPr>
          <w:sz w:val="28"/>
          <w:szCs w:val="28"/>
        </w:rPr>
        <w:br/>
      </w:r>
      <w:r>
        <w:rPr>
          <w:spacing w:val="-8"/>
          <w:sz w:val="28"/>
          <w:szCs w:val="28"/>
        </w:rPr>
        <w:t>в натурі</w:t>
      </w:r>
      <w:r>
        <w:rPr>
          <w:spacing w:val="-8"/>
          <w:sz w:val="30"/>
          <w:szCs w:val="30"/>
        </w:rPr>
        <w:t xml:space="preserve"> </w:t>
      </w:r>
      <w:r>
        <w:rPr>
          <w:spacing w:val="-8"/>
          <w:sz w:val="28"/>
          <w:szCs w:val="28"/>
        </w:rPr>
        <w:t>(на</w:t>
      </w:r>
      <w:r>
        <w:rPr>
          <w:spacing w:val="-8"/>
          <w:sz w:val="30"/>
          <w:szCs w:val="30"/>
        </w:rPr>
        <w:t xml:space="preserve"> </w:t>
      </w:r>
      <w:r>
        <w:rPr>
          <w:spacing w:val="-8"/>
          <w:sz w:val="28"/>
          <w:szCs w:val="28"/>
        </w:rPr>
        <w:t>місцевості) земельної частки (паю</w:t>
      </w:r>
      <w:r>
        <w:rPr>
          <w:spacing w:val="-6"/>
          <w:sz w:val="28"/>
          <w:szCs w:val="28"/>
        </w:rPr>
        <w:t>)</w:t>
        <w:br/>
      </w:r>
      <w:r>
        <w:rPr>
          <w:spacing w:val="-14"/>
          <w:sz w:val="28"/>
          <w:szCs w:val="28"/>
        </w:rPr>
        <w:t xml:space="preserve">№ </w:t>
      </w:r>
      <w:r>
        <w:rPr>
          <w:rFonts w:eastAsia="Times New Roman" w:cs="Times New Roman"/>
          <w:color w:val="auto"/>
          <w:spacing w:val="-14"/>
          <w:kern w:val="0"/>
          <w:sz w:val="28"/>
          <w:szCs w:val="28"/>
          <w:lang w:val="uk-UA" w:eastAsia="zh-CN" w:bidi="ar-SA"/>
        </w:rPr>
        <w:t>140</w:t>
      </w:r>
      <w:r>
        <w:rPr>
          <w:spacing w:val="-14"/>
          <w:sz w:val="24"/>
          <w:szCs w:val="24"/>
        </w:rPr>
        <w:t xml:space="preserve"> </w:t>
      </w:r>
      <w:r>
        <w:rPr>
          <w:spacing w:val="-14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14"/>
          <w:kern w:val="0"/>
          <w:sz w:val="28"/>
          <w:szCs w:val="28"/>
          <w:lang w:val="uk-UA" w:eastAsia="zh-CN" w:bidi="ar-SA"/>
        </w:rPr>
        <w:t xml:space="preserve">рілля — площею 2,2488 га)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для ведення особистого селянського господарства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 (01.03) </w:t>
      </w:r>
      <w:r>
        <w:rPr>
          <w:sz w:val="28"/>
          <w:szCs w:val="28"/>
        </w:rPr>
        <w:t xml:space="preserve">за </w:t>
      </w:r>
      <w:r>
        <w:rPr>
          <w:spacing w:val="-4"/>
          <w:sz w:val="28"/>
          <w:szCs w:val="28"/>
        </w:rPr>
        <w:t>межами</w:t>
      </w:r>
      <w:r>
        <w:rPr>
          <w:spacing w:val="-4"/>
          <w:sz w:val="22"/>
          <w:szCs w:val="22"/>
        </w:rPr>
        <w:t xml:space="preserve">  </w:t>
      </w:r>
      <w:r>
        <w:rPr>
          <w:spacing w:val="-8"/>
          <w:sz w:val="28"/>
          <w:szCs w:val="28"/>
        </w:rPr>
        <w:t>населених пунктів</w:t>
      </w:r>
      <w:r>
        <w:rPr>
          <w:spacing w:val="-8"/>
          <w:sz w:val="24"/>
          <w:szCs w:val="24"/>
        </w:rPr>
        <w:t xml:space="preserve"> </w:t>
      </w:r>
      <w:r>
        <w:rPr>
          <w:spacing w:val="-8"/>
          <w:sz w:val="28"/>
          <w:szCs w:val="28"/>
        </w:rPr>
        <w:t>Луцької місь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кої територіальної громади (с. Прилуцьке)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55"/>
        <w:jc w:val="both"/>
        <w:rPr>
          <w:spacing w:val="-6"/>
        </w:rPr>
      </w:pPr>
      <w:r>
        <w:rPr>
          <w:color w:val="000000"/>
          <w:spacing w:val="-6"/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ина</w:t>
      </w:r>
      <w:r>
        <w:rPr>
          <w:color w:val="000000"/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Ревка Миколи Олександровича</w:t>
      </w:r>
      <w:r>
        <w:rPr>
          <w:color w:val="000000"/>
          <w:spacing w:val="-6"/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color w:val="000000"/>
          <w:spacing w:val="-14"/>
          <w:sz w:val="28"/>
          <w:szCs w:val="28"/>
        </w:rPr>
        <w:t xml:space="preserve">№ </w:t>
      </w:r>
      <w:r>
        <w:rPr>
          <w:rFonts w:eastAsia="Times New Roman" w:cs="Times New Roman"/>
          <w:color w:val="000000"/>
          <w:spacing w:val="-14"/>
          <w:kern w:val="0"/>
          <w:sz w:val="28"/>
          <w:szCs w:val="28"/>
          <w:lang w:val="uk-UA" w:eastAsia="zh-CN" w:bidi="ar-SA"/>
        </w:rPr>
        <w:t>140</w:t>
      </w:r>
      <w:r>
        <w:rPr>
          <w:color w:val="000000"/>
          <w:spacing w:val="-14"/>
          <w:sz w:val="24"/>
          <w:szCs w:val="24"/>
        </w:rPr>
        <w:t xml:space="preserve"> </w:t>
      </w:r>
      <w:r>
        <w:rPr>
          <w:color w:val="000000"/>
          <w:spacing w:val="-14"/>
          <w:sz w:val="28"/>
          <w:szCs w:val="28"/>
        </w:rPr>
        <w:t>(</w:t>
      </w:r>
      <w:r>
        <w:rPr>
          <w:rFonts w:eastAsia="Times New Roman" w:cs="Times New Roman"/>
          <w:color w:val="000000"/>
          <w:spacing w:val="-14"/>
          <w:kern w:val="0"/>
          <w:sz w:val="28"/>
          <w:szCs w:val="28"/>
          <w:lang w:val="uk-UA" w:eastAsia="zh-CN" w:bidi="ar-SA"/>
        </w:rPr>
        <w:t xml:space="preserve">рілля — площею 2,2488 га) </w:t>
      </w:r>
      <w:r>
        <w:rPr>
          <w:rFonts w:eastAsia="Times New Roman" w:cs="Times New Roman"/>
          <w:color w:val="000000"/>
          <w:spacing w:val="-12"/>
          <w:kern w:val="0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pacing w:val="-6"/>
          <w:sz w:val="28"/>
          <w:szCs w:val="28"/>
        </w:rPr>
        <w:t>за межами населених пунктів Луцької міської територіальної громади (с</w:t>
      </w:r>
      <w:r>
        <w:rPr>
          <w:color w:val="111111"/>
          <w:spacing w:val="-6"/>
          <w:sz w:val="28"/>
          <w:szCs w:val="28"/>
        </w:rPr>
        <w:t xml:space="preserve">.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Прилуцьке</w:t>
      </w:r>
      <w:r>
        <w:rPr>
          <w:color w:val="111111"/>
          <w:spacing w:val="-6"/>
          <w:sz w:val="28"/>
          <w:szCs w:val="28"/>
        </w:rPr>
        <w:t>)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для ведення особистого селянського господарства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(01.03)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витяг з Державного земельного кадастру про земельну ділянку від 02.08.20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24                     №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НВ-140014962024</w:t>
      </w:r>
      <w:r>
        <w:rPr>
          <w:color w:val="000000"/>
          <w:spacing w:val="-6"/>
          <w:sz w:val="28"/>
          <w:szCs w:val="28"/>
        </w:rPr>
        <w:t xml:space="preserve">, технічну документацію із землеустрою щодо встановлення (відновлення) меж земельної ділянки в натурі (на місцевості) на земельну частку (пай) №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140</w:t>
      </w:r>
      <w:r>
        <w:rPr>
          <w:color w:val="000000"/>
          <w:spacing w:val="-6"/>
          <w:sz w:val="28"/>
          <w:szCs w:val="28"/>
        </w:rPr>
        <w:t xml:space="preserve"> — рілля, керуючись статтями 12, 22, 25, 33, 79</w:t>
      </w:r>
      <w:r>
        <w:rPr>
          <w:color w:val="000000"/>
          <w:spacing w:val="-6"/>
          <w:sz w:val="28"/>
          <w:szCs w:val="28"/>
          <w:vertAlign w:val="superscript"/>
        </w:rPr>
        <w:t>1</w:t>
      </w:r>
      <w:r>
        <w:rPr>
          <w:color w:val="000000"/>
          <w:spacing w:val="-6"/>
          <w:sz w:val="28"/>
          <w:szCs w:val="28"/>
        </w:rPr>
        <w:t xml:space="preserve">, 81, 118, 125, пунктами 16, 17, </w:t>
      </w:r>
      <w:r>
        <w:rPr>
          <w:color w:val="000000"/>
          <w:spacing w:val="-6"/>
          <w:sz w:val="28"/>
          <w:szCs w:val="28"/>
          <w:lang w:val="en-US"/>
        </w:rPr>
        <w:t xml:space="preserve">24, </w:t>
      </w:r>
      <w:r>
        <w:rPr>
          <w:color w:val="000000"/>
          <w:spacing w:val="-6"/>
          <w:sz w:val="28"/>
          <w:szCs w:val="28"/>
        </w:rPr>
        <w:t xml:space="preserve">підпунктом 5 пункту 27 розділу Х </w:t>
      </w:r>
      <w:r>
        <w:rPr>
          <w:color w:val="000000"/>
          <w:spacing w:val="-6"/>
          <w:sz w:val="28"/>
          <w:szCs w:val="28"/>
          <w:lang w:eastAsia="uk-UA"/>
        </w:rPr>
        <w:t>«</w:t>
      </w:r>
      <w:r>
        <w:rPr>
          <w:color w:val="000000"/>
          <w:spacing w:val="-6"/>
          <w:sz w:val="28"/>
          <w:szCs w:val="28"/>
        </w:rPr>
        <w:t>Перехідні положення»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 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color w:val="000000"/>
          <w:spacing w:val="-6"/>
          <w:sz w:val="28"/>
          <w:szCs w:val="28"/>
          <w:lang w:eastAsia="uk-UA"/>
        </w:rPr>
        <w:t xml:space="preserve">остановою Верховної Ради України від 17.07.2020 № 807-ІХ «Про утворення та ліквідацію районів», </w:t>
      </w:r>
      <w:r>
        <w:rPr>
          <w:color w:val="000000"/>
          <w:spacing w:val="-6"/>
          <w:sz w:val="28"/>
          <w:szCs w:val="28"/>
        </w:rPr>
        <w:t xml:space="preserve">розпорядженням Кабінету Міністрів України від 12.06.2020 № 708-р «Про визначення адміністративних центрів та затвердження територій територіальних громад Волинської області»,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рішенням Луцької міської ради від 25.09.2019              № 63/43 «Про добровільне приєднання територіальної громади Прилуцької сільської ради до територіальної громади міста Луцька», </w:t>
      </w:r>
      <w:r>
        <w:rPr>
          <w:color w:val="000000"/>
          <w:spacing w:val="-6"/>
          <w:sz w:val="28"/>
          <w:szCs w:val="28"/>
        </w:rPr>
        <w:t>статтями 26, 59 та пунктом 6</w:t>
      </w:r>
      <w:r>
        <w:rPr>
          <w:color w:val="000000"/>
          <w:spacing w:val="-6"/>
          <w:sz w:val="28"/>
          <w:szCs w:val="28"/>
          <w:vertAlign w:val="superscript"/>
        </w:rPr>
        <w:t>1</w:t>
      </w:r>
      <w:r>
        <w:rPr>
          <w:color w:val="000000"/>
          <w:spacing w:val="-6"/>
          <w:sz w:val="28"/>
          <w:szCs w:val="28"/>
        </w:rPr>
        <w:t xml:space="preserve"> розділу </w:t>
      </w:r>
      <w:r>
        <w:rPr>
          <w:color w:val="000000"/>
          <w:spacing w:val="-6"/>
          <w:sz w:val="28"/>
          <w:szCs w:val="28"/>
          <w:lang w:val="en-US"/>
        </w:rPr>
        <w:t>V</w:t>
      </w:r>
      <w:r>
        <w:rPr>
          <w:color w:val="000000"/>
          <w:spacing w:val="-6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pacing w:val="-8"/>
        </w:rPr>
      </w:pPr>
      <w:r>
        <w:rPr>
          <w:spacing w:val="-8"/>
          <w:szCs w:val="28"/>
        </w:rPr>
        <w:t>1. </w:t>
      </w:r>
      <w:r>
        <w:rPr>
          <w:spacing w:val="-8"/>
          <w:sz w:val="28"/>
          <w:szCs w:val="28"/>
        </w:rPr>
        <w:t xml:space="preserve">Затвердити </w:t>
      </w:r>
      <w:r>
        <w:rPr>
          <w:rStyle w:val="Strong"/>
          <w:b w:val="false"/>
          <w:bCs w:val="false"/>
          <w:spacing w:val="-8"/>
          <w:sz w:val="28"/>
          <w:szCs w:val="28"/>
        </w:rPr>
        <w:t>громадян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ину</w:t>
      </w:r>
      <w:r>
        <w:rPr>
          <w:rStyle w:val="Strong"/>
          <w:b w:val="false"/>
          <w:bCs w:val="false"/>
          <w:spacing w:val="-8"/>
          <w:sz w:val="28"/>
          <w:szCs w:val="28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Ревку Миколі Олександровичу</w:t>
      </w:r>
      <w:r>
        <w:rPr>
          <w:spacing w:val="-8"/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140</w:t>
      </w:r>
      <w:r>
        <w:rPr>
          <w:spacing w:val="-8"/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pacing w:val="-8"/>
          <w:sz w:val="28"/>
          <w:szCs w:val="28"/>
        </w:rPr>
        <w:t>), площею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2,2488</w:t>
      </w:r>
      <w:r>
        <w:rPr>
          <w:spacing w:val="-8"/>
          <w:sz w:val="28"/>
          <w:szCs w:val="28"/>
        </w:rPr>
        <w:t> га з кадастровим номером 0721885800:06:000:2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388</w:t>
      </w:r>
      <w:r>
        <w:rPr>
          <w:spacing w:val="-8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для ведення особистого селянського господарства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 (01.03)</w:t>
      </w:r>
      <w:r>
        <w:rPr>
          <w:spacing w:val="-8"/>
          <w:sz w:val="28"/>
          <w:szCs w:val="28"/>
        </w:rPr>
        <w:t xml:space="preserve"> за межами населених пунктів Луцької міської територіальної громади (с.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Прилуцьке</w:t>
      </w:r>
      <w:r>
        <w:rPr>
          <w:spacing w:val="-8"/>
          <w:sz w:val="28"/>
          <w:szCs w:val="28"/>
        </w:rPr>
        <w:t>).</w:t>
      </w:r>
    </w:p>
    <w:p>
      <w:pPr>
        <w:pStyle w:val="Normal"/>
        <w:ind w:firstLine="567"/>
        <w:jc w:val="both"/>
        <w:rPr/>
      </w:pP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>2. Виділити земельну частку (пай) № 140 (рілля) в натурі (на місцевості)</w:t>
      </w:r>
      <w:r>
        <w:rPr>
          <w:rStyle w:val="Strong"/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111111"/>
          <w:spacing w:val="-6"/>
          <w:kern w:val="0"/>
          <w:sz w:val="28"/>
          <w:szCs w:val="28"/>
          <w:lang w:val="uk-UA" w:eastAsia="zh-CN" w:bidi="ar-SA"/>
        </w:rPr>
        <w:t xml:space="preserve">громадянину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Ревку Миколі Олександровичу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для ведення особистого селянського господарства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 (01.03)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площею 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2,2488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 га, з кадастровим номером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0721885800:06:000:2388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за межами населених пунктів Луцької міської територіальної громади (с. Прилуцьке), згідно з додатком.</w:t>
      </w:r>
    </w:p>
    <w:p>
      <w:pPr>
        <w:pStyle w:val="Normal"/>
        <w:ind w:right="57" w:firstLine="567"/>
        <w:jc w:val="both"/>
        <w:rPr/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3. Зобов’язати громадянина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Ревка Миколу Олександровича</w:t>
      </w:r>
      <w:r>
        <w:rPr>
          <w:rStyle w:val="Strong"/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ind w:firstLine="567"/>
        <w:jc w:val="both"/>
        <w:rPr>
          <w:color w:val="000000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3.1. 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ind w:firstLine="567"/>
        <w:jc w:val="both"/>
        <w:rPr>
          <w:color w:val="000000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3.2. Виконувати обов’язки власника земельної ділянки, відповідно до вимог статті 91 Земельного кодексу України.</w:t>
      </w:r>
    </w:p>
    <w:p>
      <w:pPr>
        <w:pStyle w:val="Normal"/>
        <w:ind w:firstLine="567"/>
        <w:jc w:val="both"/>
        <w:rPr>
          <w:color w:val="000000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3.3.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ind w:firstLine="567"/>
        <w:jc w:val="both"/>
        <w:rPr>
          <w:color w:val="000000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4.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jc w:val="both"/>
        <w:rPr>
          <w:color w:val="000000"/>
        </w:rPr>
      </w:pPr>
      <w:r>
        <w:rPr>
          <w:color w:val="000000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jc w:val="left"/>
        <w:rPr>
          <w:color w:val="000000"/>
        </w:rPr>
      </w:pPr>
      <w:r>
        <w:rPr>
          <w:color w:val="000000"/>
          <w:sz w:val="24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21" w:customStyle="1">
    <w:name w:val="Основной шрифт абзаца2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11" w:customStyle="1">
    <w:name w:val="Основной шрифт абзаца1"/>
    <w:qFormat/>
    <w:rPr/>
  </w:style>
  <w:style w:type="character" w:styleId="Strong">
    <w:name w:val="Strong"/>
    <w:qFormat/>
    <w:rPr>
      <w:b/>
      <w:bCs/>
    </w:rPr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17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18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19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784d63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1145</TotalTime>
  <Application>LibreOffice/7.1.3.2$Windows_X86_64 LibreOffice_project/47f78053abe362b9384784d31a6e56f8511eb1c1</Application>
  <AppVersion>15.0000</AppVersion>
  <Pages>2</Pages>
  <Words>452</Words>
  <Characters>2997</Characters>
  <CharactersWithSpaces>3633</CharactersWithSpaces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cp:lastPrinted>2025-04-09T09:15:49Z</cp:lastPrinted>
  <dcterms:modified xsi:type="dcterms:W3CDTF">2025-04-14T09:41:07Z</dcterms:modified>
  <cp:revision>230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