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CA" w:rsidRPr="00F74A51" w:rsidRDefault="00A133CA" w:rsidP="00A133CA">
      <w:pPr>
        <w:ind w:left="4820"/>
      </w:pPr>
      <w:r>
        <w:rPr>
          <w:bCs/>
          <w:color w:val="000000"/>
          <w:sz w:val="28"/>
          <w:szCs w:val="28"/>
        </w:rPr>
        <w:t>Додаток 1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A133CA" w:rsidRPr="00F74A51" w:rsidRDefault="00A133CA" w:rsidP="00A133CA">
      <w:pPr>
        <w:rPr>
          <w:sz w:val="28"/>
          <w:szCs w:val="28"/>
        </w:rPr>
      </w:pPr>
    </w:p>
    <w:p w:rsidR="00A133CA" w:rsidRPr="00F74A51" w:rsidRDefault="00A133CA" w:rsidP="00A133CA">
      <w:pPr>
        <w:pStyle w:val="11"/>
        <w:widowControl w:val="0"/>
        <w:numPr>
          <w:ilvl w:val="0"/>
          <w:numId w:val="1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на 2022–2026 роки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A133CA" w:rsidRPr="00F74A51" w:rsidRDefault="00A133CA" w:rsidP="00A133CA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A133CA" w:rsidRPr="00F74A51" w:rsidTr="008233D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 xml:space="preserve"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</w:t>
            </w:r>
            <w:proofErr w:type="spellStart"/>
            <w:r w:rsidRPr="00F74A51">
              <w:rPr>
                <w:sz w:val="28"/>
                <w:szCs w:val="28"/>
              </w:rPr>
              <w:t>спорту,управління</w:t>
            </w:r>
            <w:proofErr w:type="spellEnd"/>
            <w:r w:rsidRPr="00F74A51">
              <w:rPr>
                <w:sz w:val="28"/>
                <w:szCs w:val="28"/>
              </w:rPr>
              <w:t xml:space="preserve"> інформаційної роботи, інші виконавчі органи міської ради (розробники регуляторних актів),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</w:t>
            </w:r>
            <w:r w:rsidRPr="00F74A51">
              <w:rPr>
                <w:sz w:val="28"/>
                <w:szCs w:val="28"/>
              </w:rPr>
              <w:lastRenderedPageBreak/>
              <w:t>підприємництва та їх об’єднання (за згодою)</w:t>
            </w:r>
          </w:p>
        </w:tc>
      </w:tr>
      <w:tr w:rsidR="00A133CA" w:rsidRPr="00F74A51" w:rsidTr="008233D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2022-</w:t>
            </w:r>
            <w:r w:rsidRPr="00F74A51">
              <w:rPr>
                <w:spacing w:val="-6"/>
                <w:sz w:val="28"/>
                <w:szCs w:val="28"/>
              </w:rPr>
              <w:t>2026 роки</w:t>
            </w:r>
          </w:p>
          <w:p w:rsidR="00A133CA" w:rsidRPr="00F74A51" w:rsidRDefault="00A133CA" w:rsidP="008233D6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3D021E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256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90,0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тис. грн</w:t>
            </w:r>
          </w:p>
        </w:tc>
      </w:tr>
      <w:tr w:rsidR="00A133CA" w:rsidRPr="00F74A51" w:rsidTr="008233D6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A133CA" w:rsidRPr="00F74A51" w:rsidTr="008233D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3D021E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244</w:t>
            </w:r>
            <w:bookmarkStart w:id="0" w:name="_GoBack"/>
            <w:bookmarkEnd w:id="0"/>
            <w:r w:rsidR="00A133CA" w:rsidRPr="00716FC1">
              <w:rPr>
                <w:color w:val="000000" w:themeColor="text1"/>
                <w:sz w:val="28"/>
                <w:szCs w:val="28"/>
              </w:rPr>
              <w:t>40,0 тис.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грн</w:t>
            </w:r>
          </w:p>
        </w:tc>
      </w:tr>
      <w:tr w:rsidR="00A133CA" w:rsidRPr="00F74A51" w:rsidTr="008233D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1250,0 тис. грн</w:t>
            </w:r>
          </w:p>
        </w:tc>
      </w:tr>
    </w:tbl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Pr="00B17C30" w:rsidRDefault="00A133CA" w:rsidP="00A133CA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777 955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  <w:jc w:val="center"/>
        <w:rPr>
          <w:b/>
        </w:rPr>
      </w:pPr>
    </w:p>
    <w:p w:rsidR="00031DED" w:rsidRDefault="003D021E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D"/>
    <w:rsid w:val="000C51ED"/>
    <w:rsid w:val="001021ED"/>
    <w:rsid w:val="003D021E"/>
    <w:rsid w:val="005616E4"/>
    <w:rsid w:val="0080533A"/>
    <w:rsid w:val="00A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5EAD"/>
  <w15:chartTrackingRefBased/>
  <w15:docId w15:val="{CACE8FEC-9FF6-4245-A72A-B6A8EBD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A133C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Гвоздецька Вікторія Миколаївна</cp:lastModifiedBy>
  <cp:revision>3</cp:revision>
  <dcterms:created xsi:type="dcterms:W3CDTF">2025-04-14T13:59:00Z</dcterms:created>
  <dcterms:modified xsi:type="dcterms:W3CDTF">2025-04-30T12:37:00Z</dcterms:modified>
</cp:coreProperties>
</file>