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613C" w14:textId="77777777" w:rsidR="009A7E83" w:rsidRPr="00483174" w:rsidRDefault="00000000">
      <w:pPr>
        <w:ind w:right="-2"/>
        <w:jc w:val="center"/>
        <w:rPr>
          <w:b/>
          <w:sz w:val="28"/>
          <w:szCs w:val="28"/>
          <w:lang w:val="uk-UA"/>
        </w:rPr>
      </w:pPr>
      <w:r w:rsidRPr="00483174">
        <w:rPr>
          <w:b/>
          <w:sz w:val="28"/>
          <w:szCs w:val="28"/>
          <w:lang w:val="uk-UA"/>
        </w:rPr>
        <w:t>ЗВІТ</w:t>
      </w:r>
    </w:p>
    <w:p w14:paraId="01B5F6BE" w14:textId="77777777" w:rsidR="009A7E83" w:rsidRPr="00483174" w:rsidRDefault="00000000">
      <w:pPr>
        <w:ind w:right="-2"/>
        <w:jc w:val="center"/>
        <w:rPr>
          <w:b/>
          <w:sz w:val="28"/>
          <w:szCs w:val="28"/>
          <w:lang w:val="uk-UA"/>
        </w:rPr>
      </w:pPr>
      <w:r w:rsidRPr="00483174">
        <w:rPr>
          <w:b/>
          <w:sz w:val="28"/>
          <w:szCs w:val="28"/>
          <w:lang w:val="uk-UA"/>
        </w:rPr>
        <w:t>про роботу Комунального підприємства «Луцький комбінат шкільного і студентського харчування» за 2020–2024 роки</w:t>
      </w:r>
    </w:p>
    <w:p w14:paraId="3CC7967D" w14:textId="77777777" w:rsidR="009A7E83" w:rsidRPr="00A8790C" w:rsidRDefault="009A7E83">
      <w:pPr>
        <w:ind w:right="-2" w:firstLine="709"/>
        <w:rPr>
          <w:sz w:val="20"/>
          <w:szCs w:val="20"/>
          <w:lang w:val="uk-UA"/>
        </w:rPr>
      </w:pPr>
    </w:p>
    <w:p w14:paraId="4FE50D7B" w14:textId="77777777" w:rsidR="009A7E83" w:rsidRPr="00483174" w:rsidRDefault="00000000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483174">
        <w:rPr>
          <w:b/>
          <w:bCs/>
          <w:sz w:val="28"/>
          <w:lang w:val="uk-UA"/>
        </w:rPr>
        <w:t>І</w:t>
      </w:r>
      <w:r w:rsidRPr="00483174">
        <w:rPr>
          <w:b/>
          <w:bCs/>
          <w:sz w:val="28"/>
          <w:szCs w:val="28"/>
          <w:lang w:val="uk-UA"/>
        </w:rPr>
        <w:t>. Організаційно-правова форма, підстави діяльності, штатна чисельність працівників.</w:t>
      </w:r>
    </w:p>
    <w:p w14:paraId="214310E3" w14:textId="70ED3EA9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1.1. Луцький комбінат шкільного і студентського харчування є комунальним підприємством. Діє на підставі статуту, нова редакція якого затверджен</w:t>
      </w:r>
      <w:r w:rsidR="005036E0" w:rsidRPr="00483174">
        <w:rPr>
          <w:sz w:val="28"/>
          <w:szCs w:val="28"/>
          <w:lang w:val="uk-UA"/>
        </w:rPr>
        <w:t>а</w:t>
      </w:r>
      <w:r w:rsidRPr="00483174">
        <w:rPr>
          <w:sz w:val="28"/>
          <w:szCs w:val="28"/>
          <w:lang w:val="uk-UA"/>
        </w:rPr>
        <w:t xml:space="preserve"> рішенням Луцької міської ради від 27.10.2021 № 28/28. (оприлюднений на сайті Луцької міської ради: </w:t>
      </w:r>
      <w:hyperlink r:id="rId8">
        <w:r w:rsidR="009A7E83" w:rsidRPr="00483174">
          <w:rPr>
            <w:rStyle w:val="af0"/>
            <w:sz w:val="28"/>
            <w:szCs w:val="28"/>
            <w:lang w:val="uk-UA"/>
          </w:rPr>
          <w:t>https://www.lutskrada.gov.ua/static/content/files/q/df/2h5bzmkf7dp32xlvm54cw3b4zlkkidfq.pdf</w:t>
        </w:r>
      </w:hyperlink>
      <w:r w:rsidRPr="00483174">
        <w:rPr>
          <w:sz w:val="28"/>
          <w:szCs w:val="28"/>
          <w:lang w:val="uk-UA"/>
        </w:rPr>
        <w:t>).</w:t>
      </w:r>
    </w:p>
    <w:p w14:paraId="24EB88D7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1.2. Мета діяльності підприємства: розвиток та підвищення рівня виробництва, сприяння формуванню конкурентному середовищу, насичення ринку товарів та послуг за рахунок сфери виробництва, товарообміну, впровадження новітніх розробок і технологій, з метою вирішення економічних та соціальних проблем і одержання відповідного прибутку.</w:t>
      </w:r>
    </w:p>
    <w:p w14:paraId="7AED78AB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Органом управління підприємства є Відділ обліку та звітності Луцької міської ради. </w:t>
      </w:r>
    </w:p>
    <w:p w14:paraId="033B2CCA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1.3. У звітному періоді директор підприємства діяла на підставі статуту та укладеного контракту (додаткової угоди до контракту). Термін дії контракту до 01.07.2025. </w:t>
      </w:r>
    </w:p>
    <w:p w14:paraId="1031EDD2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Господарські договори укладалися, виключно, за письмовим погодженням:</w:t>
      </w:r>
    </w:p>
    <w:p w14:paraId="667D39C0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 З начальником Відділу обліку та звітності Луцької міської ради </w:t>
      </w:r>
      <w:proofErr w:type="spellStart"/>
      <w:r w:rsidRPr="00483174">
        <w:rPr>
          <w:sz w:val="28"/>
          <w:szCs w:val="28"/>
          <w:lang w:val="uk-UA"/>
        </w:rPr>
        <w:t>Горай</w:t>
      </w:r>
      <w:proofErr w:type="spellEnd"/>
      <w:r w:rsidRPr="00483174">
        <w:rPr>
          <w:sz w:val="28"/>
          <w:szCs w:val="28"/>
          <w:lang w:val="uk-UA"/>
        </w:rPr>
        <w:t xml:space="preserve"> С.Г. на суму понад 100,00 тис. грн. </w:t>
      </w:r>
    </w:p>
    <w:p w14:paraId="6D1D6EE3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Із заступником міського голови</w:t>
      </w:r>
      <w:r w:rsidRPr="00483174">
        <w:rPr>
          <w:sz w:val="28"/>
          <w:szCs w:val="22"/>
          <w:lang w:val="uk-UA"/>
        </w:rPr>
        <w:t>, керуючим справами виконкому</w:t>
      </w:r>
      <w:r w:rsidRPr="00483174">
        <w:rPr>
          <w:sz w:val="28"/>
          <w:szCs w:val="28"/>
          <w:lang w:val="uk-UA"/>
        </w:rPr>
        <w:t xml:space="preserve"> </w:t>
      </w:r>
      <w:r w:rsidRPr="00483174">
        <w:rPr>
          <w:color w:val="000000"/>
          <w:sz w:val="28"/>
          <w:szCs w:val="28"/>
          <w:lang w:val="uk-UA"/>
        </w:rPr>
        <w:t xml:space="preserve">з питань діяльності виконавчих органів Луцької міської ради </w:t>
      </w:r>
      <w:proofErr w:type="spellStart"/>
      <w:r w:rsidRPr="00483174">
        <w:rPr>
          <w:color w:val="000000"/>
          <w:sz w:val="28"/>
          <w:szCs w:val="28"/>
          <w:lang w:val="uk-UA"/>
        </w:rPr>
        <w:t>Вербичем</w:t>
      </w:r>
      <w:proofErr w:type="spellEnd"/>
      <w:r w:rsidRPr="00483174">
        <w:rPr>
          <w:color w:val="000000"/>
          <w:sz w:val="28"/>
          <w:szCs w:val="28"/>
          <w:lang w:val="uk-UA"/>
        </w:rPr>
        <w:t xml:space="preserve"> Ю.Г. на </w:t>
      </w:r>
      <w:r w:rsidRPr="00483174">
        <w:rPr>
          <w:sz w:val="28"/>
          <w:szCs w:val="28"/>
          <w:lang w:val="uk-UA"/>
        </w:rPr>
        <w:t>суму понад 600,00 тис. грн.</w:t>
      </w:r>
    </w:p>
    <w:p w14:paraId="1D33E923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1.4. Середня облікова чисельність працівників </w:t>
      </w:r>
      <w:r w:rsidRPr="00483174">
        <w:rPr>
          <w:color w:val="000000"/>
          <w:sz w:val="28"/>
          <w:szCs w:val="28"/>
          <w:lang w:val="uk-UA"/>
        </w:rPr>
        <w:t>на момент звіту – 151.</w:t>
      </w:r>
    </w:p>
    <w:p w14:paraId="6B83A221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Кількість працівників чоловічої статті – 10, в тому числі: 4 особи пенсійного віку; 4 демобілізовані з лав ЗСУ. Один працівник заброньований.</w:t>
      </w:r>
    </w:p>
    <w:p w14:paraId="33EFB198" w14:textId="77777777" w:rsidR="009A7E83" w:rsidRPr="00A8790C" w:rsidRDefault="009A7E83">
      <w:pPr>
        <w:jc w:val="both"/>
        <w:rPr>
          <w:b/>
          <w:bCs/>
          <w:sz w:val="28"/>
          <w:szCs w:val="28"/>
          <w:lang w:val="uk-UA"/>
        </w:rPr>
      </w:pPr>
    </w:p>
    <w:p w14:paraId="0D7CD363" w14:textId="77777777" w:rsidR="009A7E83" w:rsidRPr="00483174" w:rsidRDefault="00000000">
      <w:pPr>
        <w:ind w:firstLine="567"/>
        <w:jc w:val="both"/>
        <w:rPr>
          <w:b/>
          <w:bCs/>
          <w:sz w:val="28"/>
          <w:lang w:val="uk-UA"/>
        </w:rPr>
      </w:pPr>
      <w:r w:rsidRPr="00483174">
        <w:rPr>
          <w:b/>
          <w:bCs/>
          <w:sz w:val="28"/>
          <w:lang w:val="uk-UA"/>
        </w:rPr>
        <w:t>ІІ. Напрями і види діяльності у звітному періоді.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4565"/>
        <w:gridCol w:w="4961"/>
      </w:tblGrid>
      <w:tr w:rsidR="009A7E83" w:rsidRPr="00483174" w14:paraId="60CF3294" w14:textId="77777777">
        <w:tc>
          <w:tcPr>
            <w:tcW w:w="4565" w:type="dxa"/>
          </w:tcPr>
          <w:p w14:paraId="36F24893" w14:textId="77777777" w:rsidR="009A7E83" w:rsidRPr="00483174" w:rsidRDefault="0000000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>Вид діяльності</w:t>
            </w:r>
          </w:p>
        </w:tc>
        <w:tc>
          <w:tcPr>
            <w:tcW w:w="4961" w:type="dxa"/>
          </w:tcPr>
          <w:p w14:paraId="07D711B6" w14:textId="77777777" w:rsidR="009A7E83" w:rsidRPr="00483174" w:rsidRDefault="0000000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>Місце надання послуги</w:t>
            </w:r>
          </w:p>
        </w:tc>
      </w:tr>
      <w:tr w:rsidR="009A7E83" w:rsidRPr="00483174" w14:paraId="0F59DD04" w14:textId="77777777">
        <w:tc>
          <w:tcPr>
            <w:tcW w:w="4565" w:type="dxa"/>
            <w:vAlign w:val="center"/>
          </w:tcPr>
          <w:p w14:paraId="07D45234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ДК 021:2015 55510000-8 «Послуги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їдалень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>» (Послуги з організації  гарячого харчування учнів пільгових категорій)</w:t>
            </w:r>
          </w:p>
        </w:tc>
        <w:tc>
          <w:tcPr>
            <w:tcW w:w="4961" w:type="dxa"/>
            <w:vAlign w:val="center"/>
          </w:tcPr>
          <w:p w14:paraId="776240B8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КЗЗСО м. Луцька №№ 1-13, 15-20, 22-27, НРЦ</w:t>
            </w:r>
          </w:p>
        </w:tc>
      </w:tr>
      <w:tr w:rsidR="009A7E83" w:rsidRPr="00483174" w14:paraId="25C9E9AC" w14:textId="77777777">
        <w:tc>
          <w:tcPr>
            <w:tcW w:w="4565" w:type="dxa"/>
            <w:vAlign w:val="center"/>
          </w:tcPr>
          <w:p w14:paraId="058093D6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ДК 021:2015 55520000-1 «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Кейтерингові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 xml:space="preserve"> послуги» (Послуги з організації харчування для учнів пільгових категорій)</w:t>
            </w:r>
          </w:p>
        </w:tc>
        <w:tc>
          <w:tcPr>
            <w:tcW w:w="4961" w:type="dxa"/>
            <w:vAlign w:val="center"/>
          </w:tcPr>
          <w:p w14:paraId="30B420C1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КЗЗСО с. Прилуцьке № 29</w:t>
            </w:r>
          </w:p>
          <w:p w14:paraId="095965CE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КЗЗСО с.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Жидичин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 xml:space="preserve"> № 31</w:t>
            </w:r>
          </w:p>
          <w:p w14:paraId="45A35392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color w:val="000000"/>
                <w:sz w:val="26"/>
                <w:szCs w:val="26"/>
                <w:lang w:val="uk-UA"/>
              </w:rPr>
              <w:t>КЗО</w:t>
            </w:r>
            <w:r w:rsidRPr="00483174">
              <w:rPr>
                <w:sz w:val="26"/>
                <w:szCs w:val="26"/>
                <w:lang w:val="uk-UA"/>
              </w:rPr>
              <w:t xml:space="preserve"> с. Кульчин № 36</w:t>
            </w:r>
          </w:p>
        </w:tc>
      </w:tr>
      <w:tr w:rsidR="009A7E83" w:rsidRPr="00483174" w14:paraId="2C9C7C94" w14:textId="77777777">
        <w:tc>
          <w:tcPr>
            <w:tcW w:w="4565" w:type="dxa"/>
            <w:vAlign w:val="center"/>
          </w:tcPr>
          <w:p w14:paraId="4E1638F6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Послуги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їдалень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 xml:space="preserve"> (два кафе)</w:t>
            </w:r>
          </w:p>
        </w:tc>
        <w:tc>
          <w:tcPr>
            <w:tcW w:w="4961" w:type="dxa"/>
          </w:tcPr>
          <w:p w14:paraId="4594082A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КП «ВОТМО захисту материнства і дитинства»:</w:t>
            </w:r>
          </w:p>
          <w:p w14:paraId="5B0A0215" w14:textId="77777777" w:rsidR="009A7E83" w:rsidRPr="00483174" w:rsidRDefault="00000000">
            <w:pPr>
              <w:jc w:val="both"/>
              <w:rPr>
                <w:spacing w:val="-6"/>
                <w:sz w:val="26"/>
                <w:szCs w:val="26"/>
                <w:lang w:val="uk-UA"/>
              </w:rPr>
            </w:pPr>
            <w:r w:rsidRPr="00483174">
              <w:rPr>
                <w:spacing w:val="-6"/>
                <w:sz w:val="26"/>
                <w:szCs w:val="26"/>
                <w:lang w:val="uk-UA"/>
              </w:rPr>
              <w:t xml:space="preserve">1) Волинський обласний </w:t>
            </w:r>
            <w:proofErr w:type="spellStart"/>
            <w:r w:rsidRPr="00483174">
              <w:rPr>
                <w:spacing w:val="-6"/>
                <w:sz w:val="26"/>
                <w:szCs w:val="26"/>
                <w:lang w:val="uk-UA"/>
              </w:rPr>
              <w:t>перинатальний</w:t>
            </w:r>
            <w:proofErr w:type="spellEnd"/>
            <w:r w:rsidRPr="00483174">
              <w:rPr>
                <w:spacing w:val="-6"/>
                <w:sz w:val="26"/>
                <w:szCs w:val="26"/>
                <w:lang w:val="uk-UA"/>
              </w:rPr>
              <w:t xml:space="preserve"> центр.</w:t>
            </w:r>
          </w:p>
          <w:p w14:paraId="29FEBCC4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pacing w:val="-4"/>
                <w:sz w:val="26"/>
                <w:szCs w:val="26"/>
                <w:lang w:val="uk-UA"/>
              </w:rPr>
              <w:t>2) Волинська обласна дитяча клінічна лікарня.</w:t>
            </w:r>
          </w:p>
        </w:tc>
      </w:tr>
      <w:tr w:rsidR="009A7E83" w:rsidRPr="00483174" w14:paraId="348E05E7" w14:textId="77777777">
        <w:tc>
          <w:tcPr>
            <w:tcW w:w="4565" w:type="dxa"/>
            <w:vAlign w:val="center"/>
          </w:tcPr>
          <w:p w14:paraId="0A63F749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lastRenderedPageBreak/>
              <w:t xml:space="preserve">Послуги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їдалень</w:t>
            </w:r>
            <w:proofErr w:type="spellEnd"/>
          </w:p>
        </w:tc>
        <w:tc>
          <w:tcPr>
            <w:tcW w:w="4961" w:type="dxa"/>
          </w:tcPr>
          <w:p w14:paraId="381263DE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Волинський інститут післядипломної педагогічної освіти</w:t>
            </w:r>
          </w:p>
        </w:tc>
      </w:tr>
      <w:tr w:rsidR="009A7E83" w:rsidRPr="00483174" w14:paraId="043D917B" w14:textId="77777777">
        <w:tc>
          <w:tcPr>
            <w:tcW w:w="4565" w:type="dxa"/>
            <w:vAlign w:val="center"/>
          </w:tcPr>
          <w:p w14:paraId="478548FB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Послуги харчування (послуги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їдалень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 xml:space="preserve"> і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кейтеринг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>) – на підставі окремих договорів на час проведення громадських заходів, навчально-освітніх, наукових і спортивних заходів</w:t>
            </w:r>
          </w:p>
        </w:tc>
        <w:tc>
          <w:tcPr>
            <w:tcW w:w="4961" w:type="dxa"/>
          </w:tcPr>
          <w:p w14:paraId="5F4DABC2" w14:textId="77777777" w:rsidR="009A7E83" w:rsidRPr="00483174" w:rsidRDefault="00000000">
            <w:pPr>
              <w:rPr>
                <w:spacing w:val="-4"/>
                <w:sz w:val="26"/>
                <w:szCs w:val="26"/>
                <w:lang w:val="uk-UA"/>
              </w:rPr>
            </w:pPr>
            <w:r w:rsidRPr="00483174">
              <w:rPr>
                <w:spacing w:val="-4"/>
                <w:sz w:val="26"/>
                <w:szCs w:val="26"/>
                <w:lang w:val="uk-UA"/>
              </w:rPr>
              <w:t>1) Департамент освіти Луцької міської ради;</w:t>
            </w:r>
          </w:p>
          <w:p w14:paraId="41C324DE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2) Волинський ІППО;</w:t>
            </w:r>
          </w:p>
          <w:p w14:paraId="766A27FF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3) Центр позашкільної освіти Волинської обласної ради;</w:t>
            </w:r>
          </w:p>
          <w:p w14:paraId="618D4930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2"/>
                <w:lang w:val="uk-UA"/>
              </w:rPr>
              <w:t>4) </w:t>
            </w:r>
            <w:r w:rsidRPr="00483174">
              <w:rPr>
                <w:sz w:val="26"/>
                <w:szCs w:val="26"/>
                <w:lang w:val="uk-UA"/>
              </w:rPr>
              <w:t>Волинський обласний еколого- натуралістичний центр Волинської області тощо.</w:t>
            </w:r>
          </w:p>
        </w:tc>
      </w:tr>
    </w:tbl>
    <w:p w14:paraId="4902C365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2.1. У звітний період послуги у КЗЗСО і КЗО надавалися на підставі:</w:t>
      </w:r>
    </w:p>
    <w:p w14:paraId="0A0EDDE0" w14:textId="77777777" w:rsidR="009A7E83" w:rsidRPr="00483174" w:rsidRDefault="0000000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483174">
        <w:rPr>
          <w:spacing w:val="-4"/>
          <w:sz w:val="28"/>
          <w:szCs w:val="28"/>
          <w:lang w:val="uk-UA"/>
        </w:rPr>
        <w:t xml:space="preserve">1) Договорів, укладених у процедурах публічних </w:t>
      </w:r>
      <w:proofErr w:type="spellStart"/>
      <w:r w:rsidRPr="00483174">
        <w:rPr>
          <w:spacing w:val="-4"/>
          <w:sz w:val="28"/>
          <w:szCs w:val="28"/>
          <w:lang w:val="uk-UA"/>
        </w:rPr>
        <w:t>закупівель</w:t>
      </w:r>
      <w:proofErr w:type="spellEnd"/>
      <w:r w:rsidRPr="00483174">
        <w:rPr>
          <w:spacing w:val="-4"/>
          <w:sz w:val="28"/>
          <w:szCs w:val="28"/>
          <w:lang w:val="uk-UA"/>
        </w:rPr>
        <w:t xml:space="preserve">. Підприємство у 2020–2023 роках подавало свої пропозиції в оголошених </w:t>
      </w:r>
      <w:proofErr w:type="spellStart"/>
      <w:r w:rsidRPr="00483174">
        <w:rPr>
          <w:spacing w:val="-4"/>
          <w:sz w:val="28"/>
          <w:szCs w:val="28"/>
          <w:lang w:val="uk-UA"/>
        </w:rPr>
        <w:t>закупівлях</w:t>
      </w:r>
      <w:proofErr w:type="spellEnd"/>
      <w:r w:rsidRPr="00483174">
        <w:rPr>
          <w:spacing w:val="-4"/>
          <w:sz w:val="28"/>
          <w:szCs w:val="28"/>
          <w:lang w:val="uk-UA"/>
        </w:rPr>
        <w:t>, які проводилися Департаментом освіти ЛМР, а в подальшому, безпосередньо, КЗЗСО.</w:t>
      </w:r>
    </w:p>
    <w:p w14:paraId="7762883A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Прямих договорів, якщо сума закупівлі не перевищувала 100 тис. грн.</w:t>
      </w:r>
    </w:p>
    <w:p w14:paraId="1A111F9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3) Прямих договорів у 2023–2024 роках, які були укладені з КЗЗСО у зв’язку з тим, що не відбувалися торги через відсутність пропозицій на оголошених КЗЗСО </w:t>
      </w:r>
      <w:proofErr w:type="spellStart"/>
      <w:r w:rsidRPr="00483174">
        <w:rPr>
          <w:sz w:val="28"/>
          <w:szCs w:val="28"/>
          <w:lang w:val="uk-UA"/>
        </w:rPr>
        <w:t>закупівлях</w:t>
      </w:r>
      <w:proofErr w:type="spellEnd"/>
      <w:r w:rsidRPr="00483174">
        <w:rPr>
          <w:sz w:val="28"/>
          <w:szCs w:val="28"/>
          <w:lang w:val="uk-UA"/>
        </w:rPr>
        <w:t xml:space="preserve"> за ДК 021:2015 55510000-8 «Послуги </w:t>
      </w:r>
      <w:proofErr w:type="spellStart"/>
      <w:r w:rsidRPr="00483174">
        <w:rPr>
          <w:sz w:val="28"/>
          <w:szCs w:val="28"/>
          <w:lang w:val="uk-UA"/>
        </w:rPr>
        <w:t>їдалень</w:t>
      </w:r>
      <w:proofErr w:type="spellEnd"/>
      <w:r w:rsidRPr="00483174">
        <w:rPr>
          <w:sz w:val="28"/>
          <w:szCs w:val="28"/>
          <w:lang w:val="uk-UA"/>
        </w:rPr>
        <w:t>» і ДК 021:2015 55520000-1 «</w:t>
      </w:r>
      <w:proofErr w:type="spellStart"/>
      <w:r w:rsidRPr="00483174">
        <w:rPr>
          <w:sz w:val="28"/>
          <w:szCs w:val="28"/>
          <w:lang w:val="uk-UA"/>
        </w:rPr>
        <w:t>Кейтерингові</w:t>
      </w:r>
      <w:proofErr w:type="spellEnd"/>
      <w:r w:rsidRPr="00483174">
        <w:rPr>
          <w:sz w:val="28"/>
          <w:szCs w:val="28"/>
          <w:lang w:val="uk-UA"/>
        </w:rPr>
        <w:t xml:space="preserve"> послуги», а саме:</w:t>
      </w:r>
    </w:p>
    <w:p w14:paraId="1DF4D95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організації гарячого харчування учнів пільгових категорій;</w:t>
      </w:r>
    </w:p>
    <w:p w14:paraId="5541B185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організації гарячого харчування учнів 1–4 класів за кошти субвенції з державного бюджету місцевим бюджетам (постанова КМУ від 04.10.2024 № 1145) і співфінансування місцевого бюджету;</w:t>
      </w:r>
    </w:p>
    <w:p w14:paraId="544424E4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4) Послуги харчування за батьківські кошти (в тому числі «Послуги </w:t>
      </w:r>
      <w:proofErr w:type="spellStart"/>
      <w:r w:rsidRPr="00483174">
        <w:rPr>
          <w:sz w:val="28"/>
          <w:szCs w:val="28"/>
          <w:lang w:val="uk-UA"/>
        </w:rPr>
        <w:t>їдалень</w:t>
      </w:r>
      <w:proofErr w:type="spellEnd"/>
      <w:r w:rsidRPr="00483174">
        <w:rPr>
          <w:sz w:val="28"/>
          <w:szCs w:val="28"/>
          <w:lang w:val="uk-UA"/>
        </w:rPr>
        <w:t>» і «</w:t>
      </w:r>
      <w:proofErr w:type="spellStart"/>
      <w:r w:rsidRPr="00483174">
        <w:rPr>
          <w:sz w:val="28"/>
          <w:szCs w:val="28"/>
          <w:lang w:val="uk-UA"/>
        </w:rPr>
        <w:t>Кейтерингові</w:t>
      </w:r>
      <w:proofErr w:type="spellEnd"/>
      <w:r w:rsidRPr="00483174">
        <w:rPr>
          <w:sz w:val="28"/>
          <w:szCs w:val="28"/>
          <w:lang w:val="uk-UA"/>
        </w:rPr>
        <w:t xml:space="preserve"> послуги»).</w:t>
      </w:r>
    </w:p>
    <w:p w14:paraId="5548160B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2</w:t>
      </w:r>
      <w:r w:rsidRPr="00483174">
        <w:rPr>
          <w:color w:val="000000"/>
          <w:sz w:val="28"/>
          <w:szCs w:val="28"/>
          <w:lang w:val="uk-UA"/>
        </w:rPr>
        <w:t xml:space="preserve">. </w:t>
      </w:r>
      <w:r w:rsidRPr="00483174">
        <w:rPr>
          <w:sz w:val="28"/>
          <w:szCs w:val="28"/>
          <w:lang w:val="uk-UA"/>
        </w:rPr>
        <w:t xml:space="preserve">По всіх договорах послуги надаються за цінами, які встановлювалися виконавчим комітетом Луцької міської ради як грошові норми витрат </w:t>
      </w:r>
      <w:r w:rsidRPr="00483174">
        <w:rPr>
          <w:color w:val="000000"/>
          <w:sz w:val="28"/>
          <w:szCs w:val="28"/>
          <w:lang w:val="uk-UA"/>
        </w:rPr>
        <w:t xml:space="preserve">для </w:t>
      </w:r>
      <w:r w:rsidRPr="00483174">
        <w:rPr>
          <w:sz w:val="28"/>
          <w:szCs w:val="28"/>
          <w:lang w:val="uk-UA"/>
        </w:rPr>
        <w:t>безоплатного харчування учнів пільгових категорій. Їх розмір становив:</w:t>
      </w:r>
    </w:p>
    <w:p w14:paraId="49828E5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на І семестр 2021/2022 навчального року:</w:t>
      </w:r>
    </w:p>
    <w:p w14:paraId="309AAFF7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30,00 грн в день на одного учня (одноразове харчування); </w:t>
      </w:r>
    </w:p>
    <w:p w14:paraId="395D57D8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40,00 грн в день на одного учня для вихованців Луцького НРЦ (дворазове харчування);</w:t>
      </w:r>
    </w:p>
    <w:p w14:paraId="4CFFCD63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у період з ІІ семестру 2022/2023 навчального року – І семестру 2023/2024 навчального року:</w:t>
      </w:r>
    </w:p>
    <w:p w14:paraId="0C773997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40,00 грн в день на одного учня (одноразове харчування); </w:t>
      </w:r>
    </w:p>
    <w:p w14:paraId="54E91B8A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50,00 грн в день на одного учня для вихованців Луцького НРЦ (дворазове харчування);</w:t>
      </w:r>
    </w:p>
    <w:p w14:paraId="0DD2542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з ІІ семестру 2023/2024 навчального року на час звіту, розмір грошових норм </w:t>
      </w:r>
      <w:r w:rsidRPr="00483174">
        <w:rPr>
          <w:color w:val="000000" w:themeColor="text1"/>
          <w:sz w:val="28"/>
          <w:szCs w:val="28"/>
          <w:lang w:val="uk-UA"/>
        </w:rPr>
        <w:t xml:space="preserve">незмінний: </w:t>
      </w:r>
    </w:p>
    <w:p w14:paraId="58F2250B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50,00 грн в день на одного учня (одноразове харчування); </w:t>
      </w:r>
    </w:p>
    <w:p w14:paraId="5C83F388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60,00 грн в день на одного учня для вихованців Луцького НРЦ (дворазове харчування).</w:t>
      </w:r>
    </w:p>
    <w:p w14:paraId="4D228EC2" w14:textId="76E6C509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3</w:t>
      </w:r>
      <w:r w:rsidRPr="00483174">
        <w:rPr>
          <w:color w:val="000000"/>
          <w:sz w:val="28"/>
          <w:szCs w:val="28"/>
          <w:lang w:val="uk-UA"/>
        </w:rPr>
        <w:t>.</w:t>
      </w:r>
      <w:r w:rsidR="00F0483D" w:rsidRPr="00483174">
        <w:rPr>
          <w:color w:val="000000"/>
          <w:sz w:val="28"/>
          <w:szCs w:val="28"/>
          <w:lang w:val="uk-UA"/>
        </w:rPr>
        <w:t> </w:t>
      </w:r>
      <w:r w:rsidRPr="00483174">
        <w:rPr>
          <w:color w:val="000000"/>
          <w:sz w:val="28"/>
          <w:szCs w:val="28"/>
          <w:lang w:val="uk-UA"/>
        </w:rPr>
        <w:t>З моменту повномасштабного збройного вторгнення російської федерації на територію</w:t>
      </w:r>
      <w:r w:rsidRPr="00483174">
        <w:rPr>
          <w:sz w:val="28"/>
          <w:szCs w:val="28"/>
          <w:lang w:val="uk-UA"/>
        </w:rPr>
        <w:t xml:space="preserve"> України і запровадження 24.02.2022 правового режиму воєнного стану в 2024 році комбінат отримав найвищі фінансові показники </w:t>
      </w:r>
      <w:r w:rsidRPr="00483174">
        <w:rPr>
          <w:sz w:val="28"/>
          <w:szCs w:val="28"/>
          <w:lang w:val="uk-UA"/>
        </w:rPr>
        <w:lastRenderedPageBreak/>
        <w:t xml:space="preserve">фінансового-господарської діяльності (наведені в окремій таблиці, що додається). </w:t>
      </w:r>
    </w:p>
    <w:p w14:paraId="41CB86F6" w14:textId="0E77E53B" w:rsidR="009A7E83" w:rsidRPr="00483174" w:rsidRDefault="00000000" w:rsidP="00F0483D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Для розуміння джерел надходження коштів, як приклад зазнач</w:t>
      </w:r>
      <w:r w:rsidR="00F0483D" w:rsidRPr="00483174">
        <w:rPr>
          <w:color w:val="000000"/>
          <w:sz w:val="28"/>
          <w:szCs w:val="28"/>
          <w:lang w:val="uk-UA"/>
        </w:rPr>
        <w:t>аємо</w:t>
      </w:r>
      <w:r w:rsidRPr="00483174">
        <w:rPr>
          <w:color w:val="000000"/>
          <w:sz w:val="28"/>
          <w:szCs w:val="28"/>
          <w:lang w:val="uk-UA"/>
        </w:rPr>
        <w:t>, що протягом 2024 року комбінат щоденно надавав послуги гарячого харчування для</w:t>
      </w:r>
      <w:r w:rsidRPr="00483174">
        <w:rPr>
          <w:sz w:val="28"/>
          <w:szCs w:val="28"/>
          <w:lang w:val="uk-UA"/>
        </w:rPr>
        <w:t xml:space="preserve"> такої кількості учнів (середній показник): </w:t>
      </w:r>
    </w:p>
    <w:p w14:paraId="38056715" w14:textId="77777777" w:rsidR="009A7E83" w:rsidRPr="00483174" w:rsidRDefault="00000000">
      <w:pPr>
        <w:ind w:right="-2" w:firstLine="567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 за батьківські кошти – 4 614 учнів; </w:t>
      </w:r>
    </w:p>
    <w:p w14:paraId="425050B1" w14:textId="77777777" w:rsidR="009A7E83" w:rsidRPr="00483174" w:rsidRDefault="00000000">
      <w:pPr>
        <w:ind w:right="-2" w:firstLine="567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2)</w:t>
      </w:r>
      <w:r w:rsidRPr="00483174">
        <w:rPr>
          <w:sz w:val="28"/>
          <w:szCs w:val="28"/>
          <w:lang w:val="uk-UA"/>
        </w:rPr>
        <w:t xml:space="preserve"> за бюджетні кошти – 4 660 учнів;</w:t>
      </w:r>
    </w:p>
    <w:p w14:paraId="1E347BC2" w14:textId="77777777" w:rsidR="009A7E83" w:rsidRPr="00483174" w:rsidRDefault="00000000">
      <w:pPr>
        <w:ind w:right="-2" w:firstLine="567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2"/>
          <w:lang w:val="uk-UA"/>
        </w:rPr>
        <w:t>3</w:t>
      </w:r>
      <w:r w:rsidRPr="00483174">
        <w:rPr>
          <w:color w:val="000000"/>
          <w:sz w:val="28"/>
          <w:szCs w:val="28"/>
          <w:lang w:val="uk-UA"/>
        </w:rPr>
        <w:t xml:space="preserve">) у </w:t>
      </w:r>
      <w:r w:rsidRPr="00483174">
        <w:rPr>
          <w:sz w:val="28"/>
          <w:szCs w:val="28"/>
          <w:lang w:val="uk-UA"/>
        </w:rPr>
        <w:t xml:space="preserve">шкільних таборах – 2 655 учнів; </w:t>
      </w:r>
    </w:p>
    <w:p w14:paraId="5E7C72B4" w14:textId="77777777" w:rsidR="009A7E83" w:rsidRPr="00483174" w:rsidRDefault="00000000">
      <w:pPr>
        <w:ind w:right="-2" w:firstLine="567"/>
        <w:rPr>
          <w:sz w:val="28"/>
          <w:szCs w:val="28"/>
          <w:lang w:val="uk-UA"/>
        </w:rPr>
      </w:pPr>
      <w:r w:rsidRPr="00483174">
        <w:rPr>
          <w:sz w:val="28"/>
          <w:szCs w:val="22"/>
          <w:lang w:val="uk-UA"/>
        </w:rPr>
        <w:t xml:space="preserve">4) </w:t>
      </w:r>
      <w:r w:rsidRPr="00483174">
        <w:rPr>
          <w:sz w:val="28"/>
          <w:szCs w:val="28"/>
          <w:lang w:val="uk-UA"/>
        </w:rPr>
        <w:t>через вільний продаж (буфетне обслуговування) – 2 600 учнів (розрахунок проведений, виходячи із середньої вартості одного чека 50 грн).</w:t>
      </w:r>
    </w:p>
    <w:p w14:paraId="67494A31" w14:textId="77777777" w:rsidR="009A7E83" w:rsidRPr="00483174" w:rsidRDefault="00000000">
      <w:pPr>
        <w:ind w:right="-2" w:firstLine="567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В цілому в 2024 році щоденно харчуванням було охоплено 11 876 учнів.</w:t>
      </w:r>
    </w:p>
    <w:p w14:paraId="01B01BBC" w14:textId="4A6751C5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4</w:t>
      </w:r>
      <w:r w:rsidRPr="00483174">
        <w:rPr>
          <w:color w:val="000000"/>
          <w:sz w:val="28"/>
          <w:szCs w:val="28"/>
          <w:lang w:val="uk-UA"/>
        </w:rPr>
        <w:t>.</w:t>
      </w:r>
      <w:r w:rsidR="00F0483D" w:rsidRPr="00483174">
        <w:rPr>
          <w:color w:val="000000"/>
          <w:sz w:val="28"/>
          <w:szCs w:val="28"/>
          <w:lang w:val="uk-UA"/>
        </w:rPr>
        <w:t> </w:t>
      </w:r>
      <w:r w:rsidRPr="00483174">
        <w:rPr>
          <w:color w:val="000000"/>
          <w:sz w:val="28"/>
          <w:szCs w:val="28"/>
          <w:lang w:val="uk-UA"/>
        </w:rPr>
        <w:t xml:space="preserve">Через згадане вище збройне вторгнення </w:t>
      </w:r>
      <w:r w:rsidRPr="00483174">
        <w:rPr>
          <w:sz w:val="28"/>
          <w:szCs w:val="28"/>
          <w:lang w:val="uk-UA"/>
        </w:rPr>
        <w:t>та запобіжні заходи щодо недопущення поширення COVID-19 в КЗЗСО Луцької територіальної громади частина навчальних процесів відбувалася в дистанційному режимі</w:t>
      </w:r>
      <w:r w:rsidR="009545F3" w:rsidRPr="00483174">
        <w:rPr>
          <w:sz w:val="28"/>
          <w:szCs w:val="28"/>
          <w:lang w:val="uk-UA"/>
        </w:rPr>
        <w:t>, ч</w:t>
      </w:r>
      <w:r w:rsidRPr="00483174">
        <w:rPr>
          <w:sz w:val="28"/>
          <w:szCs w:val="28"/>
          <w:lang w:val="uk-UA"/>
        </w:rPr>
        <w:t>астина дітей виїхала за межі міста та України. Це призвело до зменшення обсягу послуг і відповідно до зменшення надходжень. Якщо у 2021 році дохід від реалізації с</w:t>
      </w:r>
      <w:r w:rsidR="009545F3" w:rsidRPr="00483174">
        <w:rPr>
          <w:sz w:val="28"/>
          <w:szCs w:val="28"/>
          <w:lang w:val="uk-UA"/>
        </w:rPr>
        <w:t>к</w:t>
      </w:r>
      <w:r w:rsidRPr="00483174">
        <w:rPr>
          <w:sz w:val="28"/>
          <w:szCs w:val="28"/>
          <w:lang w:val="uk-UA"/>
        </w:rPr>
        <w:t>лав 58 224 тис. грн, то за підсумками 2022 року – 44 501 тис. грн.</w:t>
      </w:r>
    </w:p>
    <w:p w14:paraId="5C24BE48" w14:textId="61D5A94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01.09.2022 і до закінчення навчального року гаряч</w:t>
      </w:r>
      <w:r w:rsidR="00025A7D" w:rsidRPr="00483174">
        <w:rPr>
          <w:sz w:val="28"/>
          <w:szCs w:val="28"/>
          <w:lang w:val="uk-UA"/>
        </w:rPr>
        <w:t>е</w:t>
      </w:r>
      <w:r w:rsidRPr="00483174">
        <w:rPr>
          <w:sz w:val="28"/>
          <w:szCs w:val="28"/>
          <w:lang w:val="uk-UA"/>
        </w:rPr>
        <w:t xml:space="preserve"> харчування дітей пільгових категорій та вільний продаж</w:t>
      </w:r>
      <w:r w:rsidR="00025A7D" w:rsidRPr="00483174">
        <w:rPr>
          <w:sz w:val="28"/>
          <w:szCs w:val="28"/>
          <w:lang w:val="uk-UA"/>
        </w:rPr>
        <w:t xml:space="preserve"> становив </w:t>
      </w:r>
      <w:r w:rsidRPr="00483174">
        <w:rPr>
          <w:sz w:val="28"/>
          <w:szCs w:val="28"/>
          <w:lang w:val="uk-UA"/>
        </w:rPr>
        <w:t>на 40 % менше в порівняння з 2021</w:t>
      </w:r>
      <w:r w:rsidR="00025A7D" w:rsidRPr="00483174">
        <w:rPr>
          <w:sz w:val="28"/>
          <w:szCs w:val="28"/>
          <w:lang w:val="uk-UA"/>
        </w:rPr>
        <w:t> </w:t>
      </w:r>
      <w:r w:rsidRPr="00483174">
        <w:rPr>
          <w:sz w:val="28"/>
          <w:szCs w:val="28"/>
          <w:lang w:val="uk-UA"/>
        </w:rPr>
        <w:t xml:space="preserve">роком. </w:t>
      </w:r>
    </w:p>
    <w:p w14:paraId="08A4B8D6" w14:textId="2A25C4BD" w:rsidR="009A7E83" w:rsidRPr="00483174" w:rsidRDefault="00000000">
      <w:pPr>
        <w:ind w:right="-2" w:firstLine="567"/>
        <w:jc w:val="both"/>
        <w:rPr>
          <w:spacing w:val="-2"/>
          <w:sz w:val="28"/>
          <w:szCs w:val="28"/>
          <w:lang w:val="uk-UA"/>
        </w:rPr>
      </w:pPr>
      <w:r w:rsidRPr="00483174">
        <w:rPr>
          <w:color w:val="000000"/>
          <w:spacing w:val="-2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5</w:t>
      </w:r>
      <w:r w:rsidRPr="00483174">
        <w:rPr>
          <w:color w:val="000000"/>
          <w:spacing w:val="-2"/>
          <w:sz w:val="28"/>
          <w:szCs w:val="28"/>
          <w:lang w:val="uk-UA"/>
        </w:rPr>
        <w:t>.</w:t>
      </w:r>
      <w:r w:rsidR="00F0483D" w:rsidRPr="00483174">
        <w:rPr>
          <w:color w:val="000000"/>
          <w:spacing w:val="-2"/>
          <w:sz w:val="28"/>
          <w:szCs w:val="28"/>
          <w:lang w:val="uk-UA"/>
        </w:rPr>
        <w:t> </w:t>
      </w:r>
      <w:r w:rsidRPr="00483174">
        <w:rPr>
          <w:color w:val="000000"/>
          <w:spacing w:val="-2"/>
          <w:sz w:val="28"/>
          <w:szCs w:val="28"/>
          <w:lang w:val="uk-UA"/>
        </w:rPr>
        <w:t>П</w:t>
      </w:r>
      <w:r w:rsidRPr="00483174">
        <w:rPr>
          <w:spacing w:val="-2"/>
          <w:sz w:val="28"/>
          <w:szCs w:val="28"/>
          <w:lang w:val="uk-UA"/>
        </w:rPr>
        <w:t>ри наданні послуг харчування для учнів КЗЗСО підприємство керувалося чинним законодавством, профільними нормативно-правовими актами і рекомендаціями МОН, які встановлюють вимоги до харчування учнів. Зокрема:</w:t>
      </w:r>
    </w:p>
    <w:p w14:paraId="3253AAB5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 Вимоги щодо енергетичної та поживної цінності їжі визначені Порядком харчування у закладах освіти та дитячих закладах оздоровлення та відпочинку, який затверджений постановою КМУ від 24.03.2021 </w:t>
      </w:r>
      <w:r w:rsidRPr="00483174">
        <w:rPr>
          <w:color w:val="000000"/>
          <w:sz w:val="28"/>
          <w:szCs w:val="28"/>
          <w:lang w:val="uk-UA"/>
        </w:rPr>
        <w:t>№ 305 (далі – Порядок)</w:t>
      </w:r>
      <w:r w:rsidRPr="00483174">
        <w:rPr>
          <w:sz w:val="28"/>
          <w:szCs w:val="28"/>
          <w:lang w:val="uk-UA"/>
        </w:rPr>
        <w:t>. Цей Порядок визначає, що норми харчування (перспективне меню) розраховується, окрім іншого, за критерієм граничних норм добової калорійності для відповідної енергетичної та поживної цінності на сніданок, обід та вечерю в закладах загальної середньої освіти.</w:t>
      </w:r>
    </w:p>
    <w:p w14:paraId="4EC8A7BD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Калорійність сніданку повинна становити 25–30 % від добової потреби.</w:t>
      </w:r>
    </w:p>
    <w:p w14:paraId="02D7CA2A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Співвідношення калорійності визначене в Додатку 9 </w:t>
      </w:r>
      <w:r w:rsidRPr="00483174">
        <w:rPr>
          <w:color w:val="000000"/>
          <w:sz w:val="28"/>
          <w:szCs w:val="28"/>
          <w:lang w:val="uk-UA"/>
        </w:rPr>
        <w:t xml:space="preserve">до Порядку і </w:t>
      </w:r>
      <w:r w:rsidRPr="00483174">
        <w:rPr>
          <w:sz w:val="28"/>
          <w:szCs w:val="28"/>
          <w:lang w:val="uk-UA"/>
        </w:rPr>
        <w:t xml:space="preserve">в п. 4 частини першої розділу ІІ Додатку 9 Санітарного регламенту для закладів загальної середньої освіти.  </w:t>
      </w:r>
    </w:p>
    <w:p w14:paraId="2B73723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3) Калорійність обіду повинна становити 30–35 % від добової потреби.</w:t>
      </w:r>
    </w:p>
    <w:p w14:paraId="06F09FD8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Співвідношення калорійності визначене в Додатку 9-1</w:t>
      </w:r>
      <w:r w:rsidRPr="00483174">
        <w:rPr>
          <w:color w:val="000000"/>
          <w:sz w:val="28"/>
          <w:szCs w:val="28"/>
          <w:lang w:val="uk-UA"/>
        </w:rPr>
        <w:t xml:space="preserve"> до Порядку і в п. 4 частини першої розділу ІІ Додатку 9 Санітарного регламенту для</w:t>
      </w:r>
      <w:r w:rsidRPr="00483174">
        <w:rPr>
          <w:sz w:val="28"/>
          <w:szCs w:val="28"/>
          <w:lang w:val="uk-UA"/>
        </w:rPr>
        <w:t xml:space="preserve"> закладів загальної середньої освіти.</w:t>
      </w:r>
    </w:p>
    <w:p w14:paraId="5830C40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4) Підприємство не раз звертало увагу на лист МОН України від 19.11.2024 №1 /21579-24, яким, з метою опрацювання змін до постанови КМУ від 04.10.2024 № 1145, рекомендовано розпорядникам і отримувачам коштів надати свої пропозиції щодо того, що органи місцевого самоврядування під час використання субвенції забезпечують дотримання таких умов:</w:t>
      </w:r>
    </w:p>
    <w:p w14:paraId="61DC76D0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lastRenderedPageBreak/>
        <w:t xml:space="preserve">харчування учнів організовано відповідно </w:t>
      </w:r>
      <w:r w:rsidRPr="00483174">
        <w:rPr>
          <w:color w:val="000000"/>
          <w:sz w:val="28"/>
          <w:szCs w:val="28"/>
          <w:lang w:val="uk-UA"/>
        </w:rPr>
        <w:t>до Порядку</w:t>
      </w:r>
      <w:r w:rsidRPr="00483174">
        <w:rPr>
          <w:sz w:val="28"/>
          <w:szCs w:val="28"/>
          <w:lang w:val="uk-UA"/>
        </w:rPr>
        <w:t>, вимог санітарного законодавства та законодавства з питань безпечності та якості харчових продуктів;</w:t>
      </w:r>
    </w:p>
    <w:p w14:paraId="61C6ED97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розрахунок вартості одноразового гарячого харчування на одного учня початкових класів не може перевищувати вартість одноразового гарячого харчування учнів 5–11(12) класів;</w:t>
      </w:r>
    </w:p>
    <w:p w14:paraId="2795A68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визначено тип одноразового харчування (сніданок – до 12.00 або обід з 12.00) залежно від організації навчання (у разі запровадження навчання у дві зміни).</w:t>
      </w:r>
    </w:p>
    <w:p w14:paraId="332164E0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5) Варто також враховувати, що питання шкільного харчування перебуває на постійному контролі в Офісі Президента України. </w:t>
      </w:r>
    </w:p>
    <w:p w14:paraId="2327C03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Пунктом 1.3 протокольного рішення від 14.06.2024 за результатами наради в Офісі Президента України щодо реформи шкільного харчування було ухвалено до 01.09.2024 привести вартість харчування у закладах освіти на 2024 рік відповідно до норм харчування, затверджених постановою КМУ від 24.03.2021 № 305, з урахуванням кратності харчування.  </w:t>
      </w:r>
    </w:p>
    <w:p w14:paraId="4704D0F9" w14:textId="061EB064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6</w:t>
      </w:r>
      <w:r w:rsidRPr="00483174">
        <w:rPr>
          <w:color w:val="000000"/>
          <w:sz w:val="28"/>
          <w:szCs w:val="28"/>
          <w:lang w:val="uk-UA"/>
        </w:rPr>
        <w:t>.</w:t>
      </w:r>
      <w:r w:rsidR="00F0483D" w:rsidRPr="00483174">
        <w:rPr>
          <w:color w:val="000000"/>
          <w:sz w:val="28"/>
          <w:szCs w:val="28"/>
          <w:lang w:val="uk-UA"/>
        </w:rPr>
        <w:t> </w:t>
      </w:r>
      <w:r w:rsidR="00483174">
        <w:rPr>
          <w:color w:val="000000"/>
          <w:sz w:val="28"/>
          <w:szCs w:val="28"/>
          <w:lang w:val="uk-UA"/>
        </w:rPr>
        <w:t>Не зважаючи</w:t>
      </w:r>
      <w:r w:rsidRPr="00483174">
        <w:rPr>
          <w:sz w:val="28"/>
          <w:szCs w:val="28"/>
          <w:lang w:val="uk-UA"/>
        </w:rPr>
        <w:t xml:space="preserve"> складні умови, підприємство працювало в 2022 році без скорочення чисельності та штату працівників і без затримок у виплатах заробітних плат. Зберегти штат працівників і матеріальну базу дозволило надання послуг харчування для інших категорій споживачів. Зокрема:</w:t>
      </w:r>
    </w:p>
    <w:p w14:paraId="1ED1AAA3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 На підставі договорів від 24.02.2022 № 32 і від 09.03.2022 № 124, укладених з Виконавчим комітетом Луцької міської ради, на базі шкільних </w:t>
      </w:r>
      <w:proofErr w:type="spellStart"/>
      <w:r w:rsidRPr="00483174">
        <w:rPr>
          <w:sz w:val="28"/>
          <w:szCs w:val="28"/>
          <w:lang w:val="uk-UA"/>
        </w:rPr>
        <w:t>їдалень</w:t>
      </w:r>
      <w:proofErr w:type="spellEnd"/>
      <w:r w:rsidRPr="00483174">
        <w:rPr>
          <w:sz w:val="28"/>
          <w:szCs w:val="28"/>
          <w:lang w:val="uk-UA"/>
        </w:rPr>
        <w:t xml:space="preserve"> шкіл № 25 і № 26 було організовано приготування їжі для підрозділів Національної поліції України, ТРО ЗСУ та ДФТГ, що несли службу на блокпостах.</w:t>
      </w:r>
    </w:p>
    <w:p w14:paraId="6C8C024F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Надано таких послуг на суму 205 214,00 грн.</w:t>
      </w:r>
    </w:p>
    <w:p w14:paraId="52417B65" w14:textId="1CE7AE88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Благодійно, в період з 25.02.2022 до 27.02.2022 доставлялися готові  страви за місцем дислокації особового складу 50-го батальйону територіальної  оборони, в/ч А7059. Забезпечено харчування на суму 63 492,00 грн. Вказані послуги оплачені на банківський  рахунок комбінату добровільними пожертвами фізичних осіб.</w:t>
      </w:r>
    </w:p>
    <w:p w14:paraId="3527C4B5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3)</w:t>
      </w:r>
      <w:r w:rsidRPr="00483174">
        <w:rPr>
          <w:b/>
          <w:bCs/>
          <w:sz w:val="28"/>
          <w:szCs w:val="28"/>
          <w:lang w:val="uk-UA"/>
        </w:rPr>
        <w:t xml:space="preserve"> </w:t>
      </w:r>
      <w:r w:rsidRPr="00483174">
        <w:rPr>
          <w:sz w:val="28"/>
          <w:szCs w:val="28"/>
          <w:lang w:val="uk-UA"/>
        </w:rPr>
        <w:t>У період 02–11.03.2022 було забезпечено харчування координаційного центру Волинської ОВА на суму 90 000,00 грн. Вказані послуги були оплачені за рахунок коштів БО «БФ “Волинь-2014”».</w:t>
      </w:r>
    </w:p>
    <w:p w14:paraId="51B226A0" w14:textId="7F1F4C9A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4) У період з 09.03.2022 до 14.04.2022, підприємство забезпечувало </w:t>
      </w:r>
      <w:proofErr w:type="spellStart"/>
      <w:r w:rsidRPr="00483174">
        <w:rPr>
          <w:sz w:val="28"/>
          <w:szCs w:val="28"/>
          <w:lang w:val="uk-UA"/>
        </w:rPr>
        <w:t>трьохразове</w:t>
      </w:r>
      <w:proofErr w:type="spellEnd"/>
      <w:r w:rsidRPr="00483174">
        <w:rPr>
          <w:sz w:val="28"/>
          <w:szCs w:val="28"/>
          <w:lang w:val="uk-UA"/>
        </w:rPr>
        <w:t xml:space="preserve"> гаряче харчування особового складу в/ч А7062. Це відбувалося згідно з листами командира в/ч А7062 від 02.03.2022 № 85 і від 13.03.2022 № 139, які були адресовані підприємству та виконавчому комітету Луцької міської ради.</w:t>
      </w:r>
    </w:p>
    <w:p w14:paraId="3A809DEB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Всього надано послуг на суму 437 377,00 грн. Приготування їжі відбувалося на базі їдальні школи № 25. По програмі фінансової підтримки була надана цільова допомога в розмірі 437 400,00 грн. Уся сума коштів використана на оплату за спожиту електроенергію.</w:t>
      </w:r>
    </w:p>
    <w:p w14:paraId="7337196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5) З 23.03.2022 до 31.12.2022 надавалися послуги з харчування вимушено переселених осіб на підставі:</w:t>
      </w:r>
    </w:p>
    <w:p w14:paraId="23D5BCB7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lastRenderedPageBreak/>
        <w:t xml:space="preserve">рішення виконавчого комітету Луцької міської ради від 23.03.2022 № 157-1 «Про затвердження Порядку безоплатного харчування  вимушено переселених осіб»; </w:t>
      </w:r>
    </w:p>
    <w:p w14:paraId="59B5728C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реалізації благодійної програми БФ «ФОНД ІГОРЯ ПАЛИЦІ “ТІЛЬКИ РАЗОМ”» «Підтримка українських військовослужбовців та осіб, які постраждали від військової агресії» фонд забезпечував співфінансування безоплатного харчування  вимушено переселених осіб; </w:t>
      </w:r>
    </w:p>
    <w:p w14:paraId="20F85C4C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рішення виконавчого комітету Луцької міської ради від 17.08.2022 № 411-1 «Про затвердження Порядку забезпечення харчуванням вимушено переселених осіб».</w:t>
      </w:r>
    </w:p>
    <w:p w14:paraId="72F9979D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Відповідно до договорів, укладених між Луцьким комбінатом шкільного і студентського харчування та Департаментом соціальної політики Луцької міської ради, між Луцьким комбінатом шкільного і студентського харчування та БФ «ФОНД ІГОРЯ ПАЛИЦІ “ТІЛЬКИ РАЗОМ”», між Луцьким комбінатом шкільного і студентського харчування, Департаментом соціальної політики Луцької міської ради та ЦІЛЬОВИМ БЛАГОДІЙНИМ ФОНДОМ ДОПОМОГИ ЗБРОЙНИМ СИЛАМ УКРАЇНИ «СТОП РОСІЙСЬКІЙ АГРЕСІЇ. РАЗОМ ДО ПЕРЕМОГИ» КОМУНАЛЬНОГО ПІДПРИЄМСТВА “ЛУЦЬКВОДОКАНАЛ”» (кошти від міста Вюрцбург, Німеччина (</w:t>
      </w:r>
      <w:proofErr w:type="spellStart"/>
      <w:r w:rsidRPr="00483174">
        <w:rPr>
          <w:sz w:val="28"/>
          <w:szCs w:val="28"/>
          <w:lang w:val="uk-UA"/>
        </w:rPr>
        <w:t>Stadt</w:t>
      </w:r>
      <w:proofErr w:type="spellEnd"/>
      <w:r w:rsidRPr="00483174">
        <w:rPr>
          <w:sz w:val="28"/>
          <w:szCs w:val="28"/>
          <w:lang w:val="uk-UA"/>
        </w:rPr>
        <w:t xml:space="preserve"> </w:t>
      </w:r>
      <w:proofErr w:type="spellStart"/>
      <w:r w:rsidRPr="00483174">
        <w:rPr>
          <w:sz w:val="28"/>
          <w:szCs w:val="28"/>
          <w:lang w:val="uk-UA"/>
        </w:rPr>
        <w:t>Würzburg</w:t>
      </w:r>
      <w:proofErr w:type="spellEnd"/>
      <w:r w:rsidRPr="00483174">
        <w:rPr>
          <w:sz w:val="28"/>
          <w:szCs w:val="28"/>
          <w:lang w:val="uk-UA"/>
        </w:rPr>
        <w:t xml:space="preserve">, </w:t>
      </w:r>
      <w:proofErr w:type="spellStart"/>
      <w:r w:rsidRPr="00483174">
        <w:rPr>
          <w:sz w:val="28"/>
          <w:szCs w:val="28"/>
          <w:lang w:val="uk-UA"/>
        </w:rPr>
        <w:t>Deutschland</w:t>
      </w:r>
      <w:proofErr w:type="spellEnd"/>
      <w:r w:rsidRPr="00483174">
        <w:rPr>
          <w:sz w:val="28"/>
          <w:szCs w:val="28"/>
          <w:lang w:val="uk-UA"/>
        </w:rPr>
        <w:t xml:space="preserve">)), було реалізовано вказані вище рішення виконавчого комітету Луцької міської ради. </w:t>
      </w:r>
    </w:p>
    <w:p w14:paraId="6C3A513A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На базі </w:t>
      </w:r>
      <w:proofErr w:type="spellStart"/>
      <w:r w:rsidRPr="00483174">
        <w:rPr>
          <w:sz w:val="28"/>
          <w:szCs w:val="28"/>
          <w:lang w:val="uk-UA"/>
        </w:rPr>
        <w:t>їдалень</w:t>
      </w:r>
      <w:proofErr w:type="spellEnd"/>
      <w:r w:rsidRPr="00483174">
        <w:rPr>
          <w:sz w:val="28"/>
          <w:szCs w:val="28"/>
          <w:lang w:val="uk-UA"/>
        </w:rPr>
        <w:t xml:space="preserve"> шкіл № 4, № 26, № 24 і № 9 за період з 23.03.2022 до 30.08.2022 приготовлено гарячих комплексних обідів для вимушено переселених осіб у кількості 268 080 комплексів, в </w:t>
      </w:r>
      <w:proofErr w:type="spellStart"/>
      <w:r w:rsidRPr="00483174">
        <w:rPr>
          <w:sz w:val="28"/>
          <w:szCs w:val="28"/>
          <w:lang w:val="uk-UA"/>
        </w:rPr>
        <w:t>т.ч</w:t>
      </w:r>
      <w:proofErr w:type="spellEnd"/>
      <w:r w:rsidRPr="00483174">
        <w:rPr>
          <w:sz w:val="28"/>
          <w:szCs w:val="28"/>
          <w:lang w:val="uk-UA"/>
        </w:rPr>
        <w:t>. 41 973 комплексів для дітей (віком до 11 років).</w:t>
      </w:r>
    </w:p>
    <w:p w14:paraId="144B0D3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Джерела фінансування вказаних програм:</w:t>
      </w:r>
    </w:p>
    <w:p w14:paraId="1E45D2AA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1) За рахунок коштів Департаменту соціальної політики Луцької міської ради з 23.03.2022 до 28.08.2022 на суму 4 999 200,00 грн.</w:t>
      </w:r>
    </w:p>
    <w:p w14:paraId="77AF90A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За рахунок коштів БФ «ФОНД ІГОРЯ ПАЛИЦІ “ТІЛЬКИ РАЗОМ”» з  23.03.2022 до 14.08.2022 на суму 5 685 460,00 грн.</w:t>
      </w:r>
    </w:p>
    <w:p w14:paraId="254C7EA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3) За рахунок коштів ЦІЛЬОВОГО БЛАГОДІЙНОГО ФОНДУ ДОПОМОГИ ЗБРОЙНИМ СИЛАМ УКРАЇНИ «СТОП РОСІЙСЬКІЙ АГРЕСІЇ. РАЗОМ ДО ПЕРЕМОГИ» КОМУНАЛЬНОГО ПІДПРИЄМСТВА “ЛУЦЬКВОДОКАНАЛ”», в тому числі:</w:t>
      </w:r>
    </w:p>
    <w:p w14:paraId="02A2AFFF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з 15.08.2022 до 31.08.2022 на суму 637 610,00 грн на базі </w:t>
      </w:r>
      <w:proofErr w:type="spellStart"/>
      <w:r w:rsidRPr="00483174">
        <w:rPr>
          <w:sz w:val="28"/>
          <w:szCs w:val="28"/>
          <w:lang w:val="uk-UA"/>
        </w:rPr>
        <w:t>їдалень</w:t>
      </w:r>
      <w:proofErr w:type="spellEnd"/>
      <w:r w:rsidRPr="00483174">
        <w:rPr>
          <w:sz w:val="28"/>
          <w:szCs w:val="28"/>
          <w:lang w:val="uk-UA"/>
        </w:rPr>
        <w:t xml:space="preserve"> шкіл № 4 і № 26;</w:t>
      </w:r>
    </w:p>
    <w:p w14:paraId="3646846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01.09.2022 до 08.01.2023 на суму 144 800,00 грн на базі їдальні Волинського інституту післядипломної педагогічної освіти (оскільки з 01.09.2022 у шкільних їдальнях розпочали харчування школярів).</w:t>
      </w:r>
    </w:p>
    <w:p w14:paraId="4A5166AA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Загалом було приготовано 268 080 гарячих комплексних обідів.</w:t>
      </w:r>
    </w:p>
    <w:p w14:paraId="2FDC680B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t>2.</w:t>
      </w:r>
      <w:r w:rsidRPr="00483174">
        <w:rPr>
          <w:color w:val="000000"/>
          <w:sz w:val="28"/>
          <w:szCs w:val="22"/>
          <w:lang w:val="uk-UA"/>
        </w:rPr>
        <w:t>7</w:t>
      </w:r>
      <w:r w:rsidRPr="00483174">
        <w:rPr>
          <w:color w:val="000000"/>
          <w:sz w:val="28"/>
          <w:szCs w:val="28"/>
          <w:lang w:val="uk-UA"/>
        </w:rPr>
        <w:t xml:space="preserve">. </w:t>
      </w:r>
      <w:r w:rsidRPr="00483174">
        <w:rPr>
          <w:sz w:val="28"/>
          <w:szCs w:val="28"/>
          <w:lang w:val="uk-UA"/>
        </w:rPr>
        <w:t xml:space="preserve">Протягом звітного періоду постачання продуктів здійснювали лише ті постачальники, які зареєстровані відповідними підрозділами </w:t>
      </w:r>
      <w:proofErr w:type="spellStart"/>
      <w:r w:rsidRPr="00483174">
        <w:rPr>
          <w:sz w:val="28"/>
          <w:szCs w:val="28"/>
          <w:lang w:val="uk-UA"/>
        </w:rPr>
        <w:t>Держпродспожтвслужби</w:t>
      </w:r>
      <w:proofErr w:type="spellEnd"/>
      <w:r w:rsidRPr="00483174">
        <w:rPr>
          <w:sz w:val="28"/>
          <w:szCs w:val="28"/>
          <w:lang w:val="uk-UA"/>
        </w:rPr>
        <w:t xml:space="preserve"> як оператори ринку (які мають рішення про державну реєстрацію </w:t>
      </w:r>
      <w:proofErr w:type="spellStart"/>
      <w:r w:rsidRPr="00483174">
        <w:rPr>
          <w:sz w:val="28"/>
          <w:szCs w:val="28"/>
          <w:lang w:val="uk-UA"/>
        </w:rPr>
        <w:t>потужностей</w:t>
      </w:r>
      <w:proofErr w:type="spellEnd"/>
      <w:r w:rsidRPr="00483174">
        <w:rPr>
          <w:sz w:val="28"/>
          <w:szCs w:val="28"/>
          <w:lang w:val="uk-UA"/>
        </w:rPr>
        <w:t>).</w:t>
      </w:r>
    </w:p>
    <w:p w14:paraId="3590312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Розрахунки проводилися лише в безготівковому порядку.</w:t>
      </w:r>
    </w:p>
    <w:p w14:paraId="77B9B599" w14:textId="78025721" w:rsidR="009A7E83" w:rsidRPr="00483174" w:rsidRDefault="00000000">
      <w:pPr>
        <w:ind w:right="-2" w:firstLine="567"/>
        <w:jc w:val="both"/>
        <w:rPr>
          <w:b/>
          <w:bCs/>
          <w:sz w:val="28"/>
          <w:szCs w:val="28"/>
          <w:lang w:val="uk-UA"/>
        </w:rPr>
      </w:pPr>
      <w:r w:rsidRPr="00483174">
        <w:rPr>
          <w:color w:val="000000"/>
          <w:sz w:val="28"/>
          <w:szCs w:val="28"/>
          <w:lang w:val="uk-UA"/>
        </w:rPr>
        <w:lastRenderedPageBreak/>
        <w:t>2.</w:t>
      </w:r>
      <w:r w:rsidRPr="00483174">
        <w:rPr>
          <w:color w:val="000000"/>
          <w:sz w:val="28"/>
          <w:szCs w:val="22"/>
          <w:lang w:val="uk-UA"/>
        </w:rPr>
        <w:t>8</w:t>
      </w:r>
      <w:r w:rsidRPr="00483174">
        <w:rPr>
          <w:color w:val="000000"/>
          <w:sz w:val="28"/>
          <w:szCs w:val="28"/>
          <w:lang w:val="uk-UA"/>
        </w:rPr>
        <w:t>.</w:t>
      </w:r>
      <w:r w:rsidR="00F0483D" w:rsidRPr="00483174">
        <w:rPr>
          <w:color w:val="000000"/>
          <w:sz w:val="28"/>
          <w:szCs w:val="28"/>
          <w:lang w:val="uk-UA"/>
        </w:rPr>
        <w:t> </w:t>
      </w:r>
      <w:r w:rsidRPr="00483174">
        <w:rPr>
          <w:color w:val="000000"/>
          <w:sz w:val="28"/>
          <w:szCs w:val="28"/>
          <w:lang w:val="uk-UA"/>
        </w:rPr>
        <w:t>Заходи для контролю якості продукції та дотримання санітарно-гігієнічни</w:t>
      </w:r>
      <w:r w:rsidRPr="00483174">
        <w:rPr>
          <w:sz w:val="28"/>
          <w:szCs w:val="28"/>
          <w:lang w:val="uk-UA"/>
        </w:rPr>
        <w:t>х норм:</w:t>
      </w:r>
    </w:p>
    <w:p w14:paraId="2A789D07" w14:textId="2153E7AF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 Протягом звітного періоду Волинський обласний лабораторний центр МОЗ України </w:t>
      </w:r>
      <w:r w:rsidRPr="00483174">
        <w:rPr>
          <w:color w:val="000000"/>
          <w:sz w:val="28"/>
          <w:szCs w:val="28"/>
          <w:lang w:val="uk-UA"/>
        </w:rPr>
        <w:t xml:space="preserve">здійснював моніторинг й </w:t>
      </w:r>
      <w:proofErr w:type="spellStart"/>
      <w:r w:rsidRPr="00483174">
        <w:rPr>
          <w:color w:val="000000"/>
          <w:sz w:val="28"/>
          <w:szCs w:val="28"/>
          <w:lang w:val="uk-UA"/>
        </w:rPr>
        <w:t>епідрозслідування</w:t>
      </w:r>
      <w:proofErr w:type="spellEnd"/>
      <w:r w:rsidRPr="00483174">
        <w:rPr>
          <w:color w:val="000000"/>
          <w:sz w:val="28"/>
          <w:szCs w:val="28"/>
          <w:lang w:val="uk-UA"/>
        </w:rPr>
        <w:t xml:space="preserve"> у всіх навчальних закладах міста</w:t>
      </w:r>
      <w:r w:rsidR="00251E66">
        <w:rPr>
          <w:color w:val="000000"/>
          <w:sz w:val="28"/>
          <w:szCs w:val="22"/>
          <w:lang w:val="uk-UA"/>
        </w:rPr>
        <w:t xml:space="preserve"> </w:t>
      </w:r>
      <w:r w:rsidRPr="00483174">
        <w:rPr>
          <w:color w:val="000000"/>
          <w:sz w:val="28"/>
          <w:szCs w:val="28"/>
          <w:lang w:val="uk-UA"/>
        </w:rPr>
        <w:t>із</w:t>
      </w:r>
      <w:r w:rsidRPr="00483174">
        <w:rPr>
          <w:sz w:val="28"/>
          <w:szCs w:val="28"/>
          <w:lang w:val="uk-UA"/>
        </w:rPr>
        <w:t xml:space="preserve"> застосуванням лабораторних досліджень, шляхом: </w:t>
      </w:r>
    </w:p>
    <w:p w14:paraId="702CE57D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відібрання змивів з предметів середовища на наявність кишкової палички; </w:t>
      </w:r>
    </w:p>
    <w:p w14:paraId="056CE559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дослідження води та готових страв на бактеріальне забруднення; </w:t>
      </w:r>
    </w:p>
    <w:p w14:paraId="3DA74167" w14:textId="7E407407" w:rsidR="009A7E83" w:rsidRPr="00483174" w:rsidRDefault="00251E66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дослідження </w:t>
      </w:r>
      <w:r w:rsidRPr="00483174">
        <w:rPr>
          <w:sz w:val="28"/>
          <w:szCs w:val="28"/>
          <w:lang w:val="uk-UA"/>
        </w:rPr>
        <w:t>страв на калорійність, овочів на нітрати, м’яс</w:t>
      </w:r>
      <w:r>
        <w:rPr>
          <w:sz w:val="28"/>
          <w:szCs w:val="28"/>
          <w:lang w:val="uk-UA"/>
        </w:rPr>
        <w:t>а</w:t>
      </w:r>
      <w:r w:rsidRPr="00483174">
        <w:rPr>
          <w:sz w:val="28"/>
          <w:szCs w:val="28"/>
          <w:lang w:val="uk-UA"/>
        </w:rPr>
        <w:t xml:space="preserve"> на вміст антибіотиків, сальмонел, пестицидів, радіологічного забруднення тощо. </w:t>
      </w:r>
    </w:p>
    <w:p w14:paraId="5484DD7D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Результати всіх лабораторних досліджень завжди відповідали нормативним показникам.</w:t>
      </w:r>
    </w:p>
    <w:p w14:paraId="0831F2C9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Зокрема, до першого кварталу 2024 року було охоплено епіднаглядом 22 КЗЗСО. Проведено відбір 1328 проб для лабораторного моніторингу.</w:t>
      </w:r>
    </w:p>
    <w:p w14:paraId="7F3BAB7C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2) Наявний договір з Волинським обласним центром контролю та профілактики </w:t>
      </w:r>
      <w:proofErr w:type="spellStart"/>
      <w:r w:rsidRPr="00483174">
        <w:rPr>
          <w:sz w:val="28"/>
          <w:szCs w:val="28"/>
          <w:lang w:val="uk-UA"/>
        </w:rPr>
        <w:t>хвороб</w:t>
      </w:r>
      <w:proofErr w:type="spellEnd"/>
      <w:r w:rsidRPr="00483174">
        <w:rPr>
          <w:sz w:val="28"/>
          <w:szCs w:val="28"/>
          <w:lang w:val="uk-UA"/>
        </w:rPr>
        <w:t xml:space="preserve"> МОЗ України, представники якого проводять систематичні виїзди без попередження для відібрання зразків страв і змивів на дослідження.</w:t>
      </w:r>
    </w:p>
    <w:p w14:paraId="2F2EA32B" w14:textId="0E3DF0FA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3) Всі працівники проходять регулярні медичні огляди і допускаються до роботи про наявності Особов</w:t>
      </w:r>
      <w:r w:rsidR="00760FF9">
        <w:rPr>
          <w:sz w:val="28"/>
          <w:szCs w:val="28"/>
          <w:lang w:val="uk-UA"/>
        </w:rPr>
        <w:t>их</w:t>
      </w:r>
      <w:r w:rsidRPr="00483174">
        <w:rPr>
          <w:sz w:val="28"/>
          <w:szCs w:val="28"/>
          <w:lang w:val="uk-UA"/>
        </w:rPr>
        <w:t xml:space="preserve"> медичн</w:t>
      </w:r>
      <w:r w:rsidR="00760FF9">
        <w:rPr>
          <w:sz w:val="28"/>
          <w:szCs w:val="28"/>
          <w:lang w:val="uk-UA"/>
        </w:rPr>
        <w:t>их</w:t>
      </w:r>
      <w:r w:rsidRPr="00483174">
        <w:rPr>
          <w:sz w:val="28"/>
          <w:szCs w:val="28"/>
          <w:lang w:val="uk-UA"/>
        </w:rPr>
        <w:t xml:space="preserve"> книж</w:t>
      </w:r>
      <w:r w:rsidR="00760FF9">
        <w:rPr>
          <w:sz w:val="28"/>
          <w:szCs w:val="28"/>
          <w:lang w:val="uk-UA"/>
        </w:rPr>
        <w:t>о</w:t>
      </w:r>
      <w:r w:rsidRPr="00483174">
        <w:rPr>
          <w:sz w:val="28"/>
          <w:szCs w:val="28"/>
          <w:lang w:val="uk-UA"/>
        </w:rPr>
        <w:t>к.</w:t>
      </w:r>
    </w:p>
    <w:p w14:paraId="2B366A7C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4) Завідуючі виробництв здійснюють постійний вхідний контроль якості продуктів (сировини) від постачальників.</w:t>
      </w:r>
    </w:p>
    <w:p w14:paraId="619FE3EC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5) Проводяться систематичні внутрішні перевірки харчоблоків.</w:t>
      </w:r>
    </w:p>
    <w:p w14:paraId="4DF7BC8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Залучаються спеціалісти Луцького районного управління ГУ ДПСС у Волинській області для визначення відповідності продукції за фізико-хімічними показниками відповідно до наказу МОЗ від 22.05.2020 № 1238. </w:t>
      </w:r>
    </w:p>
    <w:p w14:paraId="3407B705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У результаті проведених лабораторних досліджень підтверджено відповідність усіх відібраних зразків, а саме: </w:t>
      </w:r>
    </w:p>
    <w:p w14:paraId="270514F5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картоплі, моркви, буряків столових, огірків, цибулі, капусти;</w:t>
      </w:r>
    </w:p>
    <w:p w14:paraId="0901C231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масла </w:t>
      </w:r>
      <w:proofErr w:type="spellStart"/>
      <w:r w:rsidRPr="00483174">
        <w:rPr>
          <w:sz w:val="28"/>
          <w:szCs w:val="28"/>
          <w:lang w:val="uk-UA"/>
        </w:rPr>
        <w:t>солодковершкового</w:t>
      </w:r>
      <w:proofErr w:type="spellEnd"/>
      <w:r w:rsidRPr="00483174">
        <w:rPr>
          <w:sz w:val="28"/>
          <w:szCs w:val="28"/>
          <w:lang w:val="uk-UA"/>
        </w:rPr>
        <w:t>;</w:t>
      </w:r>
    </w:p>
    <w:p w14:paraId="23837458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proofErr w:type="spellStart"/>
      <w:r w:rsidRPr="00483174">
        <w:rPr>
          <w:sz w:val="28"/>
          <w:szCs w:val="28"/>
          <w:lang w:val="uk-UA"/>
        </w:rPr>
        <w:t>тефтелі</w:t>
      </w:r>
      <w:proofErr w:type="spellEnd"/>
      <w:r w:rsidRPr="00483174">
        <w:rPr>
          <w:sz w:val="28"/>
          <w:szCs w:val="28"/>
          <w:lang w:val="uk-UA"/>
        </w:rPr>
        <w:t xml:space="preserve"> курячої в червоному соусі, каші ячної з маслом, </w:t>
      </w:r>
      <w:proofErr w:type="spellStart"/>
      <w:r w:rsidRPr="00483174">
        <w:rPr>
          <w:sz w:val="28"/>
          <w:szCs w:val="28"/>
          <w:lang w:val="uk-UA"/>
        </w:rPr>
        <w:t>тефтелі</w:t>
      </w:r>
      <w:proofErr w:type="spellEnd"/>
      <w:r w:rsidRPr="00483174">
        <w:rPr>
          <w:sz w:val="28"/>
          <w:szCs w:val="28"/>
          <w:lang w:val="uk-UA"/>
        </w:rPr>
        <w:t xml:space="preserve"> з соусом, </w:t>
      </w:r>
      <w:proofErr w:type="spellStart"/>
      <w:r w:rsidRPr="00483174">
        <w:rPr>
          <w:sz w:val="28"/>
          <w:szCs w:val="28"/>
          <w:lang w:val="uk-UA"/>
        </w:rPr>
        <w:t>тефтелі</w:t>
      </w:r>
      <w:proofErr w:type="spellEnd"/>
      <w:r w:rsidRPr="00483174">
        <w:rPr>
          <w:sz w:val="28"/>
          <w:szCs w:val="28"/>
          <w:lang w:val="uk-UA"/>
        </w:rPr>
        <w:t>, салату з огірка, огірка свіжого з часником і кропом, чаю.</w:t>
      </w:r>
    </w:p>
    <w:p w14:paraId="051323B2" w14:textId="77777777" w:rsidR="009A7E83" w:rsidRPr="00483174" w:rsidRDefault="00000000">
      <w:pPr>
        <w:ind w:right="-2"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Продукти відбиралися, безпосередньо, в їдальнях КЗЗСО м. Луцька.   </w:t>
      </w:r>
    </w:p>
    <w:p w14:paraId="4A4D2154" w14:textId="77777777" w:rsidR="009A7E83" w:rsidRPr="00483174" w:rsidRDefault="009A7E83">
      <w:pPr>
        <w:ind w:right="-2" w:firstLine="567"/>
        <w:jc w:val="both"/>
        <w:rPr>
          <w:b/>
          <w:bCs/>
          <w:sz w:val="28"/>
          <w:szCs w:val="28"/>
          <w:lang w:val="uk-UA"/>
        </w:rPr>
      </w:pPr>
    </w:p>
    <w:p w14:paraId="0C04802A" w14:textId="660FA0DC" w:rsidR="009A7E83" w:rsidRPr="00483174" w:rsidRDefault="00000000">
      <w:pPr>
        <w:ind w:right="-2" w:firstLine="567"/>
        <w:jc w:val="both"/>
        <w:rPr>
          <w:sz w:val="32"/>
          <w:szCs w:val="32"/>
          <w:lang w:val="uk-UA"/>
        </w:rPr>
      </w:pPr>
      <w:r w:rsidRPr="00483174">
        <w:rPr>
          <w:b/>
          <w:bCs/>
          <w:sz w:val="28"/>
          <w:szCs w:val="28"/>
          <w:lang w:val="uk-UA"/>
        </w:rPr>
        <w:t>ІІІ. Матеріально-технічна база</w:t>
      </w:r>
      <w:r w:rsidR="00760FF9">
        <w:rPr>
          <w:b/>
          <w:bCs/>
          <w:sz w:val="28"/>
          <w:szCs w:val="28"/>
          <w:lang w:val="uk-UA"/>
        </w:rPr>
        <w:t>.</w:t>
      </w:r>
      <w:r w:rsidRPr="00483174">
        <w:rPr>
          <w:color w:val="FF0000"/>
          <w:sz w:val="32"/>
          <w:szCs w:val="32"/>
          <w:lang w:val="uk-UA"/>
        </w:rPr>
        <w:t xml:space="preserve">    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4565"/>
        <w:gridCol w:w="4961"/>
      </w:tblGrid>
      <w:tr w:rsidR="009A7E83" w:rsidRPr="00483174" w14:paraId="29861946" w14:textId="77777777">
        <w:tc>
          <w:tcPr>
            <w:tcW w:w="4565" w:type="dxa"/>
            <w:vAlign w:val="center"/>
          </w:tcPr>
          <w:p w14:paraId="23B58D46" w14:textId="77777777" w:rsidR="009A7E83" w:rsidRPr="00483174" w:rsidRDefault="00000000">
            <w:pPr>
              <w:jc w:val="center"/>
              <w:rPr>
                <w:b/>
                <w:bCs/>
                <w:lang w:val="uk-UA"/>
              </w:rPr>
            </w:pPr>
            <w:r w:rsidRPr="00483174">
              <w:rPr>
                <w:b/>
                <w:bCs/>
                <w:lang w:val="uk-UA"/>
              </w:rPr>
              <w:t>Вид майна</w:t>
            </w:r>
          </w:p>
        </w:tc>
        <w:tc>
          <w:tcPr>
            <w:tcW w:w="4961" w:type="dxa"/>
            <w:vAlign w:val="center"/>
          </w:tcPr>
          <w:p w14:paraId="06F96AE2" w14:textId="77777777" w:rsidR="009A7E83" w:rsidRPr="00483174" w:rsidRDefault="00000000">
            <w:pPr>
              <w:jc w:val="center"/>
              <w:rPr>
                <w:b/>
                <w:bCs/>
                <w:lang w:val="uk-UA"/>
              </w:rPr>
            </w:pPr>
            <w:r w:rsidRPr="00483174">
              <w:rPr>
                <w:b/>
                <w:bCs/>
                <w:lang w:val="uk-UA"/>
              </w:rPr>
              <w:t>Підстави користування</w:t>
            </w:r>
          </w:p>
        </w:tc>
      </w:tr>
      <w:tr w:rsidR="009A7E83" w:rsidRPr="00483174" w14:paraId="72BB0CE6" w14:textId="77777777">
        <w:tc>
          <w:tcPr>
            <w:tcW w:w="4565" w:type="dxa"/>
          </w:tcPr>
          <w:p w14:paraId="18845C9D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Приміщення харчоблоків КЗЗСО</w:t>
            </w:r>
          </w:p>
        </w:tc>
        <w:tc>
          <w:tcPr>
            <w:tcW w:w="4961" w:type="dxa"/>
          </w:tcPr>
          <w:p w14:paraId="28E19FC5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Оренда (комунальна власність Луцької МТГ)</w:t>
            </w:r>
          </w:p>
        </w:tc>
      </w:tr>
      <w:tr w:rsidR="009A7E83" w:rsidRPr="00483174" w14:paraId="4FE31D4F" w14:textId="77777777">
        <w:trPr>
          <w:trHeight w:val="160"/>
        </w:trPr>
        <w:tc>
          <w:tcPr>
            <w:tcW w:w="4565" w:type="dxa"/>
            <w:vMerge w:val="restart"/>
            <w:vAlign w:val="center"/>
          </w:tcPr>
          <w:p w14:paraId="0CEAC693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Виробниче обладнання та посуд</w:t>
            </w:r>
          </w:p>
        </w:tc>
        <w:tc>
          <w:tcPr>
            <w:tcW w:w="4961" w:type="dxa"/>
          </w:tcPr>
          <w:p w14:paraId="25D0A1FD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Оренда (комунальна власність)</w:t>
            </w:r>
          </w:p>
        </w:tc>
      </w:tr>
      <w:tr w:rsidR="009A7E83" w:rsidRPr="00483174" w14:paraId="36734F71" w14:textId="77777777">
        <w:trPr>
          <w:trHeight w:val="160"/>
        </w:trPr>
        <w:tc>
          <w:tcPr>
            <w:tcW w:w="4565" w:type="dxa"/>
            <w:vMerge/>
          </w:tcPr>
          <w:p w14:paraId="56E83498" w14:textId="77777777" w:rsidR="009A7E83" w:rsidRPr="00483174" w:rsidRDefault="009A7E8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14:paraId="25367D58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Власне (за кошти від господарської діяльності)</w:t>
            </w:r>
          </w:p>
        </w:tc>
      </w:tr>
      <w:tr w:rsidR="009A7E83" w:rsidRPr="00483174" w14:paraId="580951F0" w14:textId="77777777">
        <w:tc>
          <w:tcPr>
            <w:tcW w:w="4565" w:type="dxa"/>
            <w:vAlign w:val="center"/>
          </w:tcPr>
          <w:p w14:paraId="00BB7DEB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Транспортні засоби </w:t>
            </w:r>
          </w:p>
        </w:tc>
        <w:tc>
          <w:tcPr>
            <w:tcW w:w="4961" w:type="dxa"/>
          </w:tcPr>
          <w:p w14:paraId="33DA4802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8 одиниць, з них: ГАЗ-2705, ІЖ, ВАЗ не експлуатуються через зношеність і значні експлуатаційні витрати</w:t>
            </w:r>
          </w:p>
        </w:tc>
      </w:tr>
      <w:tr w:rsidR="009A7E83" w:rsidRPr="00483174" w14:paraId="14E413DD" w14:textId="77777777">
        <w:tc>
          <w:tcPr>
            <w:tcW w:w="4565" w:type="dxa"/>
            <w:vAlign w:val="center"/>
          </w:tcPr>
          <w:p w14:paraId="78994807" w14:textId="77777777" w:rsidR="009A7E83" w:rsidRPr="00483174" w:rsidRDefault="00000000">
            <w:pPr>
              <w:rPr>
                <w:spacing w:val="-14"/>
                <w:sz w:val="26"/>
                <w:szCs w:val="26"/>
                <w:lang w:val="uk-UA"/>
              </w:rPr>
            </w:pPr>
            <w:r w:rsidRPr="00483174">
              <w:rPr>
                <w:spacing w:val="-14"/>
                <w:sz w:val="26"/>
                <w:szCs w:val="26"/>
                <w:lang w:val="uk-UA"/>
              </w:rPr>
              <w:t>Приміщення двох кафе (вул. Загородня, 20)</w:t>
            </w:r>
          </w:p>
        </w:tc>
        <w:tc>
          <w:tcPr>
            <w:tcW w:w="4961" w:type="dxa"/>
            <w:vMerge w:val="restart"/>
            <w:vAlign w:val="center"/>
          </w:tcPr>
          <w:p w14:paraId="2B6D22FD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Оренда (обласна комунальна власність)</w:t>
            </w:r>
          </w:p>
        </w:tc>
      </w:tr>
      <w:tr w:rsidR="009A7E83" w:rsidRPr="00483174" w14:paraId="47C67596" w14:textId="77777777">
        <w:tc>
          <w:tcPr>
            <w:tcW w:w="4565" w:type="dxa"/>
            <w:vAlign w:val="center"/>
          </w:tcPr>
          <w:p w14:paraId="0CDAB17F" w14:textId="77777777" w:rsidR="009A7E83" w:rsidRPr="00483174" w:rsidRDefault="00000000">
            <w:pPr>
              <w:rPr>
                <w:spacing w:val="-12"/>
                <w:sz w:val="26"/>
                <w:szCs w:val="26"/>
                <w:lang w:val="uk-UA"/>
              </w:rPr>
            </w:pPr>
            <w:r w:rsidRPr="00483174">
              <w:rPr>
                <w:spacing w:val="-12"/>
                <w:sz w:val="26"/>
                <w:szCs w:val="26"/>
                <w:lang w:val="uk-UA"/>
              </w:rPr>
              <w:t>Приміщення їдальні (вул. Винниченка, 31)</w:t>
            </w:r>
          </w:p>
        </w:tc>
        <w:tc>
          <w:tcPr>
            <w:tcW w:w="4961" w:type="dxa"/>
            <w:vMerge/>
          </w:tcPr>
          <w:p w14:paraId="3CD80F0F" w14:textId="77777777" w:rsidR="009A7E83" w:rsidRPr="00483174" w:rsidRDefault="009A7E8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14:paraId="44D55D62" w14:textId="77777777" w:rsidR="00251E66" w:rsidRDefault="00251E66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5E2A001A" w14:textId="009B053F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b/>
          <w:bCs/>
          <w:sz w:val="28"/>
          <w:szCs w:val="28"/>
          <w:lang w:val="uk-UA"/>
        </w:rPr>
        <w:lastRenderedPageBreak/>
        <w:t>IV. Результати роботи (фінансовий стан) за 2024 рік</w:t>
      </w:r>
      <w:r w:rsidR="00760FF9">
        <w:rPr>
          <w:b/>
          <w:bCs/>
          <w:sz w:val="28"/>
          <w:szCs w:val="28"/>
          <w:lang w:val="uk-UA"/>
        </w:rPr>
        <w:t>.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6379"/>
        <w:gridCol w:w="3147"/>
      </w:tblGrid>
      <w:tr w:rsidR="009A7E83" w:rsidRPr="00483174" w14:paraId="1274FCDD" w14:textId="77777777">
        <w:tc>
          <w:tcPr>
            <w:tcW w:w="6379" w:type="dxa"/>
            <w:vAlign w:val="center"/>
          </w:tcPr>
          <w:p w14:paraId="0C52DB9C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 xml:space="preserve">Доходи всього:                                    111 951.0   в </w:t>
            </w:r>
            <w:proofErr w:type="spellStart"/>
            <w:r w:rsidRPr="00483174">
              <w:rPr>
                <w:b/>
                <w:bCs/>
                <w:sz w:val="26"/>
                <w:szCs w:val="26"/>
                <w:lang w:val="uk-UA"/>
              </w:rPr>
              <w:t>т.ч</w:t>
            </w:r>
            <w:proofErr w:type="spellEnd"/>
            <w:r w:rsidRPr="00483174">
              <w:rPr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147" w:type="dxa"/>
          </w:tcPr>
          <w:p w14:paraId="61BFB44E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>Сума, тис. грн</w:t>
            </w:r>
          </w:p>
        </w:tc>
      </w:tr>
      <w:tr w:rsidR="009A7E83" w:rsidRPr="00483174" w14:paraId="7E0D7238" w14:textId="77777777">
        <w:tc>
          <w:tcPr>
            <w:tcW w:w="6379" w:type="dxa"/>
            <w:vAlign w:val="center"/>
          </w:tcPr>
          <w:p w14:paraId="2D156CAC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Дохід від реалізації продукції та послуг</w:t>
            </w:r>
          </w:p>
        </w:tc>
        <w:tc>
          <w:tcPr>
            <w:tcW w:w="3147" w:type="dxa"/>
            <w:vAlign w:val="center"/>
          </w:tcPr>
          <w:p w14:paraId="29F6D9C7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111 539.0</w:t>
            </w:r>
          </w:p>
        </w:tc>
      </w:tr>
      <w:tr w:rsidR="009A7E83" w:rsidRPr="00483174" w14:paraId="5009D8C9" w14:textId="77777777">
        <w:tc>
          <w:tcPr>
            <w:tcW w:w="6379" w:type="dxa"/>
            <w:vAlign w:val="center"/>
          </w:tcPr>
          <w:p w14:paraId="64E3C0C2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Інші операційні доходи</w:t>
            </w:r>
          </w:p>
        </w:tc>
        <w:tc>
          <w:tcPr>
            <w:tcW w:w="3147" w:type="dxa"/>
            <w:vAlign w:val="center"/>
          </w:tcPr>
          <w:p w14:paraId="1066BA68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  412.0</w:t>
            </w:r>
          </w:p>
        </w:tc>
      </w:tr>
      <w:tr w:rsidR="009A7E83" w:rsidRPr="00483174" w14:paraId="7C39BD32" w14:textId="77777777">
        <w:tc>
          <w:tcPr>
            <w:tcW w:w="6379" w:type="dxa"/>
            <w:vAlign w:val="center"/>
          </w:tcPr>
          <w:p w14:paraId="24CE68EB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Прибуток до оподаткування</w:t>
            </w:r>
          </w:p>
        </w:tc>
        <w:tc>
          <w:tcPr>
            <w:tcW w:w="3147" w:type="dxa"/>
            <w:vAlign w:val="center"/>
          </w:tcPr>
          <w:p w14:paraId="1D9BC74E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  943.0</w:t>
            </w:r>
          </w:p>
        </w:tc>
      </w:tr>
      <w:tr w:rsidR="009A7E83" w:rsidRPr="00483174" w14:paraId="22920C56" w14:textId="77777777">
        <w:tc>
          <w:tcPr>
            <w:tcW w:w="6379" w:type="dxa"/>
            <w:vAlign w:val="center"/>
          </w:tcPr>
          <w:p w14:paraId="4E1C1A67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Чистий прибуток</w:t>
            </w:r>
          </w:p>
        </w:tc>
        <w:tc>
          <w:tcPr>
            <w:tcW w:w="3147" w:type="dxa"/>
            <w:vAlign w:val="center"/>
          </w:tcPr>
          <w:p w14:paraId="272DC958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                 856.0</w:t>
            </w:r>
          </w:p>
        </w:tc>
      </w:tr>
      <w:tr w:rsidR="009A7E83" w:rsidRPr="00483174" w14:paraId="1A5FE6F4" w14:textId="77777777">
        <w:tc>
          <w:tcPr>
            <w:tcW w:w="6379" w:type="dxa"/>
            <w:vAlign w:val="center"/>
          </w:tcPr>
          <w:p w14:paraId="57F01123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</w:t>
            </w:r>
          </w:p>
        </w:tc>
        <w:tc>
          <w:tcPr>
            <w:tcW w:w="3147" w:type="dxa"/>
            <w:vAlign w:val="center"/>
          </w:tcPr>
          <w:p w14:paraId="2FCE5A03" w14:textId="77777777" w:rsidR="009A7E83" w:rsidRPr="00483174" w:rsidRDefault="009A7E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7E83" w:rsidRPr="00483174" w14:paraId="7FFCE56F" w14:textId="77777777">
        <w:tc>
          <w:tcPr>
            <w:tcW w:w="6379" w:type="dxa"/>
            <w:vAlign w:val="center"/>
          </w:tcPr>
          <w:p w14:paraId="6C2BEB84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 xml:space="preserve">Сплачено податків і зборів  всього : 19 547.7   в </w:t>
            </w:r>
            <w:proofErr w:type="spellStart"/>
            <w:r w:rsidRPr="00483174">
              <w:rPr>
                <w:b/>
                <w:bCs/>
                <w:sz w:val="26"/>
                <w:szCs w:val="26"/>
                <w:lang w:val="uk-UA"/>
              </w:rPr>
              <w:t>т.ч</w:t>
            </w:r>
            <w:proofErr w:type="spellEnd"/>
            <w:r w:rsidRPr="00483174">
              <w:rPr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147" w:type="dxa"/>
            <w:vAlign w:val="center"/>
          </w:tcPr>
          <w:p w14:paraId="6BF70EBA" w14:textId="77777777" w:rsidR="009A7E83" w:rsidRPr="00483174" w:rsidRDefault="009A7E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7E83" w:rsidRPr="00483174" w14:paraId="6F9FB606" w14:textId="77777777">
        <w:tc>
          <w:tcPr>
            <w:tcW w:w="6379" w:type="dxa"/>
            <w:vAlign w:val="center"/>
          </w:tcPr>
          <w:p w14:paraId="23FADADF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До бюджетів всіх рівнів </w:t>
            </w:r>
          </w:p>
        </w:tc>
        <w:tc>
          <w:tcPr>
            <w:tcW w:w="3147" w:type="dxa"/>
            <w:vAlign w:val="center"/>
          </w:tcPr>
          <w:p w14:paraId="69AB671D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10 827.9</w:t>
            </w:r>
          </w:p>
        </w:tc>
      </w:tr>
      <w:tr w:rsidR="009A7E83" w:rsidRPr="00483174" w14:paraId="2A74410F" w14:textId="77777777">
        <w:tc>
          <w:tcPr>
            <w:tcW w:w="6379" w:type="dxa"/>
            <w:vAlign w:val="center"/>
          </w:tcPr>
          <w:p w14:paraId="5D16F2FF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До соціальних фондів (ЄСВ)</w:t>
            </w:r>
          </w:p>
        </w:tc>
        <w:tc>
          <w:tcPr>
            <w:tcW w:w="3147" w:type="dxa"/>
            <w:vAlign w:val="center"/>
          </w:tcPr>
          <w:p w14:paraId="5475135A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8 719.8</w:t>
            </w:r>
          </w:p>
        </w:tc>
      </w:tr>
      <w:tr w:rsidR="009A7E83" w:rsidRPr="00483174" w14:paraId="397330CF" w14:textId="77777777">
        <w:tc>
          <w:tcPr>
            <w:tcW w:w="6379" w:type="dxa"/>
            <w:vAlign w:val="center"/>
          </w:tcPr>
          <w:p w14:paraId="48F09C5D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>Інші господарські витрати:</w:t>
            </w:r>
          </w:p>
        </w:tc>
        <w:tc>
          <w:tcPr>
            <w:tcW w:w="3147" w:type="dxa"/>
            <w:vAlign w:val="center"/>
          </w:tcPr>
          <w:p w14:paraId="51AB734D" w14:textId="77777777" w:rsidR="009A7E83" w:rsidRPr="00483174" w:rsidRDefault="009A7E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7E83" w:rsidRPr="00483174" w14:paraId="0028A1E3" w14:textId="77777777">
        <w:tc>
          <w:tcPr>
            <w:tcW w:w="6379" w:type="dxa"/>
            <w:vAlign w:val="center"/>
          </w:tcPr>
          <w:p w14:paraId="132434E4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Закуплено основні засоби малоцінні необоротні активи</w:t>
            </w:r>
          </w:p>
        </w:tc>
        <w:tc>
          <w:tcPr>
            <w:tcW w:w="3147" w:type="dxa"/>
            <w:vAlign w:val="center"/>
          </w:tcPr>
          <w:p w14:paraId="6F0DD170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3 332.6</w:t>
            </w:r>
          </w:p>
        </w:tc>
      </w:tr>
      <w:tr w:rsidR="009A7E83" w:rsidRPr="00483174" w14:paraId="4F67514D" w14:textId="77777777">
        <w:tc>
          <w:tcPr>
            <w:tcW w:w="6379" w:type="dxa"/>
            <w:shd w:val="clear" w:color="auto" w:fill="FFFFFF" w:themeFill="background1"/>
            <w:vAlign w:val="center"/>
          </w:tcPr>
          <w:p w14:paraId="31D74008" w14:textId="77777777" w:rsidR="009A7E83" w:rsidRPr="00483174" w:rsidRDefault="0000000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Поточні ремонти основних засобів 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29C04016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682.0</w:t>
            </w:r>
          </w:p>
        </w:tc>
      </w:tr>
      <w:tr w:rsidR="009A7E83" w:rsidRPr="00483174" w14:paraId="1FBF6C13" w14:textId="77777777">
        <w:trPr>
          <w:trHeight w:val="280"/>
        </w:trPr>
        <w:tc>
          <w:tcPr>
            <w:tcW w:w="9526" w:type="dxa"/>
            <w:gridSpan w:val="2"/>
            <w:shd w:val="clear" w:color="auto" w:fill="D9D9D9" w:themeFill="background1" w:themeFillShade="D9"/>
            <w:vAlign w:val="center"/>
          </w:tcPr>
          <w:p w14:paraId="49A6D17C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b/>
                <w:bCs/>
                <w:sz w:val="26"/>
                <w:szCs w:val="26"/>
                <w:lang w:val="uk-UA"/>
              </w:rPr>
              <w:t>Джерела надходження коштів  у 2024 році</w:t>
            </w:r>
          </w:p>
        </w:tc>
      </w:tr>
      <w:tr w:rsidR="009A7E83" w:rsidRPr="00483174" w14:paraId="1D300AD5" w14:textId="77777777">
        <w:trPr>
          <w:trHeight w:val="280"/>
        </w:trPr>
        <w:tc>
          <w:tcPr>
            <w:tcW w:w="6379" w:type="dxa"/>
            <w:vAlign w:val="center"/>
          </w:tcPr>
          <w:p w14:paraId="0DA1C935" w14:textId="77777777" w:rsidR="009A7E83" w:rsidRPr="00483174" w:rsidRDefault="00000000">
            <w:pPr>
              <w:jc w:val="both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Бюджетні кошти (харчування учнів пільгових категорій за кошти бюджету територіальної громади і учнів 1–4 класів за кошти субвенції з державного бюджету місцевим бюджетам)</w:t>
            </w:r>
          </w:p>
        </w:tc>
        <w:tc>
          <w:tcPr>
            <w:tcW w:w="3147" w:type="dxa"/>
            <w:vAlign w:val="center"/>
          </w:tcPr>
          <w:p w14:paraId="12B0A17E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43 171.2</w:t>
            </w:r>
          </w:p>
        </w:tc>
      </w:tr>
      <w:tr w:rsidR="009A7E83" w:rsidRPr="00483174" w14:paraId="3A9C92C7" w14:textId="77777777">
        <w:trPr>
          <w:trHeight w:val="280"/>
        </w:trPr>
        <w:tc>
          <w:tcPr>
            <w:tcW w:w="6379" w:type="dxa"/>
            <w:vAlign w:val="center"/>
          </w:tcPr>
          <w:p w14:paraId="571C5FB9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Харчування за батьківські кошти   </w:t>
            </w:r>
          </w:p>
        </w:tc>
        <w:tc>
          <w:tcPr>
            <w:tcW w:w="3147" w:type="dxa"/>
            <w:vAlign w:val="center"/>
          </w:tcPr>
          <w:p w14:paraId="76912DF2" w14:textId="77777777" w:rsidR="009A7E83" w:rsidRPr="00483174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44 409.5</w:t>
            </w:r>
          </w:p>
        </w:tc>
      </w:tr>
      <w:tr w:rsidR="009A7E83" w:rsidRPr="00483174" w14:paraId="64D8EB18" w14:textId="77777777">
        <w:trPr>
          <w:trHeight w:val="280"/>
        </w:trPr>
        <w:tc>
          <w:tcPr>
            <w:tcW w:w="6379" w:type="dxa"/>
            <w:vAlign w:val="center"/>
          </w:tcPr>
          <w:p w14:paraId="23B7AB7F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Чиста реалізація готової продукції за готівкові та безготівкові  кошти (буфети </w:t>
            </w:r>
            <w:proofErr w:type="spellStart"/>
            <w:r w:rsidRPr="00483174">
              <w:rPr>
                <w:sz w:val="26"/>
                <w:szCs w:val="26"/>
                <w:lang w:val="uk-UA"/>
              </w:rPr>
              <w:t>їдалень</w:t>
            </w:r>
            <w:proofErr w:type="spellEnd"/>
            <w:r w:rsidRPr="00483174">
              <w:rPr>
                <w:sz w:val="26"/>
                <w:szCs w:val="26"/>
                <w:lang w:val="uk-UA"/>
              </w:rPr>
              <w:t>, кафе, інше)</w:t>
            </w:r>
          </w:p>
        </w:tc>
        <w:tc>
          <w:tcPr>
            <w:tcW w:w="3147" w:type="dxa"/>
            <w:vAlign w:val="center"/>
          </w:tcPr>
          <w:p w14:paraId="583ADA63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           23 977.0</w:t>
            </w:r>
          </w:p>
        </w:tc>
      </w:tr>
      <w:tr w:rsidR="009A7E83" w:rsidRPr="00483174" w14:paraId="1C936DD8" w14:textId="77777777">
        <w:trPr>
          <w:trHeight w:val="280"/>
        </w:trPr>
        <w:tc>
          <w:tcPr>
            <w:tcW w:w="6379" w:type="dxa"/>
            <w:vAlign w:val="center"/>
          </w:tcPr>
          <w:p w14:paraId="70BFDD78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>Чисті інші операційні доходи (оренда, компенсація за комунальні послуги, здача металобрухту від списання основних засобів, % банку)</w:t>
            </w:r>
          </w:p>
        </w:tc>
        <w:tc>
          <w:tcPr>
            <w:tcW w:w="3147" w:type="dxa"/>
            <w:vAlign w:val="center"/>
          </w:tcPr>
          <w:p w14:paraId="0BA03810" w14:textId="77777777" w:rsidR="009A7E83" w:rsidRPr="00483174" w:rsidRDefault="00000000">
            <w:pPr>
              <w:rPr>
                <w:sz w:val="26"/>
                <w:szCs w:val="26"/>
                <w:lang w:val="uk-UA"/>
              </w:rPr>
            </w:pPr>
            <w:r w:rsidRPr="00483174">
              <w:rPr>
                <w:sz w:val="26"/>
                <w:szCs w:val="26"/>
                <w:lang w:val="uk-UA"/>
              </w:rPr>
              <w:t xml:space="preserve">                   393.3</w:t>
            </w:r>
          </w:p>
        </w:tc>
      </w:tr>
    </w:tbl>
    <w:p w14:paraId="5EE9BB81" w14:textId="77777777" w:rsidR="009A7E83" w:rsidRPr="00483174" w:rsidRDefault="009A7E83">
      <w:pPr>
        <w:ind w:firstLine="567"/>
        <w:jc w:val="both"/>
        <w:rPr>
          <w:b/>
          <w:bCs/>
          <w:sz w:val="10"/>
          <w:szCs w:val="10"/>
          <w:lang w:val="uk-UA"/>
        </w:rPr>
      </w:pPr>
    </w:p>
    <w:p w14:paraId="47CB1B01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Узагальнені результати за весь звітний період наведені в окремій таблиці, що додається.</w:t>
      </w:r>
    </w:p>
    <w:p w14:paraId="55D7D8B8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Підприємство виконувало фінансові плани.</w:t>
      </w:r>
    </w:p>
    <w:p w14:paraId="54A1DF23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Відсутня заборгованість по зарплаті та податкових </w:t>
      </w:r>
      <w:proofErr w:type="spellStart"/>
      <w:r w:rsidRPr="00483174">
        <w:rPr>
          <w:sz w:val="28"/>
          <w:szCs w:val="28"/>
          <w:lang w:val="uk-UA"/>
        </w:rPr>
        <w:t>платежах</w:t>
      </w:r>
      <w:proofErr w:type="spellEnd"/>
      <w:r w:rsidRPr="00483174">
        <w:rPr>
          <w:sz w:val="28"/>
          <w:szCs w:val="28"/>
          <w:lang w:val="uk-UA"/>
        </w:rPr>
        <w:t>.</w:t>
      </w:r>
    </w:p>
    <w:p w14:paraId="60FA28D1" w14:textId="77777777" w:rsidR="009A7E83" w:rsidRPr="00483174" w:rsidRDefault="00000000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483174">
        <w:rPr>
          <w:spacing w:val="-2"/>
          <w:sz w:val="28"/>
          <w:szCs w:val="28"/>
          <w:lang w:val="uk-UA"/>
        </w:rPr>
        <w:t>Підприємство не користується кредитами, не дотується з місцевого бюджету.</w:t>
      </w:r>
    </w:p>
    <w:p w14:paraId="77FCB15D" w14:textId="77777777" w:rsidR="009A7E83" w:rsidRPr="00483174" w:rsidRDefault="009A7E83">
      <w:pPr>
        <w:ind w:firstLine="567"/>
        <w:jc w:val="both"/>
        <w:rPr>
          <w:sz w:val="28"/>
          <w:szCs w:val="28"/>
          <w:lang w:val="uk-UA"/>
        </w:rPr>
      </w:pPr>
    </w:p>
    <w:p w14:paraId="342D3C04" w14:textId="77777777" w:rsidR="009A7E83" w:rsidRPr="00483174" w:rsidRDefault="00000000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483174">
        <w:rPr>
          <w:b/>
          <w:bCs/>
          <w:sz w:val="28"/>
          <w:szCs w:val="28"/>
          <w:lang w:val="uk-UA"/>
        </w:rPr>
        <w:t>V. Заходи для покращення якості послуг харчування.</w:t>
      </w:r>
    </w:p>
    <w:p w14:paraId="4664296A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Починаючи з 2024 року, підприємство поетапно:</w:t>
      </w:r>
    </w:p>
    <w:p w14:paraId="0B9597AF" w14:textId="1D76D97C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оновлює кухонне та буфетне обладнання (школи №№ 1, 9, 15, 27)</w:t>
      </w:r>
      <w:r w:rsidR="00760FF9">
        <w:rPr>
          <w:sz w:val="28"/>
          <w:szCs w:val="28"/>
          <w:lang w:val="uk-UA"/>
        </w:rPr>
        <w:t>;</w:t>
      </w:r>
    </w:p>
    <w:p w14:paraId="04E8D5B1" w14:textId="49CAE9D5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оновлює послуг</w:t>
      </w:r>
      <w:r w:rsidR="00760FF9">
        <w:rPr>
          <w:sz w:val="28"/>
          <w:szCs w:val="28"/>
          <w:lang w:val="uk-UA"/>
        </w:rPr>
        <w:t>и</w:t>
      </w:r>
      <w:r w:rsidRPr="00483174">
        <w:rPr>
          <w:sz w:val="28"/>
          <w:szCs w:val="28"/>
          <w:lang w:val="uk-UA"/>
        </w:rPr>
        <w:t xml:space="preserve"> для </w:t>
      </w:r>
      <w:proofErr w:type="spellStart"/>
      <w:r w:rsidRPr="00483174">
        <w:rPr>
          <w:sz w:val="28"/>
          <w:szCs w:val="28"/>
          <w:lang w:val="uk-UA"/>
        </w:rPr>
        <w:t>кейтерингу</w:t>
      </w:r>
      <w:proofErr w:type="spellEnd"/>
      <w:r w:rsidR="00760FF9" w:rsidRPr="00760FF9">
        <w:rPr>
          <w:sz w:val="28"/>
          <w:szCs w:val="28"/>
          <w:lang w:val="uk-UA"/>
        </w:rPr>
        <w:t xml:space="preserve"> </w:t>
      </w:r>
      <w:r w:rsidR="00760FF9">
        <w:rPr>
          <w:sz w:val="28"/>
          <w:szCs w:val="28"/>
          <w:lang w:val="uk-UA"/>
        </w:rPr>
        <w:t xml:space="preserve">і </w:t>
      </w:r>
      <w:r w:rsidR="00760FF9" w:rsidRPr="00483174">
        <w:rPr>
          <w:sz w:val="28"/>
          <w:szCs w:val="28"/>
          <w:lang w:val="uk-UA"/>
        </w:rPr>
        <w:t>столовий посуд</w:t>
      </w:r>
      <w:r w:rsidRPr="00483174">
        <w:rPr>
          <w:sz w:val="28"/>
          <w:szCs w:val="28"/>
          <w:lang w:val="uk-UA"/>
        </w:rPr>
        <w:t>, який не б’ється, довше зберігає необхідну температуру страв і естетично привабливий</w:t>
      </w:r>
      <w:r w:rsidR="00760FF9">
        <w:rPr>
          <w:sz w:val="28"/>
          <w:szCs w:val="28"/>
          <w:lang w:val="uk-UA"/>
        </w:rPr>
        <w:t>;</w:t>
      </w:r>
    </w:p>
    <w:p w14:paraId="735A94DB" w14:textId="365127FB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оновлює меню</w:t>
      </w:r>
      <w:r w:rsidR="00760FF9">
        <w:rPr>
          <w:sz w:val="28"/>
          <w:szCs w:val="28"/>
          <w:lang w:val="uk-UA"/>
        </w:rPr>
        <w:t>;</w:t>
      </w:r>
    </w:p>
    <w:p w14:paraId="750D802E" w14:textId="5B5CD33F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четвертого кварталу 2023 року провод</w:t>
      </w:r>
      <w:r w:rsidR="00760FF9">
        <w:rPr>
          <w:sz w:val="28"/>
          <w:szCs w:val="28"/>
          <w:lang w:val="uk-UA"/>
        </w:rPr>
        <w:t>и</w:t>
      </w:r>
      <w:r w:rsidRPr="00483174">
        <w:rPr>
          <w:sz w:val="28"/>
          <w:szCs w:val="28"/>
          <w:lang w:val="uk-UA"/>
        </w:rPr>
        <w:t>ть регулярні навчання кухарів і кулінарів.</w:t>
      </w:r>
    </w:p>
    <w:p w14:paraId="21FB50D6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Для проведення майстер-класів залучаються фахівці кулінарної школи Євгена </w:t>
      </w:r>
      <w:proofErr w:type="spellStart"/>
      <w:r w:rsidRPr="00483174">
        <w:rPr>
          <w:sz w:val="28"/>
          <w:szCs w:val="28"/>
          <w:lang w:val="uk-UA"/>
        </w:rPr>
        <w:t>Чернухи</w:t>
      </w:r>
      <w:proofErr w:type="spellEnd"/>
      <w:r w:rsidRPr="00483174">
        <w:rPr>
          <w:sz w:val="28"/>
          <w:szCs w:val="28"/>
          <w:lang w:val="uk-UA"/>
        </w:rPr>
        <w:t xml:space="preserve"> (</w:t>
      </w:r>
      <w:hyperlink r:id="rId9">
        <w:r w:rsidR="009A7E83" w:rsidRPr="00483174">
          <w:rPr>
            <w:rStyle w:val="af0"/>
            <w:sz w:val="28"/>
            <w:szCs w:val="28"/>
            <w:lang w:val="uk-UA"/>
          </w:rPr>
          <w:t>https://cookeryschool.com.ua</w:t>
        </w:r>
      </w:hyperlink>
      <w:r w:rsidRPr="00483174">
        <w:rPr>
          <w:sz w:val="28"/>
          <w:szCs w:val="28"/>
          <w:lang w:val="uk-UA"/>
        </w:rPr>
        <w:t>), який є українським шеф-кухарем, засновником кулінарної школи, агентства кулінарного та ресторанного консалтингу, експертом в українських кулінарних шоу та передачах: «Кохана, ми вбиваємо дітей», «Таємний агент», «Дешево та сердито», «Життя без обману», «Їмо за сто».</w:t>
      </w:r>
    </w:p>
    <w:p w14:paraId="4158D96A" w14:textId="77777777" w:rsidR="009A7E83" w:rsidRPr="00483174" w:rsidRDefault="009A7E83">
      <w:pPr>
        <w:jc w:val="center"/>
        <w:rPr>
          <w:bCs/>
          <w:sz w:val="28"/>
          <w:szCs w:val="28"/>
          <w:lang w:val="uk-UA"/>
        </w:rPr>
      </w:pPr>
    </w:p>
    <w:p w14:paraId="08998FC7" w14:textId="77777777" w:rsidR="009A7E83" w:rsidRPr="00483174" w:rsidRDefault="00000000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483174">
        <w:rPr>
          <w:b/>
          <w:bCs/>
          <w:sz w:val="28"/>
          <w:szCs w:val="28"/>
          <w:lang w:val="uk-UA"/>
        </w:rPr>
        <w:lastRenderedPageBreak/>
        <w:t>VІ. Капітальні витрати.</w:t>
      </w:r>
    </w:p>
    <w:p w14:paraId="062D77B9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Проведено першу чергу аварійно-відновлювального ремонту навісу, пошкодженого внаслідок пожежі, яка виникла 04.09.2024 на сусідній прибудинковій території у дворі багатоквартирного житлового будинку. Сума капітальних витрат </w:t>
      </w:r>
      <w:r w:rsidRPr="00483174">
        <w:rPr>
          <w:color w:val="000000" w:themeColor="text1"/>
          <w:sz w:val="28"/>
          <w:szCs w:val="28"/>
          <w:lang w:val="uk-UA"/>
        </w:rPr>
        <w:t>135,67</w:t>
      </w:r>
      <w:r w:rsidRPr="00483174">
        <w:rPr>
          <w:sz w:val="28"/>
          <w:szCs w:val="28"/>
          <w:lang w:val="uk-UA"/>
        </w:rPr>
        <w:t xml:space="preserve"> тис. грн без ПДВ.</w:t>
      </w:r>
    </w:p>
    <w:p w14:paraId="1956B10D" w14:textId="4A4082E9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Друга черга ремонту – капітальний ремонт складу</w:t>
      </w:r>
      <w:r w:rsidR="00E01853">
        <w:rPr>
          <w:sz w:val="28"/>
          <w:szCs w:val="28"/>
          <w:lang w:val="uk-UA"/>
        </w:rPr>
        <w:t>,</w:t>
      </w:r>
      <w:r w:rsidRPr="00483174">
        <w:rPr>
          <w:sz w:val="28"/>
          <w:szCs w:val="28"/>
          <w:lang w:val="uk-UA"/>
        </w:rPr>
        <w:t xml:space="preserve"> буде проведена за наявності вільних коштів. Згідно з кошторисною документацією вартість капітального ремонту складу </w:t>
      </w:r>
      <w:r w:rsidR="00E01853">
        <w:rPr>
          <w:sz w:val="28"/>
          <w:szCs w:val="28"/>
          <w:lang w:val="uk-UA"/>
        </w:rPr>
        <w:t xml:space="preserve">– </w:t>
      </w:r>
      <w:r w:rsidRPr="00483174">
        <w:rPr>
          <w:sz w:val="28"/>
          <w:szCs w:val="28"/>
          <w:lang w:val="uk-UA"/>
        </w:rPr>
        <w:t>591,76 тис. грн без ПДВ.</w:t>
      </w:r>
    </w:p>
    <w:p w14:paraId="2DD30615" w14:textId="77777777" w:rsidR="009A7E83" w:rsidRPr="00483174" w:rsidRDefault="009A7E83">
      <w:pPr>
        <w:ind w:firstLine="426"/>
        <w:jc w:val="both"/>
        <w:rPr>
          <w:b/>
          <w:bCs/>
          <w:sz w:val="28"/>
          <w:szCs w:val="28"/>
          <w:lang w:val="uk-UA"/>
        </w:rPr>
      </w:pPr>
    </w:p>
    <w:p w14:paraId="139D1C9D" w14:textId="77777777" w:rsidR="009A7E83" w:rsidRPr="00483174" w:rsidRDefault="00000000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83174">
        <w:rPr>
          <w:b/>
          <w:bCs/>
          <w:color w:val="000000"/>
          <w:sz w:val="28"/>
          <w:szCs w:val="28"/>
          <w:lang w:val="uk-UA"/>
        </w:rPr>
        <w:t xml:space="preserve">VІІ. </w:t>
      </w:r>
      <w:r w:rsidRPr="00483174">
        <w:rPr>
          <w:b/>
          <w:color w:val="000000"/>
          <w:sz w:val="28"/>
          <w:szCs w:val="22"/>
          <w:lang w:val="uk-UA"/>
        </w:rPr>
        <w:t>Допомога Збройним силам України.</w:t>
      </w:r>
    </w:p>
    <w:p w14:paraId="0D5F635E" w14:textId="27EB1198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З моменту запровадження правового режиму воєнного стану трудовий колектив Луцького комбінату шкільного і студентського харчування не був пасивним і традиційно сприяв воїнам Сил оборони. Зокрема:</w:t>
      </w:r>
    </w:p>
    <w:p w14:paraId="1F73C6B2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1) придбано позашляховик KIA </w:t>
      </w:r>
      <w:proofErr w:type="spellStart"/>
      <w:r w:rsidRPr="00483174">
        <w:rPr>
          <w:sz w:val="28"/>
          <w:szCs w:val="28"/>
          <w:lang w:val="uk-UA"/>
        </w:rPr>
        <w:t>Sorento</w:t>
      </w:r>
      <w:proofErr w:type="spellEnd"/>
      <w:r w:rsidRPr="00483174">
        <w:rPr>
          <w:sz w:val="28"/>
          <w:szCs w:val="28"/>
          <w:lang w:val="uk-UA"/>
        </w:rPr>
        <w:t xml:space="preserve"> для потреб військовослужбовців 100-ї окремої бригади ТРО;</w:t>
      </w:r>
    </w:p>
    <w:p w14:paraId="379A6153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2) придбано 6 FPV-</w:t>
      </w:r>
      <w:proofErr w:type="spellStart"/>
      <w:r w:rsidRPr="00483174">
        <w:rPr>
          <w:sz w:val="28"/>
          <w:szCs w:val="28"/>
          <w:lang w:val="uk-UA"/>
        </w:rPr>
        <w:t>дронів</w:t>
      </w:r>
      <w:proofErr w:type="spellEnd"/>
      <w:r w:rsidRPr="00483174">
        <w:rPr>
          <w:sz w:val="28"/>
          <w:szCs w:val="28"/>
          <w:lang w:val="uk-UA"/>
        </w:rPr>
        <w:t xml:space="preserve"> з акумуляторами;</w:t>
      </w:r>
    </w:p>
    <w:p w14:paraId="38946BA5" w14:textId="21B5D162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3) постійно за запитами військових</w:t>
      </w:r>
      <w:r w:rsidR="00E01853">
        <w:rPr>
          <w:sz w:val="28"/>
          <w:szCs w:val="28"/>
          <w:lang w:val="uk-UA"/>
        </w:rPr>
        <w:t xml:space="preserve"> закуплялися</w:t>
      </w:r>
      <w:r w:rsidRPr="00483174">
        <w:rPr>
          <w:sz w:val="28"/>
          <w:szCs w:val="28"/>
          <w:lang w:val="uk-UA"/>
        </w:rPr>
        <w:t xml:space="preserve"> та передавалися необхідні речі (продукти, засоби гігієни);</w:t>
      </w:r>
    </w:p>
    <w:p w14:paraId="30F25F27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4) зроблено внесок на придбання засобу РЕБ для кулеметного взводу 14 ОМБР імені Романа Великого;</w:t>
      </w:r>
    </w:p>
    <w:p w14:paraId="5D391636" w14:textId="77777777" w:rsidR="009A7E83" w:rsidRPr="00483174" w:rsidRDefault="00000000">
      <w:pPr>
        <w:ind w:firstLine="567"/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 xml:space="preserve">5) систематично здійснювалися пожертви для забезпечення побутових потреб і інших індивідуальних запитів військових. </w:t>
      </w:r>
    </w:p>
    <w:p w14:paraId="7215F48C" w14:textId="77777777" w:rsidR="009A7E83" w:rsidRPr="00483174" w:rsidRDefault="00000000">
      <w:pPr>
        <w:jc w:val="both"/>
        <w:rPr>
          <w:sz w:val="28"/>
          <w:szCs w:val="28"/>
          <w:lang w:val="uk-UA"/>
        </w:rPr>
      </w:pPr>
      <w:r w:rsidRPr="00483174">
        <w:rPr>
          <w:sz w:val="28"/>
          <w:szCs w:val="28"/>
          <w:lang w:val="uk-UA"/>
        </w:rPr>
        <w:t>Додаток: Структура доходів та витрат підприємства за 5 років.</w:t>
      </w:r>
    </w:p>
    <w:p w14:paraId="4F53A462" w14:textId="77777777" w:rsidR="009A7E83" w:rsidRPr="00483174" w:rsidRDefault="009A7E83">
      <w:pPr>
        <w:tabs>
          <w:tab w:val="left" w:pos="0"/>
        </w:tabs>
        <w:ind w:right="284" w:firstLine="567"/>
        <w:jc w:val="center"/>
        <w:rPr>
          <w:bCs/>
          <w:sz w:val="26"/>
          <w:szCs w:val="26"/>
          <w:lang w:val="uk-UA"/>
        </w:rPr>
      </w:pPr>
    </w:p>
    <w:p w14:paraId="56D61173" w14:textId="77777777" w:rsidR="009A7E83" w:rsidRPr="00483174" w:rsidRDefault="009A7E83">
      <w:pPr>
        <w:tabs>
          <w:tab w:val="left" w:pos="0"/>
        </w:tabs>
        <w:ind w:right="284" w:firstLine="567"/>
        <w:jc w:val="center"/>
        <w:rPr>
          <w:bCs/>
          <w:sz w:val="26"/>
          <w:szCs w:val="26"/>
          <w:lang w:val="uk-UA"/>
        </w:rPr>
      </w:pPr>
    </w:p>
    <w:p w14:paraId="6D685E6A" w14:textId="77777777" w:rsidR="009A7E83" w:rsidRPr="00483174" w:rsidRDefault="009A7E83">
      <w:pPr>
        <w:tabs>
          <w:tab w:val="left" w:pos="0"/>
        </w:tabs>
        <w:ind w:right="284"/>
        <w:rPr>
          <w:bCs/>
          <w:sz w:val="26"/>
          <w:szCs w:val="26"/>
          <w:lang w:val="uk-UA"/>
        </w:rPr>
      </w:pPr>
    </w:p>
    <w:p w14:paraId="57FAE917" w14:textId="77777777" w:rsidR="009A7E83" w:rsidRPr="00483174" w:rsidRDefault="00000000">
      <w:pPr>
        <w:tabs>
          <w:tab w:val="left" w:pos="0"/>
        </w:tabs>
        <w:ind w:right="284"/>
        <w:rPr>
          <w:bCs/>
          <w:sz w:val="28"/>
          <w:szCs w:val="28"/>
          <w:lang w:val="uk-UA"/>
        </w:rPr>
      </w:pPr>
      <w:r w:rsidRPr="00483174">
        <w:rPr>
          <w:bCs/>
          <w:sz w:val="26"/>
          <w:szCs w:val="26"/>
          <w:lang w:val="uk-UA"/>
        </w:rPr>
        <w:t xml:space="preserve">Директор </w:t>
      </w:r>
      <w:r w:rsidRPr="00483174">
        <w:rPr>
          <w:bCs/>
          <w:sz w:val="28"/>
          <w:szCs w:val="28"/>
          <w:lang w:val="uk-UA"/>
        </w:rPr>
        <w:t xml:space="preserve">КП «Луцький </w:t>
      </w:r>
    </w:p>
    <w:p w14:paraId="4FCCF670" w14:textId="77777777" w:rsidR="009A7E83" w:rsidRPr="00483174" w:rsidRDefault="00000000">
      <w:pPr>
        <w:tabs>
          <w:tab w:val="left" w:pos="0"/>
        </w:tabs>
        <w:ind w:right="284"/>
        <w:rPr>
          <w:bCs/>
          <w:sz w:val="28"/>
          <w:szCs w:val="28"/>
          <w:lang w:val="uk-UA"/>
        </w:rPr>
      </w:pPr>
      <w:r w:rsidRPr="00483174">
        <w:rPr>
          <w:bCs/>
          <w:sz w:val="28"/>
          <w:szCs w:val="28"/>
          <w:lang w:val="uk-UA"/>
        </w:rPr>
        <w:t xml:space="preserve">комбінат шкільного і </w:t>
      </w:r>
    </w:p>
    <w:p w14:paraId="051713C9" w14:textId="77777777" w:rsidR="009A7E83" w:rsidRPr="00483174" w:rsidRDefault="00000000">
      <w:pPr>
        <w:tabs>
          <w:tab w:val="left" w:pos="0"/>
        </w:tabs>
        <w:ind w:right="284"/>
        <w:rPr>
          <w:i/>
          <w:sz w:val="26"/>
          <w:szCs w:val="26"/>
          <w:lang w:val="uk-UA"/>
        </w:rPr>
      </w:pPr>
      <w:r w:rsidRPr="00483174">
        <w:rPr>
          <w:bCs/>
          <w:sz w:val="28"/>
          <w:szCs w:val="28"/>
          <w:lang w:val="uk-UA"/>
        </w:rPr>
        <w:t>студентського харчування»</w:t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8"/>
          <w:szCs w:val="28"/>
          <w:lang w:val="uk-UA"/>
        </w:rPr>
        <w:tab/>
      </w:r>
      <w:r w:rsidRPr="00483174">
        <w:rPr>
          <w:bCs/>
          <w:sz w:val="26"/>
          <w:szCs w:val="26"/>
          <w:lang w:val="uk-UA"/>
        </w:rPr>
        <w:t>Світлана ШМІД</w:t>
      </w:r>
    </w:p>
    <w:sectPr w:rsidR="009A7E83" w:rsidRPr="00483174">
      <w:headerReference w:type="default" r:id="rId10"/>
      <w:pgSz w:w="11906" w:h="16838"/>
      <w:pgMar w:top="567" w:right="567" w:bottom="1134" w:left="1701" w:header="709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B441" w14:textId="77777777" w:rsidR="00530CB5" w:rsidRDefault="00530CB5"/>
  </w:endnote>
  <w:endnote w:type="continuationSeparator" w:id="0">
    <w:p w14:paraId="54A810E8" w14:textId="77777777" w:rsidR="00530CB5" w:rsidRDefault="00530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9A77" w14:textId="77777777" w:rsidR="00530CB5" w:rsidRDefault="00530CB5"/>
  </w:footnote>
  <w:footnote w:type="continuationSeparator" w:id="0">
    <w:p w14:paraId="71D89239" w14:textId="77777777" w:rsidR="00530CB5" w:rsidRDefault="00530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01C8" w14:textId="77777777" w:rsidR="009A7E83" w:rsidRDefault="0000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14:paraId="631C5E66" w14:textId="77777777" w:rsidR="009A7E83" w:rsidRDefault="009A7E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2D57"/>
    <w:multiLevelType w:val="hybridMultilevel"/>
    <w:tmpl w:val="AC3CF00C"/>
    <w:lvl w:ilvl="0" w:tplc="8298738C">
      <w:start w:val="5"/>
      <w:numFmt w:val="bullet"/>
      <w:lvlText w:val="-"/>
      <w:lvlJc w:val="left"/>
      <w:pPr>
        <w:ind w:left="90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475C56B5"/>
    <w:multiLevelType w:val="hybridMultilevel"/>
    <w:tmpl w:val="80968696"/>
    <w:lvl w:ilvl="0" w:tplc="D8023EE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" w15:restartNumberingAfterBreak="0">
    <w:nsid w:val="58CA0ED8"/>
    <w:multiLevelType w:val="hybridMultilevel"/>
    <w:tmpl w:val="1BF4A2F8"/>
    <w:lvl w:ilvl="0" w:tplc="7BCA708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9BD6375"/>
    <w:multiLevelType w:val="hybridMultilevel"/>
    <w:tmpl w:val="ACA84CAE"/>
    <w:lvl w:ilvl="0" w:tplc="EE7CAF76">
      <w:start w:val="1"/>
      <w:numFmt w:val="decimal"/>
      <w:lvlText w:val="%1."/>
      <w:lvlJc w:val="left"/>
      <w:pPr>
        <w:tabs>
          <w:tab w:val="num" w:pos="1542"/>
        </w:tabs>
        <w:ind w:left="1542" w:hanging="840"/>
      </w:pPr>
    </w:lvl>
    <w:lvl w:ilvl="1" w:tplc="0422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700D7B0E"/>
    <w:multiLevelType w:val="hybridMultilevel"/>
    <w:tmpl w:val="A75E47CE"/>
    <w:lvl w:ilvl="0" w:tplc="16A4FF1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15146222">
    <w:abstractNumId w:val="3"/>
  </w:num>
  <w:num w:numId="2" w16cid:durableId="2038769662">
    <w:abstractNumId w:val="4"/>
  </w:num>
  <w:num w:numId="3" w16cid:durableId="75712689">
    <w:abstractNumId w:val="2"/>
  </w:num>
  <w:num w:numId="4" w16cid:durableId="1781221883">
    <w:abstractNumId w:val="0"/>
  </w:num>
  <w:num w:numId="5" w16cid:durableId="61730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83"/>
    <w:rsid w:val="00025A7D"/>
    <w:rsid w:val="000741A9"/>
    <w:rsid w:val="000B1148"/>
    <w:rsid w:val="000E1BF4"/>
    <w:rsid w:val="00251E66"/>
    <w:rsid w:val="00421DC6"/>
    <w:rsid w:val="00483174"/>
    <w:rsid w:val="004C1D11"/>
    <w:rsid w:val="005036E0"/>
    <w:rsid w:val="00524E79"/>
    <w:rsid w:val="00530CB5"/>
    <w:rsid w:val="0058339A"/>
    <w:rsid w:val="00760FF9"/>
    <w:rsid w:val="008428E4"/>
    <w:rsid w:val="008C3191"/>
    <w:rsid w:val="009545F3"/>
    <w:rsid w:val="009A7E83"/>
    <w:rsid w:val="00A81103"/>
    <w:rsid w:val="00A8790C"/>
    <w:rsid w:val="00B973DB"/>
    <w:rsid w:val="00CA75E3"/>
    <w:rsid w:val="00CE5EE9"/>
    <w:rsid w:val="00CF5DF5"/>
    <w:rsid w:val="00DB339C"/>
    <w:rsid w:val="00DF745D"/>
    <w:rsid w:val="00E01853"/>
    <w:rsid w:val="00E41B9A"/>
    <w:rsid w:val="00F03E59"/>
    <w:rsid w:val="00F0483D"/>
    <w:rsid w:val="00F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394"/>
  <w15:docId w15:val="{38EC0A3C-E418-4E82-83DF-0DFA5996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bCs/>
      <w:i/>
      <w:iCs/>
      <w:u w:val="single"/>
      <w:lang w:val="uk-UA"/>
    </w:rPr>
  </w:style>
  <w:style w:type="paragraph" w:styleId="a4">
    <w:name w:val="Balloon Text"/>
    <w:basedOn w:val="a"/>
    <w:link w:val="a5"/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5">
    <w:name w:val="Текст у виносці Знак"/>
    <w:link w:val="a4"/>
    <w:rPr>
      <w:rFonts w:ascii="Segoe UI" w:hAnsi="Segoe UI"/>
      <w:sz w:val="18"/>
      <w:szCs w:val="18"/>
    </w:rPr>
  </w:style>
  <w:style w:type="character" w:customStyle="1" w:styleId="a7">
    <w:name w:val="Верхній колонтитул Знак"/>
    <w:basedOn w:val="a0"/>
    <w:link w:val="a6"/>
    <w:rPr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8"/>
    <w:rPr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semiHidden/>
    <w:rPr>
      <w:color w:val="605E5C"/>
      <w:shd w:val="clear" w:color="auto" w:fill="E1DFDD"/>
    </w:rPr>
  </w:style>
  <w:style w:type="character" w:styleId="af1">
    <w:name w:val="Unresolved Mention"/>
    <w:basedOn w:val="a0"/>
    <w:semiHidden/>
    <w:rPr>
      <w:color w:val="605E5C"/>
      <w:shd w:val="clear" w:color="auto" w:fill="E1DFDD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static/content/files/q/df/2h5bzmkf7dp32xlvm54cw3b4zlkkidfq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okeryschool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3787-7DDF-4DC7-B139-BD5C2EF8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11946</Words>
  <Characters>6810</Characters>
  <Application>Microsoft Office Word</Application>
  <DocSecurity>0</DocSecurity>
  <Lines>56</Lines>
  <Paragraphs>37</Paragraphs>
  <ScaleCrop>false</ScaleCrop>
  <Company>WolfishLair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 освіти</dc:title>
  <dc:creator>Loner-XP</dc:creator>
  <cp:lastModifiedBy>Ірина Нагурна</cp:lastModifiedBy>
  <cp:revision>16</cp:revision>
  <cp:lastPrinted>2025-01-03T14:24:00Z</cp:lastPrinted>
  <dcterms:created xsi:type="dcterms:W3CDTF">2025-05-08T12:58:00Z</dcterms:created>
  <dcterms:modified xsi:type="dcterms:W3CDTF">2025-05-09T08:53:00Z</dcterms:modified>
</cp:coreProperties>
</file>