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95pt;height:58.85pt;mso-wrap-distance-right:0pt" filled="t" fillcolor="#FFFFFF" o:ole="">
            <v:imagedata r:id="rId3" o:title=""/>
          </v:shape>
          <o:OLEObject Type="Embed" ProgID="PBrush" ShapeID="ole_rId2" DrawAspect="Content" ObjectID="_337486500" r:id="rId2"/>
        </w:object>
      </w:r>
    </w:p>
    <w:p>
      <w:pPr>
        <w:pStyle w:val="111"/>
        <w:jc w:val="center"/>
        <w:rPr>
          <w:sz w:val="28"/>
          <w:szCs w:val="28"/>
        </w:rPr>
      </w:pPr>
      <w:r>
        <w:rPr>
          <w:rFonts w:ascii="Times New Roman" w:hAnsi="Times New Roman"/>
          <w:sz w:val="28"/>
          <w:szCs w:val="28"/>
        </w:rPr>
        <w:t>ЛУЦЬКА  МІСЬКА  РАДА</w:t>
      </w:r>
    </w:p>
    <w:p>
      <w:pPr>
        <w:pStyle w:val="Normal"/>
        <w:rPr>
          <w:sz w:val="20"/>
          <w:szCs w:val="20"/>
        </w:rPr>
      </w:pPr>
      <w:r>
        <w:rPr>
          <w:sz w:val="20"/>
          <w:szCs w:val="20"/>
        </w:rPr>
      </w:r>
    </w:p>
    <w:p>
      <w:pPr>
        <w:pStyle w:val="211"/>
        <w:tabs>
          <w:tab w:val="clear" w:pos="708"/>
          <w:tab w:val="left" w:pos="4218" w:leader="none"/>
          <w:tab w:val="left" w:pos="4674" w:leader="none"/>
        </w:tabs>
        <w:spacing w:before="0" w:after="0"/>
        <w:jc w:val="center"/>
        <w:rPr>
          <w:rFonts w:ascii="Times New Roman" w:hAnsi="Times New Roman"/>
          <w:i w:val="false"/>
          <w:i w:val="false"/>
          <w:sz w:val="32"/>
          <w:szCs w:val="32"/>
        </w:rPr>
      </w:pPr>
      <w:r>
        <w:rPr>
          <w:rFonts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jc w:val="center"/>
        <w:rPr/>
      </w:pPr>
      <w:r>
        <w:rPr/>
        <w:t>________________                                        Луцьк                                         №_____________</w:t>
      </w:r>
    </w:p>
    <w:p>
      <w:pPr>
        <w:pStyle w:val="Normal"/>
        <w:jc w:val="center"/>
        <w:rPr/>
      </w:pPr>
      <w:r>
        <w:rPr/>
      </w:r>
    </w:p>
    <w:p>
      <w:pPr>
        <w:pStyle w:val="Normal"/>
        <w:widowControl w:val="false"/>
        <w:jc w:val="both"/>
        <w:rPr>
          <w:spacing w:val="6"/>
          <w:sz w:val="28"/>
          <w:szCs w:val="28"/>
        </w:rPr>
      </w:pPr>
      <w:r>
        <w:rPr>
          <w:spacing w:val="-6"/>
          <w:sz w:val="28"/>
          <w:szCs w:val="28"/>
        </w:rPr>
        <w:t xml:space="preserve">Про  надання </w:t>
      </w:r>
      <w:r>
        <w:rPr>
          <w:rFonts w:eastAsia="Times New Roman" w:cs="Times New Roman"/>
          <w:color w:val="000000"/>
          <w:spacing w:val="-6"/>
          <w:kern w:val="0"/>
          <w:sz w:val="28"/>
          <w:szCs w:val="28"/>
          <w:lang w:val="uk-UA" w:eastAsia="zh-CN" w:bidi="ar-SA"/>
        </w:rPr>
        <w:t>МИЛУШІВСЬКОМУ  СПО-</w:t>
      </w:r>
    </w:p>
    <w:p>
      <w:pPr>
        <w:pStyle w:val="Normal"/>
        <w:widowControl w:val="false"/>
        <w:jc w:val="both"/>
        <w:rPr>
          <w:spacing w:val="6"/>
          <w:sz w:val="28"/>
          <w:szCs w:val="28"/>
        </w:rPr>
      </w:pPr>
      <w:r>
        <w:rPr>
          <w:rFonts w:eastAsia="Times New Roman" w:cs="Times New Roman"/>
          <w:color w:val="000000"/>
          <w:spacing w:val="-6"/>
          <w:kern w:val="0"/>
          <w:sz w:val="28"/>
          <w:szCs w:val="28"/>
          <w:lang w:val="uk-UA" w:eastAsia="zh-CN" w:bidi="ar-SA"/>
        </w:rPr>
        <w:t>ЖИВЧОМУ  ТОВАРИСТВУ</w:t>
      </w:r>
      <w:r>
        <w:rPr>
          <w:spacing w:val="-6"/>
          <w:sz w:val="28"/>
          <w:szCs w:val="28"/>
        </w:rPr>
        <w:t xml:space="preserve"> </w:t>
      </w:r>
      <w:r>
        <w:rPr>
          <w:spacing w:val="6"/>
          <w:sz w:val="28"/>
          <w:szCs w:val="28"/>
        </w:rPr>
        <w:t>дозволу  на</w:t>
      </w:r>
    </w:p>
    <w:p>
      <w:pPr>
        <w:pStyle w:val="Normal"/>
        <w:widowControl w:val="false"/>
        <w:jc w:val="both"/>
        <w:rPr>
          <w:spacing w:val="6"/>
          <w:sz w:val="28"/>
          <w:szCs w:val="28"/>
        </w:rPr>
      </w:pPr>
      <w:r>
        <w:rPr>
          <w:spacing w:val="6"/>
          <w:sz w:val="28"/>
          <w:szCs w:val="28"/>
        </w:rPr>
        <w:t xml:space="preserve">проведення </w:t>
      </w:r>
      <w:r>
        <w:rPr>
          <w:sz w:val="28"/>
          <w:szCs w:val="28"/>
        </w:rPr>
        <w:t>експертної грошової  оцінки</w:t>
      </w:r>
    </w:p>
    <w:p>
      <w:pPr>
        <w:pStyle w:val="Normal"/>
        <w:widowControl w:val="false"/>
        <w:jc w:val="both"/>
        <w:rPr>
          <w:spacing w:val="6"/>
          <w:sz w:val="28"/>
          <w:szCs w:val="28"/>
        </w:rPr>
      </w:pPr>
      <w:r>
        <w:rPr>
          <w:sz w:val="28"/>
          <w:szCs w:val="28"/>
        </w:rPr>
        <w:t>земе</w:t>
      </w:r>
      <w:r>
        <w:rPr>
          <w:spacing w:val="4"/>
          <w:sz w:val="28"/>
          <w:szCs w:val="28"/>
        </w:rPr>
        <w:t>льної</w:t>
      </w:r>
      <w:r>
        <w:rPr>
          <w:spacing w:val="-6"/>
          <w:sz w:val="28"/>
          <w:szCs w:val="28"/>
        </w:rPr>
        <w:t xml:space="preserve">   </w:t>
      </w:r>
      <w:r>
        <w:rPr>
          <w:spacing w:val="4"/>
          <w:sz w:val="28"/>
          <w:szCs w:val="28"/>
        </w:rPr>
        <w:t>ділянки  комунальної   влас-</w:t>
      </w:r>
    </w:p>
    <w:p>
      <w:pPr>
        <w:pStyle w:val="Normal"/>
        <w:widowControl w:val="false"/>
        <w:jc w:val="both"/>
        <w:rPr>
          <w:spacing w:val="4"/>
          <w:sz w:val="28"/>
          <w:szCs w:val="28"/>
        </w:rPr>
      </w:pPr>
      <w:r>
        <w:rPr>
          <w:spacing w:val="4"/>
          <w:sz w:val="28"/>
          <w:szCs w:val="28"/>
        </w:rPr>
        <w:t>ності   у с. Боголюби  Луцького  району</w:t>
      </w:r>
    </w:p>
    <w:p>
      <w:pPr>
        <w:pStyle w:val="Normal"/>
        <w:widowControl w:val="false"/>
        <w:jc w:val="both"/>
        <w:rPr>
          <w:spacing w:val="4"/>
          <w:sz w:val="28"/>
          <w:szCs w:val="28"/>
        </w:rPr>
      </w:pPr>
      <w:r>
        <w:rPr>
          <w:spacing w:val="4"/>
          <w:sz w:val="28"/>
          <w:szCs w:val="28"/>
        </w:rPr>
        <w:t>Волинської області</w:t>
      </w:r>
    </w:p>
    <w:p>
      <w:pPr>
        <w:pStyle w:val="Normal"/>
        <w:widowControl w:val="false"/>
        <w:jc w:val="both"/>
        <w:rPr>
          <w:sz w:val="28"/>
          <w:szCs w:val="28"/>
        </w:rPr>
      </w:pPr>
      <w:r>
        <w:rPr>
          <w:sz w:val="28"/>
          <w:szCs w:val="28"/>
        </w:rPr>
      </w:r>
    </w:p>
    <w:p>
      <w:pPr>
        <w:pStyle w:val="Normal"/>
        <w:widowControl w:val="false"/>
        <w:jc w:val="both"/>
        <w:rPr>
          <w:bCs/>
          <w:color w:val="000000"/>
          <w:kern w:val="2"/>
          <w:sz w:val="28"/>
          <w:szCs w:val="28"/>
          <w:lang w:eastAsia="zh-CN"/>
        </w:rPr>
      </w:pPr>
      <w:r>
        <w:rPr>
          <w:sz w:val="28"/>
          <w:szCs w:val="28"/>
        </w:rPr>
        <w:tab/>
      </w:r>
      <w:r>
        <w:rPr>
          <w:rFonts w:eastAsia="SimSun;宋体" w:cs="Times New Roman"/>
          <w:b w:val="false"/>
          <w:bCs w:val="false"/>
          <w:color w:val="000000"/>
          <w:spacing w:val="-2"/>
          <w:kern w:val="2"/>
          <w:sz w:val="28"/>
          <w:szCs w:val="28"/>
          <w:u w:val="none"/>
          <w:shd w:fill="FFFFFF" w:val="clear"/>
          <w:lang w:val="uk-UA" w:eastAsia="zh-CN" w:bidi="hi-IN"/>
        </w:rPr>
        <w:t>Розглянувши заяву МИЛУШІВСЬКОГО СПОЖИВЧОГО ТОВАРИСТВА про надання дозволу на проведення експертної грошової оцінки земельної ділянки комунальної власності у с. Боголюби Луцького району Волинської області, площею 0,1350 га, з кадастровим номером 0722881000:01:001:3616, видом цільового призначення земельної ділянки: 03.07 - для будівництва та обслуговування будівель торгівлі з метою її подальшого продажу у власність шляхом викупу, враховуючи витяг з Державного реєстру речових прав на нерухоме майно про реєстрацію права власності від 12.12.2018, номер запису про право власності: 29487431, відповідно до якого, право власності на обʼєкт нерухомого майна (будівля магазину), розташованого на земельній ділянці, належить МИЛУШІВСЬКОМУ СПОЖИВЧОМУ ТОВАРИСТВУ, свідоцтво про право власності на об’єкти нерухомого майна (будівля магазину) від 26.07.2004 серії САА № 814082, зареєстроване в електронному Реєстрі прав власності на нерухоме майно від 09.08.2004 № 6954502, технічний паспорт на обʼєкт нерухомого майна, витяг з балансу МИЛУШІВСЬКОГО СПОЖИВЧОГО ТОВАРИСТВА від 14.02.2025 № 19 про перебування на балансі: погріб (напівзруйнований) та альтанка, витяг з Державного земельного кадастру про земельну ділянку від 24.04.202</w:t>
      </w:r>
      <w:r>
        <w:rPr>
          <w:rFonts w:eastAsia="SimSun;宋体" w:cs="Times New Roman"/>
          <w:b w:val="false"/>
          <w:bCs w:val="false"/>
          <w:color w:val="000000"/>
          <w:spacing w:val="-2"/>
          <w:kern w:val="2"/>
          <w:sz w:val="28"/>
          <w:szCs w:val="28"/>
          <w:u w:val="none"/>
          <w:shd w:fill="FFFFFF" w:val="clear"/>
          <w:lang w:val="uk-UA" w:eastAsia="zh-CN" w:bidi="hi-IN"/>
        </w:rPr>
        <w:t> </w:t>
      </w:r>
      <w:r>
        <w:rPr>
          <w:rFonts w:eastAsia="SimSun;宋体" w:cs="Times New Roman"/>
          <w:b w:val="false"/>
          <w:bCs w:val="false"/>
          <w:color w:val="000000"/>
          <w:spacing w:val="-2"/>
          <w:kern w:val="2"/>
          <w:sz w:val="28"/>
          <w:szCs w:val="28"/>
          <w:u w:val="none"/>
          <w:shd w:fill="FFFFFF" w:val="clear"/>
          <w:lang w:val="uk-UA" w:eastAsia="zh-CN" w:bidi="hi-IN"/>
        </w:rPr>
        <w:t xml:space="preserve">№ НВ-0000818192025, керуючись статтями 12, 82, 128 Земельного кодексу України, статтями 5, 13, 20 Закону України «Про оцінку земель», постановою Верховної Ради України від 17.07.2020 № 807- 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статтями 26, 59 та пунктом </w:t>
      </w:r>
      <w:r>
        <w:rPr>
          <w:rFonts w:eastAsia="SimSun;宋体" w:cs="Times New Roman"/>
          <w:b w:val="false"/>
          <w:bCs w:val="false"/>
          <w:color w:val="000000"/>
          <w:spacing w:val="-2"/>
          <w:kern w:val="2"/>
          <w:sz w:val="28"/>
          <w:szCs w:val="28"/>
          <w:u w:val="none"/>
          <w:shd w:fill="FFFFFF" w:val="clear"/>
          <w:lang w:val="uk-UA" w:eastAsia="uk-UA" w:bidi="hi-IN"/>
        </w:rPr>
        <w:t>6</w:t>
      </w:r>
      <w:r>
        <w:rPr>
          <w:rFonts w:eastAsia="SimSun;宋体" w:cs="Times New Roman"/>
          <w:b w:val="false"/>
          <w:bCs w:val="false"/>
          <w:color w:val="000000"/>
          <w:spacing w:val="-2"/>
          <w:kern w:val="2"/>
          <w:sz w:val="28"/>
          <w:szCs w:val="28"/>
          <w:u w:val="none"/>
          <w:shd w:fill="FFFFFF" w:val="clear"/>
          <w:vertAlign w:val="superscript"/>
          <w:lang w:val="uk-UA" w:eastAsia="uk-UA" w:bidi="hi-IN"/>
        </w:rPr>
        <w:t>-1</w:t>
      </w:r>
      <w:r>
        <w:rPr>
          <w:rFonts w:eastAsia="SimSun;宋体" w:cs="Times New Roman"/>
          <w:b w:val="false"/>
          <w:bCs w:val="false"/>
          <w:color w:val="000000"/>
          <w:spacing w:val="-2"/>
          <w:kern w:val="2"/>
          <w:sz w:val="28"/>
          <w:szCs w:val="28"/>
          <w:u w:val="none"/>
          <w:shd w:fill="FFFFFF" w:val="clear"/>
          <w:lang w:val="uk-UA" w:eastAsia="zh-CN" w:bidi="hi-IN"/>
        </w:rPr>
        <w:t xml:space="preserve"> розділу V Прикінцевих та перехідних положень Закону України «Про місцеве самоврядування в Україні», міська рада</w:t>
      </w:r>
    </w:p>
    <w:p>
      <w:pPr>
        <w:pStyle w:val="Normal"/>
        <w:rPr>
          <w:sz w:val="28"/>
          <w:szCs w:val="28"/>
        </w:rPr>
      </w:pPr>
      <w:r>
        <w:rPr>
          <w:sz w:val="28"/>
          <w:szCs w:val="28"/>
        </w:rPr>
      </w:r>
    </w:p>
    <w:p>
      <w:pPr>
        <w:pStyle w:val="Normal"/>
        <w:rPr>
          <w:sz w:val="28"/>
          <w:szCs w:val="28"/>
        </w:rPr>
      </w:pPr>
      <w:r>
        <w:rPr>
          <w:sz w:val="28"/>
          <w:szCs w:val="28"/>
        </w:rPr>
        <w:t>ВИРІШИЛА:</w:t>
      </w:r>
    </w:p>
    <w:p>
      <w:pPr>
        <w:pStyle w:val="Normal"/>
        <w:rPr>
          <w:sz w:val="28"/>
          <w:szCs w:val="28"/>
        </w:rPr>
      </w:pPr>
      <w:r>
        <w:rPr>
          <w:sz w:val="28"/>
          <w:szCs w:val="28"/>
        </w:rPr>
      </w:r>
    </w:p>
    <w:p>
      <w:pPr>
        <w:pStyle w:val="Normal"/>
        <w:ind w:firstLine="567"/>
        <w:jc w:val="both"/>
        <w:rPr/>
      </w:pPr>
      <w:r>
        <w:rPr>
          <w:sz w:val="28"/>
          <w:szCs w:val="28"/>
        </w:rPr>
        <w:t xml:space="preserve">1. Надати </w:t>
      </w:r>
      <w:r>
        <w:rPr>
          <w:rFonts w:eastAsia="SimSun;宋体" w:cs="Times New Roman"/>
          <w:color w:val="000000"/>
          <w:spacing w:val="-2"/>
          <w:kern w:val="2"/>
          <w:sz w:val="28"/>
          <w:szCs w:val="28"/>
          <w:lang w:val="uk-UA" w:eastAsia="zh-CN" w:bidi="hi-IN"/>
        </w:rPr>
        <w:t>МИЛУШІВСЬКОМУ СПОЖИВЧОМУ ТОВАРИСТВУ</w:t>
      </w:r>
      <w:r>
        <w:rPr>
          <w:rFonts w:eastAsia="Times New Roman" w:cs="Times New Roman"/>
          <w:color w:val="auto"/>
          <w:kern w:val="0"/>
          <w:sz w:val="28"/>
          <w:szCs w:val="28"/>
          <w:lang w:val="uk-UA" w:eastAsia="zh-CN" w:bidi="ar-SA"/>
        </w:rPr>
        <w:t xml:space="preserve"> </w:t>
      </w:r>
      <w:r>
        <w:rPr>
          <w:sz w:val="28"/>
          <w:szCs w:val="28"/>
        </w:rPr>
        <w:t>дозвіл на проведення експертної грошової оцінки земельної ділянки комунальної власності у с. Боголюби Луцького району Волинської області площею</w:t>
      </w:r>
      <w:r>
        <w:rPr>
          <w:sz w:val="28"/>
          <w:szCs w:val="28"/>
          <w:lang w:val="uk-UA"/>
        </w:rPr>
        <w:t xml:space="preserve"> 0,1350</w:t>
      </w:r>
      <w:r>
        <w:rPr>
          <w:sz w:val="28"/>
          <w:szCs w:val="28"/>
        </w:rPr>
        <w:t xml:space="preserve"> га, з кадастровим номером </w:t>
      </w:r>
      <w:r>
        <w:rPr>
          <w:spacing w:val="-4"/>
          <w:sz w:val="28"/>
          <w:szCs w:val="28"/>
          <w:lang w:val="uk-UA"/>
        </w:rPr>
        <w:t>0722881000:01:001:3616</w:t>
      </w:r>
      <w:r>
        <w:rPr>
          <w:sz w:val="28"/>
          <w:szCs w:val="28"/>
        </w:rPr>
        <w:t xml:space="preserve">, </w:t>
      </w:r>
      <w:r>
        <w:rPr>
          <w:spacing w:val="-4"/>
          <w:sz w:val="28"/>
          <w:szCs w:val="28"/>
        </w:rPr>
        <w:t xml:space="preserve">видом цільового призначення земельної ділянки: 03.07 - </w:t>
      </w:r>
      <w:r>
        <w:rPr>
          <w:spacing w:val="-4"/>
          <w:sz w:val="28"/>
          <w:szCs w:val="28"/>
          <w:lang w:val="uk-UA"/>
        </w:rPr>
        <w:t>для будівництва та обслуговування будівель торгівлі</w:t>
      </w:r>
      <w:r>
        <w:rPr>
          <w:sz w:val="28"/>
          <w:szCs w:val="28"/>
        </w:rPr>
        <w:t>, згідно з додатком.</w:t>
      </w:r>
    </w:p>
    <w:p>
      <w:pPr>
        <w:pStyle w:val="Normal"/>
        <w:ind w:firstLine="567"/>
        <w:jc w:val="both"/>
        <w:rPr/>
      </w:pPr>
      <w:r>
        <w:rPr>
          <w:sz w:val="28"/>
          <w:szCs w:val="28"/>
        </w:rPr>
        <w:t>2. </w:t>
      </w:r>
      <w:r>
        <w:rPr>
          <w:rFonts w:eastAsia="Times New Roman" w:cs="Times New Roman"/>
          <w:color w:val="00000A"/>
          <w:spacing w:val="-4"/>
          <w:kern w:val="0"/>
          <w:sz w:val="28"/>
          <w:szCs w:val="28"/>
          <w:lang w:val="uk-UA" w:eastAsia="ru-RU" w:bidi="ar-SA"/>
        </w:rPr>
        <w:t>Зобов’язати МИЛУШІВСЬКЕ СПОЖИВЧЕ ТОВАРИСТВО впродовж 30-ти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w:t>
      </w:r>
    </w:p>
    <w:p>
      <w:pPr>
        <w:pStyle w:val="Normal"/>
        <w:ind w:firstLine="567"/>
        <w:jc w:val="both"/>
        <w:rPr>
          <w:sz w:val="28"/>
          <w:szCs w:val="28"/>
        </w:rPr>
      </w:pPr>
      <w:r>
        <w:rPr>
          <w:sz w:val="28"/>
          <w:szCs w:val="28"/>
        </w:rPr>
        <w:t>3. </w:t>
      </w:r>
      <w:r>
        <w:rPr>
          <w:rFonts w:eastAsia="Times New Roman" w:cs="Times New Roman"/>
          <w:color w:val="00000A"/>
          <w:spacing w:val="-4"/>
          <w:kern w:val="0"/>
          <w:sz w:val="28"/>
          <w:szCs w:val="28"/>
          <w:lang w:val="uk-UA" w:eastAsia="ru-RU" w:bidi="ar-SA"/>
        </w:rPr>
        <w:t>Департаменту містобудування, земельних ресурсів та реклами Луцької міської ради забезпечити укладення виконавчим комітетом Луцької міської ради:</w:t>
      </w:r>
    </w:p>
    <w:p>
      <w:pPr>
        <w:pStyle w:val="Normal"/>
        <w:ind w:firstLine="567"/>
        <w:jc w:val="both"/>
        <w:rPr/>
      </w:pPr>
      <w:r>
        <w:rPr>
          <w:sz w:val="28"/>
          <w:szCs w:val="28"/>
        </w:rPr>
        <w:t xml:space="preserve">3.1. Договору про оплату авансового внеску в рахунок оплати ціни земельної ділянки з </w:t>
      </w:r>
      <w:r>
        <w:rPr>
          <w:rFonts w:eastAsia="SimSun;宋体" w:cs="Times New Roman"/>
          <w:color w:val="000000"/>
          <w:spacing w:val="-2"/>
          <w:kern w:val="2"/>
          <w:sz w:val="28"/>
          <w:szCs w:val="28"/>
          <w:lang w:val="uk-UA" w:eastAsia="zh-CN" w:bidi="hi-IN"/>
        </w:rPr>
        <w:t>МИЛУШІВСЬКИМ СПОЖИВЧИМ ТОВАРИСТВОМ</w:t>
      </w:r>
      <w:r>
        <w:rPr>
          <w:sz w:val="28"/>
          <w:szCs w:val="28"/>
        </w:rPr>
        <w:t>.</w:t>
      </w:r>
    </w:p>
    <w:p>
      <w:pPr>
        <w:pStyle w:val="Normal"/>
        <w:ind w:firstLine="567"/>
        <w:jc w:val="both"/>
        <w:rPr>
          <w:sz w:val="28"/>
          <w:szCs w:val="28"/>
        </w:rPr>
      </w:pPr>
      <w:r>
        <w:rPr>
          <w:sz w:val="28"/>
          <w:szCs w:val="28"/>
        </w:rPr>
        <w:t xml:space="preserve">3.2. Договору на проведення експертної грошової оцінки земельної ділянки з суб’єктом оціночної діяльності у сфері оцінки земель, який відповідно до Закону України </w:t>
      </w:r>
      <w:r>
        <w:rPr>
          <w:bCs/>
          <w:color w:val="000000"/>
          <w:spacing w:val="-4"/>
          <w:sz w:val="28"/>
          <w:szCs w:val="28"/>
        </w:rPr>
        <w:t>«</w:t>
      </w:r>
      <w:r>
        <w:rPr>
          <w:sz w:val="28"/>
          <w:szCs w:val="28"/>
        </w:rPr>
        <w:t>Про оцінку земель</w:t>
      </w:r>
      <w:r>
        <w:rPr>
          <w:bCs/>
          <w:color w:val="000000"/>
          <w:spacing w:val="-4"/>
          <w:sz w:val="28"/>
          <w:szCs w:val="28"/>
        </w:rPr>
        <w:t>»</w:t>
      </w:r>
      <w:r>
        <w:rPr>
          <w:sz w:val="28"/>
          <w:szCs w:val="28"/>
        </w:rPr>
        <w:t xml:space="preserve"> має у своєму складі оцінювачів, внесених до Державного реєстру оцінювачів з експертної грошової оцінки земельних ділянок.</w:t>
      </w:r>
    </w:p>
    <w:p>
      <w:pPr>
        <w:pStyle w:val="Normal"/>
        <w:ind w:firstLine="567"/>
        <w:jc w:val="both"/>
        <w:rPr>
          <w:sz w:val="28"/>
          <w:szCs w:val="28"/>
        </w:rPr>
      </w:pPr>
      <w:r>
        <w:rPr>
          <w:sz w:val="28"/>
          <w:szCs w:val="28"/>
        </w:rPr>
        <w:t xml:space="preserve">4. При недотриманні </w:t>
      </w:r>
      <w:r>
        <w:rPr>
          <w:rFonts w:eastAsia="SimSun;宋体" w:cs="Times New Roman"/>
          <w:color w:val="000000"/>
          <w:spacing w:val="-2"/>
          <w:kern w:val="2"/>
          <w:sz w:val="28"/>
          <w:szCs w:val="28"/>
          <w:lang w:val="uk-UA" w:eastAsia="zh-CN" w:bidi="hi-IN"/>
        </w:rPr>
        <w:t>МИЛУШІВСЬКИМ СПОЖИВЧИМ ТОВАРИСТВОМ</w:t>
      </w:r>
      <w:r>
        <w:rPr>
          <w:sz w:val="28"/>
          <w:szCs w:val="28"/>
        </w:rPr>
        <w:t xml:space="preserve"> строку укладення договору про оплату авансового внеску рішення вважається таким, що втратило чинність.</w:t>
      </w:r>
    </w:p>
    <w:p>
      <w:pPr>
        <w:pStyle w:val="Normal"/>
        <w:ind w:firstLine="567"/>
        <w:jc w:val="both"/>
        <w:rPr>
          <w:sz w:val="28"/>
          <w:szCs w:val="28"/>
        </w:rPr>
      </w:pPr>
      <w:r>
        <w:rPr>
          <w:sz w:val="28"/>
          <w:szCs w:val="28"/>
        </w:rPr>
        <w:t>5. </w:t>
      </w:r>
      <w:r>
        <w:rPr>
          <w:rFonts w:eastAsia="Times New Roman" w:cs="Times New Roman"/>
          <w:color w:val="00000A"/>
          <w:kern w:val="0"/>
          <w:sz w:val="28"/>
          <w:szCs w:val="28"/>
          <w:lang w:val="uk-UA" w:eastAsia="ru-RU"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tabs>
          <w:tab w:val="clear" w:pos="708"/>
          <w:tab w:val="left" w:pos="7513" w:leader="none"/>
        </w:tabs>
        <w:rPr>
          <w:sz w:val="28"/>
          <w:szCs w:val="28"/>
        </w:rPr>
      </w:pPr>
      <w:r>
        <w:rPr>
          <w:sz w:val="28"/>
          <w:szCs w:val="28"/>
        </w:rPr>
        <w:t>Міський голова                                                                             Ігор ПОЛІЩУК</w:t>
      </w:r>
    </w:p>
    <w:p>
      <w:pPr>
        <w:pStyle w:val="Normal"/>
        <w:tabs>
          <w:tab w:val="clear" w:pos="708"/>
          <w:tab w:val="left" w:pos="7513" w:leader="none"/>
        </w:tabs>
        <w:rPr>
          <w:sz w:val="28"/>
          <w:szCs w:val="28"/>
        </w:rPr>
      </w:pPr>
      <w:r>
        <w:rPr>
          <w:sz w:val="28"/>
          <w:szCs w:val="28"/>
        </w:rPr>
      </w:r>
    </w:p>
    <w:p>
      <w:pPr>
        <w:pStyle w:val="Normal"/>
        <w:tabs>
          <w:tab w:val="clear" w:pos="708"/>
          <w:tab w:val="left" w:pos="7513" w:leader="none"/>
        </w:tabs>
        <w:rPr/>
      </w:pPr>
      <w:r>
        <w:rPr/>
      </w:r>
    </w:p>
    <w:p>
      <w:pPr>
        <w:pStyle w:val="Normal"/>
        <w:tabs>
          <w:tab w:val="clear" w:pos="708"/>
          <w:tab w:val="left" w:pos="7513" w:leader="none"/>
        </w:tabs>
        <w:ind w:right="-365"/>
        <w:jc w:val="both"/>
        <w:rPr/>
      </w:pPr>
      <w:r>
        <w:rPr/>
        <w:t>Туз 777 863</w:t>
      </w:r>
    </w:p>
    <w:sectPr>
      <w:type w:val="nextPage"/>
      <w:pgSz w:w="11906" w:h="16838"/>
      <w:pgMar w:left="1984" w:right="567" w:gutter="0" w:header="0" w:top="1134"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Arial">
    <w:charset w:val="cc"/>
    <w:family w:val="swiss"/>
    <w:pitch w:val="variable"/>
  </w:font>
  <w:font w:name="Cambria">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8"/>
  <w:autoHyphenation w:val="true"/>
  <w:hyphenationZone w:val="425"/>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uk-UA"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d696a"/>
    <w:pPr>
      <w:widowControl/>
      <w:suppressAutoHyphens w:val="true"/>
      <w:bidi w:val="0"/>
      <w:spacing w:before="0" w:after="0"/>
      <w:jc w:val="left"/>
    </w:pPr>
    <w:rPr>
      <w:rFonts w:ascii="Times New Roman" w:hAnsi="Times New Roman" w:eastAsia="Times New Roman" w:cs="Times New Roman"/>
      <w:color w:val="00000A"/>
      <w:kern w:val="0"/>
      <w:sz w:val="24"/>
      <w:szCs w:val="24"/>
      <w:lang w:val="uk-UA" w:eastAsia="ru-RU" w:bidi="ar-SA"/>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qFormat/>
    <w:rsid w:val="000d696a"/>
    <w:rPr>
      <w:rFonts w:ascii="Arial" w:hAnsi="Arial" w:eastAsia="Times New Roman" w:cs="Arial"/>
      <w:b/>
      <w:bCs/>
      <w:kern w:val="2"/>
      <w:sz w:val="32"/>
      <w:szCs w:val="32"/>
      <w:lang w:eastAsia="ru-RU"/>
    </w:rPr>
  </w:style>
  <w:style w:type="character" w:styleId="2" w:customStyle="1">
    <w:name w:val="Заголовок 2 Знак"/>
    <w:basedOn w:val="DefaultParagraphFont"/>
    <w:uiPriority w:val="9"/>
    <w:semiHidden/>
    <w:qFormat/>
    <w:rsid w:val="000d696a"/>
    <w:rPr>
      <w:rFonts w:ascii="Cambria" w:hAnsi="Cambria" w:eastAsia="Times New Roman" w:cs="Times New Roman"/>
      <w:b/>
      <w:bCs/>
      <w:i/>
      <w:iCs/>
      <w:sz w:val="28"/>
      <w:szCs w:val="28"/>
      <w:lang w:eastAsia="ru-RU"/>
    </w:rPr>
  </w:style>
  <w:style w:type="character" w:styleId="11" w:customStyle="1">
    <w:name w:val="Заголовок 1 Знак1"/>
    <w:basedOn w:val="DefaultParagraphFont"/>
    <w:qFormat/>
    <w:rsid w:val="00c02f05"/>
    <w:rPr>
      <w:rFonts w:ascii="Times New Roman" w:hAnsi="Times New Roman" w:eastAsia="Times New Roman" w:cs="Times New Roman"/>
      <w:b/>
      <w:bCs/>
      <w:sz w:val="32"/>
      <w:szCs w:val="24"/>
      <w:lang w:eastAsia="ru-RU"/>
    </w:rPr>
  </w:style>
  <w:style w:type="character" w:styleId="21" w:customStyle="1">
    <w:name w:val="Заголовок 2 Знак1"/>
    <w:basedOn w:val="DefaultParagraphFont"/>
    <w:qFormat/>
    <w:rsid w:val="00c02f05"/>
    <w:rPr>
      <w:rFonts w:ascii="Arial" w:hAnsi="Arial" w:eastAsia="Times New Roman" w:cs="Arial"/>
      <w:b/>
      <w:bCs/>
      <w:i/>
      <w:iCs/>
      <w:sz w:val="28"/>
      <w:szCs w:val="28"/>
      <w:lang w:eastAsia="ru-RU"/>
    </w:rPr>
  </w:style>
  <w:style w:type="paragraph" w:styleId="Style14" w:customStyle="1">
    <w:name w:val="Заголовок"/>
    <w:basedOn w:val="Normal"/>
    <w:next w:val="BodyText"/>
    <w:qFormat/>
    <w:rsid w:val="00c7405a"/>
    <w:pPr>
      <w:keepNext w:val="true"/>
      <w:spacing w:before="240" w:after="120"/>
    </w:pPr>
    <w:rPr>
      <w:rFonts w:ascii="Liberation Sans" w:hAnsi="Liberation Sans" w:eastAsia="Microsoft YaHei" w:cs="Lucida Sans"/>
      <w:sz w:val="28"/>
      <w:szCs w:val="28"/>
    </w:rPr>
  </w:style>
  <w:style w:type="paragraph" w:styleId="BodyText">
    <w:name w:val="Body Text"/>
    <w:basedOn w:val="Normal"/>
    <w:rsid w:val="00c7405a"/>
    <w:pPr>
      <w:spacing w:lineRule="auto" w:line="276" w:before="0" w:after="140"/>
    </w:pPr>
    <w:rPr/>
  </w:style>
  <w:style w:type="paragraph" w:styleId="List">
    <w:name w:val="List"/>
    <w:basedOn w:val="BodyText"/>
    <w:rsid w:val="00c7405a"/>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15" w:customStyle="1">
    <w:name w:val="Покажчик"/>
    <w:basedOn w:val="Normal"/>
    <w:qFormat/>
    <w:rsid w:val="00c7405a"/>
    <w:pPr>
      <w:suppressLineNumbers/>
    </w:pPr>
    <w:rPr>
      <w:rFonts w:cs="Lucida Sans"/>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Покажчик (user)"/>
    <w:basedOn w:val="Normal"/>
    <w:qFormat/>
    <w:pPr>
      <w:suppressLineNumbers/>
    </w:pPr>
    <w:rPr>
      <w:rFonts w:cs="Arial"/>
    </w:rPr>
  </w:style>
  <w:style w:type="paragraph" w:styleId="111" w:customStyle="1">
    <w:name w:val="Заголовок 11"/>
    <w:basedOn w:val="Normal"/>
    <w:qFormat/>
    <w:rsid w:val="000d696a"/>
    <w:pPr>
      <w:keepNext w:val="true"/>
      <w:spacing w:before="240" w:after="60"/>
      <w:outlineLvl w:val="0"/>
    </w:pPr>
    <w:rPr>
      <w:rFonts w:ascii="Arial" w:hAnsi="Arial" w:cs="Arial"/>
      <w:b/>
      <w:bCs/>
      <w:kern w:val="2"/>
      <w:sz w:val="32"/>
      <w:szCs w:val="32"/>
    </w:rPr>
  </w:style>
  <w:style w:type="paragraph" w:styleId="211" w:customStyle="1">
    <w:name w:val="Заголовок 21"/>
    <w:basedOn w:val="Normal"/>
    <w:uiPriority w:val="9"/>
    <w:semiHidden/>
    <w:unhideWhenUsed/>
    <w:qFormat/>
    <w:rsid w:val="000d696a"/>
    <w:pPr>
      <w:keepNext w:val="true"/>
      <w:spacing w:before="240" w:after="60"/>
      <w:outlineLvl w:val="1"/>
    </w:pPr>
    <w:rPr>
      <w:rFonts w:ascii="Cambria" w:hAnsi="Cambria"/>
      <w:b/>
      <w:bCs/>
      <w:i/>
      <w:iCs/>
      <w:sz w:val="28"/>
      <w:szCs w:val="28"/>
    </w:rPr>
  </w:style>
  <w:style w:type="paragraph" w:styleId="12" w:customStyle="1">
    <w:name w:val="Название объекта1"/>
    <w:basedOn w:val="Normal"/>
    <w:qFormat/>
    <w:rsid w:val="00c7405a"/>
    <w:pPr>
      <w:suppressLineNumbers/>
      <w:spacing w:before="120" w:after="120"/>
    </w:pPr>
    <w:rPr>
      <w:rFonts w:cs="Lucida Sans"/>
      <w:i/>
      <w:iCs/>
    </w:rPr>
  </w:style>
  <w:style w:type="numbering" w:styleId="Style16" w:default="1">
    <w:name w:val="Без маркерів"/>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636</TotalTime>
  <Application>LibreOffice/24.8.6.2$Windows_X86_64 LibreOffice_project/6d98ba145e9a8a39fc57bcc76981d1fb1316c60c</Application>
  <AppVersion>15.0000</AppVersion>
  <Pages>2</Pages>
  <Words>487</Words>
  <Characters>3250</Characters>
  <CharactersWithSpaces>3889</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2022-02-22T13:50:00Z</dcterms:created>
  <dc:creator>nkhmel</dc:creator>
  <dc:description/>
  <dc:language>uk-UA</dc:language>
  <cp:lastModifiedBy/>
  <cp:lastPrinted>2025-04-11T15:29:58Z</cp:lastPrinted>
  <dcterms:modified xsi:type="dcterms:W3CDTF">2025-05-08T12:25:08Z</dcterms:modified>
  <cp:revision>83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