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5160" cy="645160"/>
                <wp:effectExtent l="0" t="0" r="0" b="0"/>
                <wp:wrapNone/>
                <wp:docPr id="1" name="shapetype_ole_rId2"/>
                <a:graphic xmlns:a="http://schemas.openxmlformats.org/drawingml/2006/main">
                  <a:graphicData uri="http://schemas.microsoft.com/office/word/2010/wordprocessingShape">
                    <wps:wsp>
                      <wps:cNvSpPr/>
                      <wps:spPr>
                        <a:xfrm>
                          <a:off x="0" y="0"/>
                          <a:ext cx="644400" cy="64440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7pt;height:50.7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pt;height:59pt;mso-wrap-distance-right:0pt" filled="f" o:ole="">
            <v:imagedata r:id="rId3" o:title=""/>
          </v:shape>
          <o:OLEObject Type="Embed" ProgID="PBrush" ShapeID="ole_rId2" DrawAspect="Content" ObjectID="_1334610794"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r>
    </w:p>
    <w:p>
      <w:pPr>
        <w:pStyle w:val="Normal"/>
        <w:tabs>
          <w:tab w:val="clear" w:pos="708"/>
          <w:tab w:val="left" w:pos="5387" w:leader="none"/>
          <w:tab w:val="left" w:pos="5529" w:leader="none"/>
        </w:tabs>
        <w:overflowPunct w:val="false"/>
        <w:ind w:right="-868" w:hanging="0"/>
        <w:jc w:val="both"/>
        <w:rPr>
          <w:sz w:val="28"/>
          <w:szCs w:val="28"/>
        </w:rPr>
      </w:pPr>
      <w:r>
        <w:rPr>
          <w:sz w:val="28"/>
          <w:szCs w:val="28"/>
        </w:rPr>
        <w:t xml:space="preserve">Про надання  </w:t>
      </w:r>
      <w:r>
        <w:rPr>
          <w:rFonts w:eastAsia="Times New Roman" w:cs="Times New Roman"/>
          <w:bCs/>
          <w:color w:val="000000"/>
          <w:spacing w:val="-4"/>
          <w:kern w:val="0"/>
          <w:sz w:val="28"/>
          <w:szCs w:val="28"/>
          <w:lang w:val="uk-UA" w:eastAsia="zh-CN" w:bidi="ar-SA"/>
        </w:rPr>
        <w:t>Луцькій   міській</w:t>
      </w:r>
      <w:r>
        <w:rPr>
          <w:rFonts w:eastAsia="Times New Roman" w:cs="Times New Roman"/>
          <w:bCs/>
          <w:color w:val="000000"/>
          <w:spacing w:val="-4"/>
          <w:kern w:val="0"/>
          <w:sz w:val="20"/>
          <w:szCs w:val="20"/>
          <w:lang w:val="uk-UA" w:eastAsia="zh-CN" w:bidi="ar-SA"/>
        </w:rPr>
        <w:t xml:space="preserve"> </w:t>
      </w:r>
      <w:r>
        <w:rPr>
          <w:rFonts w:eastAsia="Times New Roman" w:cs="Times New Roman"/>
          <w:bCs/>
          <w:color w:val="000000"/>
          <w:spacing w:val="-4"/>
          <w:kern w:val="0"/>
          <w:sz w:val="28"/>
          <w:szCs w:val="28"/>
          <w:lang w:val="uk-UA" w:eastAsia="zh-CN" w:bidi="ar-SA"/>
        </w:rPr>
        <w:t xml:space="preserve">   територіальній</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Cs/>
          <w:color w:val="000000"/>
          <w:spacing w:val="-4"/>
          <w:kern w:val="0"/>
          <w:sz w:val="28"/>
          <w:szCs w:val="28"/>
          <w:lang w:val="uk-UA" w:eastAsia="zh-CN" w:bidi="ar-SA"/>
        </w:rPr>
        <w:t>громаді,  від імені  якої   діє  Луцька  міська рада</w:t>
      </w:r>
    </w:p>
    <w:p>
      <w:pPr>
        <w:pStyle w:val="Normal"/>
        <w:tabs>
          <w:tab w:val="clear" w:pos="708"/>
          <w:tab w:val="left" w:pos="5387" w:leader="none"/>
          <w:tab w:val="left" w:pos="5529" w:leader="none"/>
        </w:tabs>
        <w:overflowPunct w:val="false"/>
        <w:ind w:right="-868" w:hanging="0"/>
        <w:jc w:val="both"/>
        <w:rPr>
          <w:sz w:val="28"/>
          <w:szCs w:val="28"/>
        </w:rPr>
      </w:pPr>
      <w:r>
        <w:rPr>
          <w:spacing w:val="-10"/>
          <w:szCs w:val="28"/>
        </w:rPr>
        <w:t>(землекористувач КП «Луцькводоканал»), дозволу</w:t>
      </w:r>
    </w:p>
    <w:p>
      <w:pPr>
        <w:pStyle w:val="Normal"/>
        <w:tabs>
          <w:tab w:val="clear" w:pos="708"/>
          <w:tab w:val="left" w:pos="5387" w:leader="none"/>
          <w:tab w:val="left" w:pos="5529" w:leader="none"/>
        </w:tabs>
        <w:overflowPunct w:val="false"/>
        <w:ind w:right="-868" w:hanging="0"/>
        <w:jc w:val="both"/>
        <w:rPr>
          <w:sz w:val="28"/>
          <w:szCs w:val="28"/>
        </w:rPr>
      </w:pPr>
      <w:r>
        <w:rPr>
          <w:spacing w:val="-10"/>
          <w:szCs w:val="28"/>
        </w:rPr>
        <w:t>на</w:t>
      </w:r>
      <w:r>
        <w:rPr>
          <w:spacing w:val="-10"/>
          <w:sz w:val="24"/>
          <w:szCs w:val="44"/>
        </w:rPr>
        <w:t xml:space="preserve">  </w:t>
      </w:r>
      <w:r>
        <w:rPr>
          <w:spacing w:val="-10"/>
          <w:szCs w:val="28"/>
        </w:rPr>
        <w:t>розроблен</w:t>
      </w:r>
      <w:r>
        <w:rPr>
          <w:spacing w:val="-2"/>
          <w:szCs w:val="28"/>
        </w:rPr>
        <w:t>ня  проєкту зе</w:t>
      </w:r>
      <w:r>
        <w:rPr>
          <w:spacing w:val="-6"/>
          <w:szCs w:val="28"/>
        </w:rPr>
        <w:t>млеустрою щодо від-</w:t>
      </w:r>
    </w:p>
    <w:p>
      <w:pPr>
        <w:pStyle w:val="Normal"/>
        <w:tabs>
          <w:tab w:val="clear" w:pos="708"/>
          <w:tab w:val="left" w:pos="5387" w:leader="none"/>
          <w:tab w:val="left" w:pos="5529" w:leader="none"/>
        </w:tabs>
        <w:overflowPunct w:val="false"/>
        <w:ind w:right="-868" w:hanging="0"/>
        <w:jc w:val="both"/>
        <w:rPr>
          <w:sz w:val="28"/>
          <w:szCs w:val="28"/>
        </w:rPr>
      </w:pPr>
      <w:r>
        <w:rPr>
          <w:spacing w:val="-6"/>
          <w:szCs w:val="28"/>
        </w:rPr>
        <w:t xml:space="preserve">ведення    земельної   ділянки   </w:t>
      </w:r>
      <w:r>
        <w:rPr>
          <w:rFonts w:eastAsia="Times New Roman" w:cs="Times New Roman"/>
          <w:bCs/>
          <w:color w:val="000000"/>
          <w:spacing w:val="-4"/>
          <w:kern w:val="0"/>
          <w:sz w:val="28"/>
          <w:szCs w:val="28"/>
          <w:lang w:val="uk-UA" w:eastAsia="zh-CN" w:bidi="ar-SA"/>
        </w:rPr>
        <w:t>(зміни   цільового</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Cs/>
          <w:color w:val="000000"/>
          <w:spacing w:val="-4"/>
          <w:kern w:val="0"/>
          <w:sz w:val="28"/>
          <w:szCs w:val="28"/>
          <w:lang w:val="uk-UA" w:eastAsia="zh-CN" w:bidi="ar-SA"/>
        </w:rPr>
        <w:t xml:space="preserve">призначення)  </w:t>
      </w:r>
      <w:r>
        <w:rPr>
          <w:rFonts w:eastAsia="Times New Roman" w:cs="Times New Roman"/>
          <w:b w:val="false"/>
          <w:i w:val="false"/>
          <w:caps w:val="false"/>
          <w:smallCaps w:val="false"/>
          <w:color w:val="auto"/>
          <w:spacing w:val="-6"/>
          <w:kern w:val="0"/>
          <w:sz w:val="28"/>
          <w:szCs w:val="28"/>
          <w:lang w:val="uk-UA" w:eastAsia="zh-CN" w:bidi="ar-SA"/>
        </w:rPr>
        <w:t xml:space="preserve">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0"/>
          <w:kern w:val="0"/>
          <w:sz w:val="28"/>
          <w:szCs w:val="28"/>
          <w:lang w:val="uk-UA" w:eastAsia="zh-CN" w:bidi="ar-SA"/>
        </w:rPr>
        <w:t xml:space="preserve">основних,  </w:t>
      </w:r>
      <w:r>
        <w:rPr>
          <w:rFonts w:eastAsia="Times New Roman" w:cs="Times New Roman"/>
          <w:b w:val="false"/>
          <w:i w:val="false"/>
          <w:caps w:val="false"/>
          <w:smallCaps w:val="false"/>
          <w:color w:val="auto"/>
          <w:spacing w:val="-8"/>
          <w:kern w:val="0"/>
          <w:sz w:val="28"/>
          <w:szCs w:val="28"/>
          <w:lang w:val="uk-UA" w:eastAsia="zh-CN" w:bidi="ar-SA"/>
        </w:rPr>
        <w:t>підсобних  і  допоміжних  будівель  та</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споруд технічної інфраструктури (виробництва та</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12"/>
          <w:kern w:val="0"/>
          <w:sz w:val="28"/>
          <w:szCs w:val="28"/>
          <w:lang w:val="uk-UA" w:eastAsia="zh-CN" w:bidi="ar-SA"/>
        </w:rPr>
        <w:t>збирання, очищення  та  розподілення води)  (11.04)</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у  с. Княгининок  Луцького   району    Волинської</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області</w:t>
      </w:r>
    </w:p>
    <w:p>
      <w:pPr>
        <w:pStyle w:val="Normal"/>
        <w:overflowPunct w:val="false"/>
        <w:ind w:right="-868" w:hanging="0"/>
        <w:jc w:val="both"/>
        <w:rPr>
          <w:sz w:val="18"/>
          <w:szCs w:val="18"/>
        </w:rPr>
      </w:pPr>
      <w:r>
        <w:rPr>
          <w:sz w:val="18"/>
          <w:szCs w:val="18"/>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дозволу на розроблення проєкту землеустрою щодо відведення земельної ділянки зі зміною цільового призначення з подальшим наданням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розп</w:t>
      </w:r>
      <w:r>
        <w:rPr>
          <w:rFonts w:eastAsia="Times New Roman" w:cs="Times New Roman"/>
          <w:b w:val="false"/>
          <w:bCs/>
          <w:i w:val="false"/>
          <w:caps w:val="false"/>
          <w:smallCaps w:val="false"/>
          <w:color w:val="000000"/>
          <w:spacing w:val="-8"/>
          <w:kern w:val="2"/>
          <w:sz w:val="28"/>
          <w:szCs w:val="28"/>
          <w:u w:val="none"/>
          <w:shd w:fill="FFFFFF" w:val="clear"/>
          <w:lang w:val="uk-UA" w:eastAsia="zh-CN" w:bidi="ar-SA"/>
        </w:rPr>
        <w:t xml:space="preserve">оділення газу, постачання пари та гарячої води, збирання, очищення та розподілення води) (11.04) у с. Княгининок Луцького району Волинської області, витяг з Державного земельного кадастру про земельну ділянку від 14.02.2024                    № НВ-1800256102025, інформацію з Державного реєстру речових прав на нерухоме майно від 20.02.2025, номер відомостей про речове право: 58692884, </w:t>
      </w:r>
      <w:r>
        <w:rPr>
          <w:rFonts w:eastAsia="Times New Roman" w:cs="Times New Roman"/>
          <w:b w:val="false"/>
          <w:bCs/>
          <w:i w:val="false"/>
          <w:caps w:val="false"/>
          <w:smallCaps w:val="false"/>
          <w:color w:val="000000"/>
          <w:spacing w:val="2"/>
          <w:kern w:val="2"/>
          <w:sz w:val="28"/>
          <w:szCs w:val="28"/>
          <w:u w:val="none"/>
          <w:shd w:fill="FFFFFF" w:val="clear"/>
          <w:lang w:val="uk-UA" w:eastAsia="zh-CN" w:bidi="ar-SA"/>
        </w:rPr>
        <w:t>відповідно до якої, право власності на земельну ділянку зареєстровано за Луцькою міською територіальною громадою, в особі Луцької міської ради</w:t>
      </w:r>
      <w:r>
        <w:rPr>
          <w:rFonts w:eastAsia="Times New Roman" w:cs="Times New Roman"/>
          <w:b w:val="false"/>
          <w:bCs/>
          <w:i w:val="false"/>
          <w:caps w:val="false"/>
          <w:smallCaps w:val="false"/>
          <w:color w:val="000000"/>
          <w:spacing w:val="-8"/>
          <w:kern w:val="2"/>
          <w:sz w:val="28"/>
          <w:szCs w:val="28"/>
          <w:u w:val="none"/>
          <w:shd w:fill="FFFFFF" w:val="clear"/>
          <w:lang w:val="uk-UA" w:eastAsia="zh-CN" w:bidi="ar-SA"/>
        </w:rPr>
        <w:t xml:space="preserve">, інформацію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від </w:t>
      </w:r>
      <w:r>
        <w:rPr>
          <w:rFonts w:eastAsia="Times New Roman" w:cs="Times New Roman"/>
          <w:b w:val="false"/>
          <w:bCs/>
          <w:i w:val="false"/>
          <w:caps w:val="false"/>
          <w:smallCaps w:val="false"/>
          <w:color w:val="000000"/>
          <w:spacing w:val="-8"/>
          <w:kern w:val="2"/>
          <w:sz w:val="28"/>
          <w:szCs w:val="28"/>
          <w:u w:val="none"/>
          <w:shd w:fill="FFFFFF" w:val="clear"/>
          <w:lang w:val="uk-UA" w:eastAsia="zh-CN" w:bidi="ar-SA"/>
        </w:rPr>
        <w:t>07.05.2025</w:t>
      </w:r>
      <w:r>
        <w:rPr>
          <w:rFonts w:eastAsia="Times New Roman" w:cs="Times New Roman"/>
          <w:b w:val="false"/>
          <w:bCs/>
          <w:i w:val="false"/>
          <w:caps w:val="false"/>
          <w:smallCaps w:val="false"/>
          <w:color w:val="000000"/>
          <w:spacing w:val="-8"/>
          <w:kern w:val="2"/>
          <w:sz w:val="28"/>
          <w:szCs w:val="28"/>
          <w:u w:val="none"/>
          <w:shd w:fill="FFFFFF" w:val="clear"/>
          <w:lang w:val="uk-UA" w:eastAsia="zh-CN" w:bidi="ar-SA"/>
        </w:rPr>
        <w:t> № </w:t>
      </w:r>
      <w:r>
        <w:rPr>
          <w:rFonts w:eastAsia="Times New Roman" w:cs="Times New Roman"/>
          <w:b w:val="false"/>
          <w:bCs/>
          <w:i w:val="false"/>
          <w:caps w:val="false"/>
          <w:smallCaps w:val="false"/>
          <w:color w:val="000000"/>
          <w:spacing w:val="-8"/>
          <w:kern w:val="2"/>
          <w:sz w:val="28"/>
          <w:szCs w:val="28"/>
          <w:u w:val="none"/>
          <w:shd w:fill="FFFFFF" w:val="clear"/>
          <w:lang w:val="uk-UA" w:eastAsia="zh-CN" w:bidi="ar-SA"/>
        </w:rPr>
        <w:t>6-20/452</w:t>
      </w:r>
      <w:r>
        <w:rPr>
          <w:rFonts w:eastAsia="Times New Roman" w:cs="Times New Roman"/>
          <w:b w:val="false"/>
          <w:bCs/>
          <w:i w:val="false"/>
          <w:caps w:val="false"/>
          <w:smallCaps w:val="false"/>
          <w:color w:val="000000"/>
          <w:spacing w:val="-8"/>
          <w:kern w:val="2"/>
          <w:sz w:val="28"/>
          <w:szCs w:val="28"/>
          <w:u w:val="none"/>
          <w:shd w:fill="FFFFFF" w:val="clear"/>
          <w:lang w:val="uk-UA" w:eastAsia="zh-CN" w:bidi="ar-SA"/>
        </w:rPr>
        <w:t>, бухгалтерську довідку комунального підприємства «Луцькводоканал» від 06.11.2024 № 2821/1-03 про перебування на балансі на правах господар</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ського відання водонапірної башти з артсвердловиною № 2, технічний паспорт на об’єкт нерухомого майна (водонапірна башта з артсвердловиною № 2), рішення Луцької міської ради від 30.07.2021 № 15/86 «Про безоплатну передачу майна на баланс та в господарське відання КП «Луцькводоканал» від комунальних підприємств Луцької міської територіальної громади», Акт приймання-передачі основних засобів від УЖКГ с. Княгининок до КП «Луцькводоканал» від 01.08.2021, керуючись статтями 12, 20, 92, 96, </w:t>
      </w:r>
      <w:r>
        <w:rPr>
          <w:rFonts w:eastAsia="Times New Roman" w:cs="Times New Roman"/>
          <w:b w:val="false"/>
          <w:bCs w:val="false"/>
          <w:i w:val="false"/>
          <w:caps w:val="false"/>
          <w:smallCaps w:val="false"/>
          <w:color w:val="000000"/>
          <w:spacing w:val="-2"/>
          <w:kern w:val="0"/>
          <w:sz w:val="28"/>
          <w:szCs w:val="28"/>
          <w:u w:val="none"/>
          <w:shd w:fill="FFFFFF" w:val="clear"/>
          <w:lang w:val="en-US" w:eastAsia="zh-CN" w:bidi="ar-SA"/>
        </w:rPr>
        <w:t xml:space="preserve">112, 113,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122, 123, 125, 126 Земельного кодексу України, статтями 25, 50 Закону України «Про землеустрій», Законом України «Про регулювання містобудівної діяльності», статтями 1, 93 Водного кодексу України,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Законом України «Про забезпечення санітарного та епідеміологічного благополуччя населення», Законом України «Про питну воду та питне водопостачання», постановою Кабінету Міністрів України від 11.12.1998 № 2024 «Про правовий режим зон санітарної охорони водних обʼєктів», ДБН В. 2.5-74:2013 «Водопостачання. Зовнішні мережі та споруди», пунктом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постановою Верховної Ради України від 17.07.2020 № 807-ІХ «Про утворення та ліквідацію районів»,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розпорядженням Кабінету Міністрів України від 12.06.2020 № 708-р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Про визначення адміністративних центрів та затвердження територій територіальних громад Волинської області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 </w:t>
      </w:r>
      <w:r>
        <w:rPr>
          <w:rFonts w:eastAsia="Times New Roman" w:cs="Times New Roman"/>
          <w:b w:val="false"/>
          <w:bCs w:val="false"/>
          <w:i w:val="false"/>
          <w:caps w:val="false"/>
          <w:smallCaps w:val="false"/>
          <w:color w:val="000000"/>
          <w:spacing w:val="-6"/>
          <w:kern w:val="2"/>
          <w:sz w:val="28"/>
          <w:szCs w:val="28"/>
          <w:highlight w:val="white"/>
          <w:u w:val="non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 xml:space="preserve">,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статтею 26 та пунктом 6</w:t>
      </w:r>
      <w:r>
        <w:rPr>
          <w:rFonts w:eastAsia="Times New Roman" w:cs="Times New Roman"/>
          <w:b w:val="false"/>
          <w:bCs w:val="false"/>
          <w:i w:val="false"/>
          <w:caps w:val="false"/>
          <w:smallCaps w:val="false"/>
          <w:color w:val="000000"/>
          <w:spacing w:val="-2"/>
          <w:kern w:val="0"/>
          <w:sz w:val="28"/>
          <w:szCs w:val="28"/>
          <w:u w:val="none"/>
          <w:shd w:fill="FFFFFF" w:val="clear"/>
          <w:vertAlign w:val="superscript"/>
          <w:lang w:val="uk-UA" w:eastAsia="uk-UA" w:bidi="ar-SA"/>
        </w:rPr>
        <w:t>-1</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 розділу</w:t>
      </w:r>
      <w:r>
        <w:rPr>
          <w:rFonts w:eastAsia="Times New Roman" w:cs="Times New Roman"/>
          <w:b w:val="false"/>
          <w:bCs w:val="false"/>
          <w:i w:val="false"/>
          <w:caps w:val="false"/>
          <w:smallCaps w:val="false"/>
          <w:color w:val="000000"/>
          <w:spacing w:val="-2"/>
          <w:kern w:val="0"/>
          <w:sz w:val="28"/>
          <w:szCs w:val="28"/>
          <w:u w:val="none"/>
          <w:shd w:fill="FFFFFF" w:val="clear"/>
          <w:lang w:val="en-US" w:eastAsia="uk-UA" w:bidi="ar-SA"/>
        </w:rPr>
        <w:t xml:space="preserve"> V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Прикінцевих та перехідних положень Закону України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Про місцеве самоврядування в Україні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міська рада</w:t>
      </w:r>
    </w:p>
    <w:p>
      <w:pPr>
        <w:pStyle w:val="Normal"/>
        <w:tabs>
          <w:tab w:val="clear" w:pos="708"/>
          <w:tab w:val="left" w:pos="993" w:leader="none"/>
        </w:tabs>
        <w:ind w:firstLine="567"/>
        <w:jc w:val="both"/>
        <w:rPr>
          <w:sz w:val="18"/>
          <w:szCs w:val="18"/>
        </w:rPr>
      </w:pPr>
      <w:r>
        <w:rPr>
          <w:sz w:val="18"/>
          <w:szCs w:val="18"/>
        </w:rPr>
      </w:r>
    </w:p>
    <w:p>
      <w:pPr>
        <w:pStyle w:val="Normal"/>
        <w:jc w:val="both"/>
        <w:rPr>
          <w:szCs w:val="28"/>
        </w:rPr>
      </w:pPr>
      <w:r>
        <w:rPr>
          <w:szCs w:val="28"/>
        </w:rPr>
        <w:t>ВИРІШИЛА:</w:t>
      </w:r>
    </w:p>
    <w:p>
      <w:pPr>
        <w:pStyle w:val="Normal"/>
        <w:jc w:val="both"/>
        <w:rPr>
          <w:sz w:val="18"/>
          <w:szCs w:val="18"/>
        </w:rPr>
      </w:pPr>
      <w:r>
        <w:rPr>
          <w:sz w:val="18"/>
          <w:szCs w:val="18"/>
        </w:rPr>
      </w:r>
    </w:p>
    <w:p>
      <w:pPr>
        <w:pStyle w:val="Normal"/>
        <w:widowControl/>
        <w:suppressAutoHyphens w:val="true"/>
        <w:overflowPunct w:val="true"/>
        <w:bidi w:val="0"/>
        <w:spacing w:before="0" w:after="0"/>
        <w:ind w:left="0" w:right="0" w:firstLine="567"/>
        <w:jc w:val="both"/>
        <w:rPr/>
      </w:pPr>
      <w:r>
        <w:rPr>
          <w:szCs w:val="28"/>
        </w:rPr>
        <w:t>1. </w:t>
      </w:r>
      <w:r>
        <w:rPr>
          <w:rFonts w:eastAsia="Times New Roman" w:cs="Times New Roman"/>
          <w:bCs/>
          <w:color w:val="000000"/>
          <w:spacing w:val="-4"/>
          <w:kern w:val="0"/>
          <w:sz w:val="28"/>
          <w:szCs w:val="28"/>
          <w:lang w:val="uk-UA" w:eastAsia="zh-CN" w:bidi="ar-SA"/>
        </w:rPr>
        <w:t xml:space="preserve">Надати Луцькій міській територіальній громаді, від імені якої діє Луцька міська рада </w:t>
      </w:r>
      <w:r>
        <w:rPr>
          <w:rFonts w:eastAsia="Times New Roman" w:cs="Times New Roman"/>
          <w:bCs/>
          <w:color w:val="000000"/>
          <w:spacing w:val="-10"/>
          <w:kern w:val="0"/>
          <w:sz w:val="28"/>
          <w:szCs w:val="28"/>
          <w:lang w:val="uk-UA" w:eastAsia="zh-CN" w:bidi="ar-SA"/>
        </w:rPr>
        <w:t>(землекористувач КП «Луцькводоканал»)</w:t>
      </w:r>
      <w:r>
        <w:rPr>
          <w:rFonts w:eastAsia="Times New Roman" w:cs="Times New Roman"/>
          <w:bCs/>
          <w:color w:val="000000"/>
          <w:spacing w:val="-4"/>
          <w:kern w:val="0"/>
          <w:sz w:val="28"/>
          <w:szCs w:val="28"/>
          <w:lang w:val="uk-UA" w:eastAsia="zh-CN" w:bidi="ar-SA"/>
        </w:rPr>
        <w:t xml:space="preserve">, дозвіл на розроблення проєкту землеустрою щодо відведення земельної ділянки (зміни цільового призначення) площею 0,2850 га з кадастровим номером 0722883700:01:001:6781 зі зміною цільового призначення з «03.12 — для будівництва та обслуговування будівель закладів комунального обслуговування» на «11.04 — </w:t>
      </w:r>
      <w:r>
        <w:rPr>
          <w:rFonts w:eastAsia="Times New Roman" w:cs="Times New Roman"/>
          <w:b w:val="false"/>
          <w:bCs/>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bCs/>
          <w:i w:val="false"/>
          <w:caps w:val="false"/>
          <w:smallCaps w:val="false"/>
          <w:color w:val="auto"/>
          <w:spacing w:val="0"/>
          <w:kern w:val="0"/>
          <w:sz w:val="28"/>
          <w:szCs w:val="28"/>
          <w:lang w:val="uk-UA" w:eastAsia="zh-CN" w:bidi="ar-SA"/>
        </w:rPr>
        <w:t xml:space="preserve"> основних, </w:t>
      </w:r>
      <w:r>
        <w:rPr>
          <w:rFonts w:eastAsia="Times New Roman" w:cs="Times New Roman"/>
          <w:b w:val="false"/>
          <w:bCs/>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bCs/>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bCs/>
          <w:i w:val="false"/>
          <w:caps w:val="false"/>
          <w:smallCaps w:val="false"/>
          <w:color w:val="auto"/>
          <w:spacing w:val="-8"/>
          <w:kern w:val="0"/>
          <w:sz w:val="28"/>
          <w:szCs w:val="28"/>
          <w:lang w:val="uk-UA" w:eastAsia="zh-CN" w:bidi="ar-SA"/>
        </w:rPr>
        <w:t>води, збирання, очищення та розподілення води)</w:t>
      </w:r>
      <w:r>
        <w:rPr>
          <w:rFonts w:eastAsia="Times New Roman" w:cs="Times New Roman"/>
          <w:bCs/>
          <w:color w:val="000000"/>
          <w:spacing w:val="-4"/>
          <w:kern w:val="0"/>
          <w:sz w:val="28"/>
          <w:szCs w:val="28"/>
          <w:lang w:val="uk-UA" w:eastAsia="zh-CN" w:bidi="ar-SA"/>
        </w:rPr>
        <w:t>» у</w:t>
      </w:r>
      <w:r>
        <w:rPr>
          <w:rFonts w:eastAsia="Times New Roman" w:cs="Times New Roman"/>
          <w:b w:val="false"/>
          <w:bCs/>
          <w:i w:val="false"/>
          <w:caps w:val="false"/>
          <w:smallCaps w:val="false"/>
          <w:color w:val="auto"/>
          <w:spacing w:val="-4"/>
          <w:kern w:val="0"/>
          <w:sz w:val="28"/>
          <w:szCs w:val="28"/>
          <w:lang w:val="uk-UA" w:eastAsia="zh-CN" w:bidi="ar-SA"/>
        </w:rPr>
        <w:t xml:space="preserve"> </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с. Княгининок Луцького району Волинської області</w:t>
      </w:r>
      <w:r>
        <w:rPr>
          <w:rFonts w:eastAsia="Times New Roman" w:cs="Times New Roman"/>
          <w:b w:val="false"/>
          <w:bCs/>
          <w:i w:val="false"/>
          <w:caps w:val="false"/>
          <w:smallCaps w:val="false"/>
          <w:color w:val="auto"/>
          <w:spacing w:val="-6"/>
          <w:kern w:val="0"/>
          <w:sz w:val="28"/>
          <w:szCs w:val="28"/>
          <w:lang w:val="uk-UA" w:eastAsia="zh-CN" w:bidi="ar-SA"/>
        </w:rPr>
        <w:t>,</w:t>
      </w:r>
      <w:r>
        <w:rPr>
          <w:rFonts w:eastAsia="Times New Roman" w:cs="Times New Roman"/>
          <w:bCs/>
          <w:color w:val="000000"/>
          <w:spacing w:val="-4"/>
          <w:kern w:val="0"/>
          <w:sz w:val="28"/>
          <w:szCs w:val="28"/>
          <w:lang w:val="uk-UA" w:eastAsia="zh-CN" w:bidi="ar-SA"/>
        </w:rPr>
        <w:t xml:space="preserve"> згідно з додатком. </w:t>
      </w:r>
    </w:p>
    <w:p>
      <w:pPr>
        <w:pStyle w:val="Normal"/>
        <w:widowControl/>
        <w:suppressAutoHyphens w:val="true"/>
        <w:overflowPunct w:val="true"/>
        <w:bidi w:val="0"/>
        <w:spacing w:before="0" w:after="0"/>
        <w:ind w:left="0" w:right="0" w:firstLine="567"/>
        <w:jc w:val="both"/>
        <w:rPr/>
      </w:pPr>
      <w:r>
        <w:rPr>
          <w:szCs w:val="28"/>
        </w:rPr>
        <w:t>Проєкт землеустрою щодо відведення земельної ділянки подати для розгляду та затвердження у встановленому порядку.</w:t>
      </w:r>
    </w:p>
    <w:p>
      <w:pPr>
        <w:pStyle w:val="Normal"/>
        <w:widowControl/>
        <w:tabs>
          <w:tab w:val="clear" w:pos="708"/>
          <w:tab w:val="left" w:pos="720" w:leader="none"/>
        </w:tabs>
        <w:suppressAutoHyphens w:val="true"/>
        <w:overflowPunct w:val="true"/>
        <w:bidi w:val="0"/>
        <w:spacing w:before="0" w:after="0"/>
        <w:ind w:left="0" w:right="0" w:firstLine="567"/>
        <w:jc w:val="both"/>
        <w:rPr>
          <w:szCs w:val="28"/>
        </w:rPr>
      </w:pPr>
      <w:r>
        <w:rPr>
          <w:szCs w:val="28"/>
        </w:rPr>
        <w:t>2. 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8"/>
          <w:tab w:val="left" w:pos="720" w:leader="none"/>
        </w:tabs>
        <w:ind w:firstLine="709"/>
        <w:jc w:val="both"/>
        <w:rPr>
          <w:sz w:val="20"/>
          <w:szCs w:val="20"/>
        </w:rPr>
      </w:pPr>
      <w:r>
        <w:rPr>
          <w:sz w:val="20"/>
          <w:szCs w:val="20"/>
        </w:rPr>
      </w:r>
    </w:p>
    <w:p>
      <w:pPr>
        <w:pStyle w:val="Normal"/>
        <w:tabs>
          <w:tab w:val="clear" w:pos="708"/>
          <w:tab w:val="left" w:pos="720" w:leader="none"/>
        </w:tabs>
        <w:ind w:firstLine="709"/>
        <w:jc w:val="both"/>
        <w:rPr>
          <w:sz w:val="20"/>
          <w:szCs w:val="20"/>
        </w:rPr>
      </w:pPr>
      <w:r>
        <w:rPr>
          <w:sz w:val="20"/>
          <w:szCs w:val="20"/>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 w:val="20"/>
          <w:szCs w:val="20"/>
        </w:rPr>
      </w:pPr>
      <w:r>
        <w:rPr>
          <w:sz w:val="20"/>
          <w:szCs w:val="20"/>
        </w:rPr>
      </w:r>
    </w:p>
    <w:p>
      <w:pPr>
        <w:pStyle w:val="Normal"/>
        <w:jc w:val="both"/>
        <w:rPr>
          <w:sz w:val="20"/>
          <w:szCs w:val="20"/>
        </w:rPr>
      </w:pPr>
      <w:r>
        <w:rPr>
          <w:sz w:val="20"/>
          <w:szCs w:val="20"/>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609</TotalTime>
  <Application>LibreOffice/7.1.3.2$Windows_X86_64 LibreOffice_project/47f78053abe362b9384784d31a6e56f8511eb1c1</Application>
  <AppVersion>15.0000</AppVersion>
  <Pages>2</Pages>
  <Words>601</Words>
  <Characters>4113</Characters>
  <CharactersWithSpaces>4918</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2025-05-07T10:01:34Z</cp:lastPrinted>
  <dcterms:modified xsi:type="dcterms:W3CDTF">2025-05-08T09:34:21Z</dcterms:modified>
  <cp:revision>159</cp:revision>
  <dc:subject/>
  <dc:title/>
</cp:coreProperties>
</file>

<file path=docProps/custom.xml><?xml version="1.0" encoding="utf-8"?>
<Properties xmlns="http://schemas.openxmlformats.org/officeDocument/2006/custom-properties" xmlns:vt="http://schemas.openxmlformats.org/officeDocument/2006/docPropsVTypes"/>
</file>