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8"/>
          <w:szCs w:val="28"/>
        </w:rPr>
      </w:pPr>
      <w:r>
        <w:rPr/>
        <w:object w:dxaOrig="2812" w:dyaOrig="2989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506858291" r:id="rId2"/>
        </w:object>
      </w:r>
    </w:p>
    <w:p>
      <w:pPr>
        <w:pStyle w:val="Heading1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Heading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tabs>
          <w:tab w:val="clear" w:pos="708"/>
          <w:tab w:val="left" w:pos="4218" w:leader="none"/>
          <w:tab w:val="left" w:pos="4674" w:leader="none"/>
          <w:tab w:val="left" w:pos="4768" w:leader="none"/>
        </w:tabs>
        <w:jc w:val="center"/>
        <w:rPr/>
      </w:pPr>
      <w:r>
        <w:rPr/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  <w:t xml:space="preserve">                      </w:t>
      </w:r>
    </w:p>
    <w:p>
      <w:pPr>
        <w:pStyle w:val="Normal"/>
        <w:tabs>
          <w:tab w:val="clear" w:pos="708"/>
          <w:tab w:val="left" w:pos="4646" w:leader="none"/>
          <w:tab w:val="left" w:pos="4763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  </w:t>
      </w:r>
      <w:r>
        <w:rPr>
          <w:sz w:val="28"/>
          <w:szCs w:val="28"/>
          <w:lang w:val="ru-RU"/>
        </w:rPr>
        <w:t>затвердже</w:t>
      </w:r>
      <w:r>
        <w:rPr>
          <w:sz w:val="28"/>
          <w:szCs w:val="28"/>
        </w:rPr>
        <w:t xml:space="preserve">ння 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Державному  агентству</w:t>
      </w:r>
    </w:p>
    <w:p>
      <w:pPr>
        <w:pStyle w:val="Normal"/>
        <w:tabs>
          <w:tab w:val="clear" w:pos="708"/>
          <w:tab w:val="left" w:pos="4646" w:leader="none"/>
          <w:tab w:val="left" w:pos="4763" w:leader="none"/>
        </w:tabs>
        <w:jc w:val="both"/>
        <w:rPr>
          <w:sz w:val="28"/>
          <w:szCs w:val="28"/>
        </w:rPr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України з розвитку меліорації, рибного гос-</w:t>
      </w:r>
    </w:p>
    <w:p>
      <w:pPr>
        <w:pStyle w:val="Normal"/>
        <w:tabs>
          <w:tab w:val="clear" w:pos="708"/>
          <w:tab w:val="left" w:pos="4646" w:leader="none"/>
          <w:tab w:val="left" w:pos="4763" w:leader="none"/>
        </w:tabs>
        <w:jc w:val="both"/>
        <w:rPr>
          <w:sz w:val="28"/>
          <w:szCs w:val="28"/>
        </w:rPr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подарства та продовольчих програм </w:t>
      </w:r>
      <w:r>
        <w:rPr>
          <w:sz w:val="28"/>
          <w:szCs w:val="28"/>
        </w:rPr>
        <w:t xml:space="preserve"> проєк-</w:t>
      </w:r>
    </w:p>
    <w:p>
      <w:pPr>
        <w:pStyle w:val="Normal"/>
        <w:tabs>
          <w:tab w:val="clear" w:pos="708"/>
          <w:tab w:val="left" w:pos="4646" w:leader="none"/>
          <w:tab w:val="left" w:pos="4763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ту землеустрою щодо відведення земельної</w:t>
      </w:r>
    </w:p>
    <w:p>
      <w:pPr>
        <w:pStyle w:val="Normal"/>
        <w:tabs>
          <w:tab w:val="clear" w:pos="708"/>
          <w:tab w:val="left" w:pos="4646" w:leader="none"/>
          <w:tab w:val="left" w:pos="4763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ділянки для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будівництва та обслуговування </w:t>
      </w:r>
    </w:p>
    <w:p>
      <w:pPr>
        <w:pStyle w:val="Normal"/>
        <w:tabs>
          <w:tab w:val="clear" w:pos="708"/>
          <w:tab w:val="left" w:pos="4646" w:leader="none"/>
          <w:tab w:val="left" w:pos="4763" w:leader="none"/>
        </w:tabs>
        <w:jc w:val="both"/>
        <w:rPr>
          <w:sz w:val="28"/>
          <w:szCs w:val="28"/>
        </w:rPr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будівель  органів  державної  влади та орга-</w:t>
      </w:r>
    </w:p>
    <w:p>
      <w:pPr>
        <w:pStyle w:val="Normal"/>
        <w:tabs>
          <w:tab w:val="clear" w:pos="708"/>
          <w:tab w:val="left" w:pos="4646" w:leader="none"/>
          <w:tab w:val="left" w:pos="4763" w:leader="none"/>
        </w:tabs>
        <w:jc w:val="both"/>
        <w:rPr>
          <w:sz w:val="28"/>
          <w:szCs w:val="28"/>
        </w:rPr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нів  місцевого   самоврядування 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 xml:space="preserve">(03.01)  </w:t>
      </w:r>
      <w:r>
        <w:rPr>
          <w:color w:val="000000"/>
          <w:spacing w:val="-2"/>
          <w:sz w:val="28"/>
          <w:szCs w:val="28"/>
        </w:rPr>
        <w:t xml:space="preserve">на </w:t>
      </w:r>
    </w:p>
    <w:p>
      <w:pPr>
        <w:pStyle w:val="Normal"/>
        <w:tabs>
          <w:tab w:val="clear" w:pos="708"/>
          <w:tab w:val="left" w:pos="4646" w:leader="none"/>
          <w:tab w:val="left" w:pos="4763" w:leader="none"/>
        </w:tabs>
        <w:jc w:val="both"/>
        <w:rPr>
          <w:sz w:val="28"/>
          <w:szCs w:val="28"/>
        </w:rPr>
      </w:pP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вул. Георгія Гонгадзе, 56</w:t>
      </w:r>
      <w:r>
        <w:rPr>
          <w:color w:val="000000"/>
          <w:spacing w:val="-2"/>
          <w:sz w:val="28"/>
          <w:szCs w:val="28"/>
        </w:rPr>
        <w:t xml:space="preserve"> у м. Луцьку</w:t>
      </w:r>
    </w:p>
    <w:p>
      <w:pPr>
        <w:pStyle w:val="Normal"/>
        <w:ind w:hanging="0" w:left="0" w:right="-18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hanging="0" w:left="0" w:right="-18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</w:rPr>
        <w:t>Розглянувши заяву Державного агентства України з розвитку меліорації, рибного господарства та продовольчих програм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 xml:space="preserve">про затвердження проєкту землеустрою щодо відведення земельної ділянки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для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будівництва та обслуговування будівель органів державної влади та органів місцевого самоврядування (03.01) </w:t>
      </w:r>
      <w:r>
        <w:rPr>
          <w:sz w:val="28"/>
          <w:szCs w:val="28"/>
        </w:rPr>
        <w:t xml:space="preserve">на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вул. Георгія Гонгадзе, 56 </w:t>
      </w:r>
      <w:r>
        <w:rPr>
          <w:color w:val="000000"/>
          <w:spacing w:val="-2"/>
          <w:sz w:val="28"/>
          <w:szCs w:val="28"/>
        </w:rPr>
        <w:t>у м. Луцьку</w:t>
      </w:r>
      <w:r>
        <w:rPr>
          <w:sz w:val="28"/>
          <w:szCs w:val="28"/>
        </w:rPr>
        <w:t xml:space="preserve">, проєкт землеустрою щодо відведення земельної ділянки на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вул. Георгія Гонгадзе, 56 </w:t>
      </w:r>
      <w:r>
        <w:rPr>
          <w:color w:val="000000"/>
          <w:spacing w:val="-2"/>
          <w:sz w:val="28"/>
          <w:szCs w:val="28"/>
        </w:rPr>
        <w:t>у м. Луцьку,</w:t>
      </w:r>
      <w:r>
        <w:rPr>
          <w:sz w:val="28"/>
          <w:szCs w:val="28"/>
        </w:rPr>
        <w:t xml:space="preserve"> витяг з Державного земельного кадастру про земельну ділянку від </w:t>
      </w:r>
      <w:r>
        <w:rPr>
          <w:sz w:val="28"/>
          <w:szCs w:val="28"/>
        </w:rPr>
        <w:t>30</w:t>
      </w:r>
      <w:r>
        <w:rPr>
          <w:sz w:val="28"/>
          <w:szCs w:val="28"/>
        </w:rPr>
        <w:t>.04.2025 № НВ-</w:t>
      </w:r>
      <w:r>
        <w:rPr>
          <w:sz w:val="28"/>
          <w:szCs w:val="28"/>
        </w:rPr>
        <w:t>6801259392025</w:t>
      </w:r>
      <w:r>
        <w:rPr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та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 xml:space="preserve">витяг з Державного реєстру речових прав, </w:t>
      </w:r>
      <w:r>
        <w:rPr>
          <w:rFonts w:eastAsia="Times New Roman" w:cs="Times New Roman"/>
          <w:b w:val="false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>згідно з яким право власності на гараж зареєстровано в Державному реєстрі речових прав на нерухоме майно 04.05.2020, номер запису про право власності: 36611529,</w:t>
      </w:r>
      <w:r>
        <w:rPr>
          <w:sz w:val="28"/>
          <w:szCs w:val="28"/>
        </w:rPr>
        <w:t xml:space="preserve"> керуючись статтями 12, 92, 122, 123, 186 Земельного кодексу України, статтею 50 </w:t>
      </w:r>
      <w:r>
        <w:rPr>
          <w:color w:val="000000"/>
          <w:sz w:val="28"/>
          <w:szCs w:val="28"/>
        </w:rPr>
        <w:t>Закону України «Про землеустрій», Законом України «Про державну реєстрацію речових прав на нерухоме майно та їх обтяжень», Законом України «Про Державний земельний кадастр»,</w:t>
      </w:r>
      <w:r>
        <w:rPr>
          <w:sz w:val="28"/>
          <w:szCs w:val="28"/>
        </w:rPr>
        <w:t xml:space="preserve"> Законом України «Про внесення змін до деяких законодавчих актів України щодо розмежування земель державної та комунальної власності», постановою Кабінету Міністрів України від 17.10.2012 № 1051 «Про затвердження Порядку ведення Державного земельного кадастру» та статтею 26 Закону України «Про місцеве самоврядування в Україні», міська рада</w:t>
      </w:r>
    </w:p>
    <w:p>
      <w:pPr>
        <w:pStyle w:val="Normal"/>
        <w:ind w:hanging="0" w:left="0" w:right="-185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hanging="0" w:left="0" w:right="-185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hanging="0" w:left="0" w:right="-185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hanging="0" w:left="0" w:right="-185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hanging="0" w:left="0" w:right="-185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Затвердити </w:t>
      </w:r>
      <w:r>
        <w:rPr>
          <w:rFonts w:eastAsia="SimSun;宋体" w:cs="Times New Roman"/>
          <w:bCs/>
          <w:color w:val="000000"/>
          <w:kern w:val="0"/>
          <w:sz w:val="28"/>
          <w:szCs w:val="28"/>
          <w:lang w:val="uk-UA" w:eastAsia="zh-CN" w:bidi="ar-SA"/>
        </w:rPr>
        <w:t>Державному агентству України з розвитку меліорації, рибного господарства та продовольчих програм</w:t>
      </w:r>
      <w:r>
        <w:rPr>
          <w:sz w:val="28"/>
          <w:szCs w:val="28"/>
        </w:rPr>
        <w:t xml:space="preserve"> проєкт землеустрою щодо відведення земельної ділянки на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вул. Георгія Гонгадзе, 56 </w:t>
      </w:r>
      <w:r>
        <w:rPr>
          <w:color w:val="000000"/>
          <w:spacing w:val="-2"/>
          <w:sz w:val="28"/>
          <w:szCs w:val="28"/>
        </w:rPr>
        <w:t>у м. Луцьку</w:t>
      </w:r>
      <w:r>
        <w:rPr>
          <w:sz w:val="28"/>
          <w:szCs w:val="28"/>
        </w:rPr>
        <w:t xml:space="preserve"> площею 0,0188 га, кадастровим номером 0710100000:11:058:0245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для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будівництва та обслуговування будівель органів державної влади та органів місцевого самоврядування (03.01)</w:t>
      </w:r>
      <w:r>
        <w:rPr>
          <w:sz w:val="28"/>
          <w:szCs w:val="28"/>
        </w:rPr>
        <w:t>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 Відділу секретаріату Луцької міської ради повідомити Волинську обласну </w:t>
      </w:r>
      <w:r>
        <w:rPr>
          <w:sz w:val="28"/>
          <w:szCs w:val="28"/>
        </w:rPr>
        <w:t>військову</w:t>
      </w:r>
      <w:r>
        <w:rPr>
          <w:sz w:val="28"/>
          <w:szCs w:val="28"/>
        </w:rPr>
        <w:t xml:space="preserve"> адміністрацію про прийняте рішення. 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20" w:left="0" w:right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4"/>
        </w:rPr>
      </w:pPr>
      <w:r>
        <w:rPr>
          <w:sz w:val="24"/>
        </w:rPr>
        <w:t>Туз 777 863</w:t>
      </w:r>
    </w:p>
    <w:sectPr>
      <w:type w:val="nextPage"/>
      <w:pgSz w:w="11906" w:h="16838"/>
      <w:pgMar w:left="1985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Heading3">
    <w:name w:val="Heading 3"/>
    <w:basedOn w:val="Style12"/>
    <w:next w:val="BodyText"/>
    <w:qFormat/>
    <w:pPr>
      <w:numPr>
        <w:ilvl w:val="2"/>
        <w:numId w:val="1"/>
      </w:numPr>
      <w:outlineLvl w:val="2"/>
    </w:pPr>
    <w:rPr>
      <w:b/>
      <w:b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1">
    <w:name w:val="Основной шрифт абзаца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-WW8Num1ztrue">
    <w:name w:val="WW-WW8Num1ztrue"/>
    <w:qFormat/>
    <w:rPr/>
  </w:style>
  <w:style w:type="character" w:styleId="WW-WW8Num1ztrue1">
    <w:name w:val="WW-WW8Num1ztrue1"/>
    <w:qFormat/>
    <w:rPr/>
  </w:style>
  <w:style w:type="character" w:styleId="WW-WW8Num1ztrue2">
    <w:name w:val="WW-WW8Num1ztrue2"/>
    <w:qFormat/>
    <w:rPr/>
  </w:style>
  <w:style w:type="character" w:styleId="WW-WW8Num1ztrue3">
    <w:name w:val="WW-WW8Num1ztrue3"/>
    <w:qFormat/>
    <w:rPr/>
  </w:style>
  <w:style w:type="character" w:styleId="WW-WW8Num1ztrue4">
    <w:name w:val="WW-WW8Num1ztrue4"/>
    <w:qFormat/>
    <w:rPr/>
  </w:style>
  <w:style w:type="character" w:styleId="WW-WW8Num1ztrue5">
    <w:name w:val="WW-WW8Num1ztrue5"/>
    <w:qFormat/>
    <w:rPr/>
  </w:style>
  <w:style w:type="character" w:styleId="WW-WW8Num1ztrue6">
    <w:name w:val="WW-WW8Num1ztrue6"/>
    <w:qFormat/>
    <w:rPr/>
  </w:style>
  <w:style w:type="character" w:styleId="WW-WW8Num1ztrue7">
    <w:name w:val="WW-WW8Num1ztrue7"/>
    <w:qFormat/>
    <w:rPr/>
  </w:style>
  <w:style w:type="character" w:styleId="WW-WW8Num1ztrue11">
    <w:name w:val="WW-WW8Num1ztrue11"/>
    <w:qFormat/>
    <w:rPr/>
  </w:style>
  <w:style w:type="character" w:styleId="WW-WW8Num1ztrue21">
    <w:name w:val="WW-WW8Num1ztrue21"/>
    <w:qFormat/>
    <w:rPr/>
  </w:style>
  <w:style w:type="character" w:styleId="WW-WW8Num1ztrue31">
    <w:name w:val="WW-WW8Num1ztrue31"/>
    <w:qFormat/>
    <w:rPr/>
  </w:style>
  <w:style w:type="character" w:styleId="WW-WW8Num1ztrue41">
    <w:name w:val="WW-WW8Num1ztrue41"/>
    <w:qFormat/>
    <w:rPr/>
  </w:style>
  <w:style w:type="character" w:styleId="WW-WW8Num1ztrue51">
    <w:name w:val="WW-WW8Num1ztrue51"/>
    <w:qFormat/>
    <w:rPr/>
  </w:style>
  <w:style w:type="character" w:styleId="WW-WW8Num1ztrue61">
    <w:name w:val="WW-WW8Num1ztrue61"/>
    <w:qFormat/>
    <w:rPr/>
  </w:style>
  <w:style w:type="character" w:styleId="WW-WW8Num1ztrue71">
    <w:name w:val="WW-WW8Num1ztrue71"/>
    <w:qFormat/>
    <w:rPr/>
  </w:style>
  <w:style w:type="character" w:styleId="WW-WW8Num1ztrue111">
    <w:name w:val="WW-WW8Num1ztrue111"/>
    <w:qFormat/>
    <w:rPr/>
  </w:style>
  <w:style w:type="character" w:styleId="WW-WW8Num1ztrue211">
    <w:name w:val="WW-WW8Num1ztrue211"/>
    <w:qFormat/>
    <w:rPr/>
  </w:style>
  <w:style w:type="character" w:styleId="WW-WW8Num1ztrue311">
    <w:name w:val="WW-WW8Num1ztrue311"/>
    <w:qFormat/>
    <w:rPr/>
  </w:style>
  <w:style w:type="character" w:styleId="WW-WW8Num1ztrue411">
    <w:name w:val="WW-WW8Num1ztrue411"/>
    <w:qFormat/>
    <w:rPr/>
  </w:style>
  <w:style w:type="character" w:styleId="WW-WW8Num1ztrue511">
    <w:name w:val="WW-WW8Num1ztrue511"/>
    <w:qFormat/>
    <w:rPr/>
  </w:style>
  <w:style w:type="character" w:styleId="WW-WW8Num1ztrue611">
    <w:name w:val="WW-WW8Num1ztrue611"/>
    <w:qFormat/>
    <w:rPr/>
  </w:style>
  <w:style w:type="character" w:styleId="WW-WW8Num1ztrue711">
    <w:name w:val="WW-WW8Num1ztrue711"/>
    <w:qFormat/>
    <w:rPr/>
  </w:style>
  <w:style w:type="character" w:styleId="WW-WW8Num1ztrue1111">
    <w:name w:val="WW-WW8Num1ztrue1111"/>
    <w:qFormat/>
    <w:rPr/>
  </w:style>
  <w:style w:type="character" w:styleId="WW-WW8Num1ztrue2111">
    <w:name w:val="WW-WW8Num1ztrue2111"/>
    <w:qFormat/>
    <w:rPr/>
  </w:style>
  <w:style w:type="character" w:styleId="WW-WW8Num1ztrue3111">
    <w:name w:val="WW-WW8Num1ztrue3111"/>
    <w:qFormat/>
    <w:rPr/>
  </w:style>
  <w:style w:type="character" w:styleId="WW-WW8Num1ztrue4111">
    <w:name w:val="WW-WW8Num1ztrue4111"/>
    <w:qFormat/>
    <w:rPr/>
  </w:style>
  <w:style w:type="character" w:styleId="WW-WW8Num1ztrue5111">
    <w:name w:val="WW-WW8Num1ztrue5111"/>
    <w:qFormat/>
    <w:rPr/>
  </w:style>
  <w:style w:type="character" w:styleId="WW-WW8Num1ztrue6111">
    <w:name w:val="WW-WW8Num1ztrue6111"/>
    <w:qFormat/>
    <w:rPr/>
  </w:style>
  <w:style w:type="character" w:styleId="WW-WW8Num1ztrue7111">
    <w:name w:val="WW-WW8Num1ztrue7111"/>
    <w:qFormat/>
    <w:rPr/>
  </w:style>
  <w:style w:type="character" w:styleId="WW-WW8Num1ztrue11111">
    <w:name w:val="WW-WW8Num1ztrue11111"/>
    <w:qFormat/>
    <w:rPr/>
  </w:style>
  <w:style w:type="character" w:styleId="WW-WW8Num1ztrue21111">
    <w:name w:val="WW-WW8Num1ztrue21111"/>
    <w:qFormat/>
    <w:rPr/>
  </w:style>
  <w:style w:type="character" w:styleId="WW-WW8Num1ztrue31111">
    <w:name w:val="WW-WW8Num1ztrue31111"/>
    <w:qFormat/>
    <w:rPr/>
  </w:style>
  <w:style w:type="character" w:styleId="WW-WW8Num1ztrue41111">
    <w:name w:val="WW-WW8Num1ztrue41111"/>
    <w:qFormat/>
    <w:rPr/>
  </w:style>
  <w:style w:type="character" w:styleId="WW-WW8Num1ztrue51111">
    <w:name w:val="WW-WW8Num1ztrue51111"/>
    <w:qFormat/>
    <w:rPr/>
  </w:style>
  <w:style w:type="character" w:styleId="WW-WW8Num1ztrue61111">
    <w:name w:val="WW-WW8Num1ztrue61111"/>
    <w:qFormat/>
    <w:rPr/>
  </w:style>
  <w:style w:type="character" w:styleId="WW-WW8Num1ztrue71111">
    <w:name w:val="WW-WW8Num1ztrue71111"/>
    <w:qFormat/>
    <w:rPr/>
  </w:style>
  <w:style w:type="character" w:styleId="WW-WW8Num1ztrue111111">
    <w:name w:val="WW-WW8Num1ztrue111111"/>
    <w:qFormat/>
    <w:rPr/>
  </w:style>
  <w:style w:type="character" w:styleId="WW-WW8Num1ztrue211111">
    <w:name w:val="WW-WW8Num1ztrue211111"/>
    <w:qFormat/>
    <w:rPr/>
  </w:style>
  <w:style w:type="character" w:styleId="WW-WW8Num1ztrue311111">
    <w:name w:val="WW-WW8Num1ztrue311111"/>
    <w:qFormat/>
    <w:rPr/>
  </w:style>
  <w:style w:type="character" w:styleId="WW-WW8Num1ztrue411111">
    <w:name w:val="WW-WW8Num1ztrue411111"/>
    <w:qFormat/>
    <w:rPr/>
  </w:style>
  <w:style w:type="character" w:styleId="WW-WW8Num1ztrue511111">
    <w:name w:val="WW-WW8Num1ztrue511111"/>
    <w:qFormat/>
    <w:rPr/>
  </w:style>
  <w:style w:type="character" w:styleId="WW-WW8Num1ztrue611111">
    <w:name w:val="WW-WW8Num1ztrue611111"/>
    <w:qFormat/>
    <w:rPr/>
  </w:style>
  <w:style w:type="character" w:styleId="WW-WW8Num1ztrue711111">
    <w:name w:val="WW-WW8Num1ztrue711111"/>
    <w:qFormat/>
    <w:rPr/>
  </w:style>
  <w:style w:type="character" w:styleId="WW-WW8Num1ztrue1111111">
    <w:name w:val="WW-WW8Num1ztrue1111111"/>
    <w:qFormat/>
    <w:rPr/>
  </w:style>
  <w:style w:type="character" w:styleId="WW-WW8Num1ztrue2111111">
    <w:name w:val="WW-WW8Num1ztrue2111111"/>
    <w:qFormat/>
    <w:rPr/>
  </w:style>
  <w:style w:type="character" w:styleId="WW-WW8Num1ztrue3111111">
    <w:name w:val="WW-WW8Num1ztrue3111111"/>
    <w:qFormat/>
    <w:rPr/>
  </w:style>
  <w:style w:type="character" w:styleId="WW-WW8Num1ztrue4111111">
    <w:name w:val="WW-WW8Num1ztrue4111111"/>
    <w:qFormat/>
    <w:rPr/>
  </w:style>
  <w:style w:type="character" w:styleId="WW-WW8Num1ztrue5111111">
    <w:name w:val="WW-WW8Num1ztrue5111111"/>
    <w:qFormat/>
    <w:rPr/>
  </w:style>
  <w:style w:type="character" w:styleId="WW-WW8Num1ztrue6111111">
    <w:name w:val="WW-WW8Num1ztrue6111111"/>
    <w:qFormat/>
    <w:rPr/>
  </w:style>
  <w:style w:type="character" w:styleId="WW-WW8Num1ztrue7111111">
    <w:name w:val="WW-WW8Num1ztrue7111111"/>
    <w:qFormat/>
    <w:rPr/>
  </w:style>
  <w:style w:type="character" w:styleId="WW-WW8Num1ztrue11111111">
    <w:name w:val="WW-WW8Num1ztrue11111111"/>
    <w:qFormat/>
    <w:rPr/>
  </w:style>
  <w:style w:type="character" w:styleId="WW-WW8Num1ztrue21111111">
    <w:name w:val="WW-WW8Num1ztrue21111111"/>
    <w:qFormat/>
    <w:rPr/>
  </w:style>
  <w:style w:type="character" w:styleId="WW-WW8Num1ztrue31111111">
    <w:name w:val="WW-WW8Num1ztrue31111111"/>
    <w:qFormat/>
    <w:rPr/>
  </w:style>
  <w:style w:type="character" w:styleId="WW-WW8Num1ztrue41111111">
    <w:name w:val="WW-WW8Num1ztrue41111111"/>
    <w:qFormat/>
    <w:rPr/>
  </w:style>
  <w:style w:type="character" w:styleId="WW-WW8Num1ztrue51111111">
    <w:name w:val="WW-WW8Num1ztrue51111111"/>
    <w:qFormat/>
    <w:rPr/>
  </w:style>
  <w:style w:type="character" w:styleId="WW-WW8Num1ztrue61111111">
    <w:name w:val="WW-WW8Num1ztrue61111111"/>
    <w:qFormat/>
    <w:rPr/>
  </w:style>
  <w:style w:type="character" w:styleId="WW-WW8Num1ztrue71111111">
    <w:name w:val="WW-WW8Num1ztrue71111111"/>
    <w:qFormat/>
    <w:rPr/>
  </w:style>
  <w:style w:type="character" w:styleId="WW-WW8Num1ztrue111111111">
    <w:name w:val="WW-WW8Num1ztrue111111111"/>
    <w:qFormat/>
    <w:rPr/>
  </w:style>
  <w:style w:type="character" w:styleId="WW-WW8Num1ztrue211111111">
    <w:name w:val="WW-WW8Num1ztrue211111111"/>
    <w:qFormat/>
    <w:rPr/>
  </w:style>
  <w:style w:type="character" w:styleId="WW-WW8Num1ztrue311111111">
    <w:name w:val="WW-WW8Num1ztrue311111111"/>
    <w:qFormat/>
    <w:rPr/>
  </w:style>
  <w:style w:type="character" w:styleId="WW-WW8Num1ztrue411111111">
    <w:name w:val="WW-WW8Num1ztrue411111111"/>
    <w:qFormat/>
    <w:rPr/>
  </w:style>
  <w:style w:type="character" w:styleId="WW-WW8Num1ztrue511111111">
    <w:name w:val="WW-WW8Num1ztrue511111111"/>
    <w:qFormat/>
    <w:rPr/>
  </w:style>
  <w:style w:type="character" w:styleId="WW-WW8Num1ztrue611111111">
    <w:name w:val="WW-WW8Num1ztrue611111111"/>
    <w:qFormat/>
    <w:rPr/>
  </w:style>
  <w:style w:type="character" w:styleId="1">
    <w:name w:val="Основной шрифт абзаца1"/>
    <w:qFormat/>
    <w:rPr/>
  </w:style>
  <w:style w:type="paragraph" w:styleId="Style12">
    <w:name w:val="Заголовок"/>
    <w:basedOn w:val="Normal"/>
    <w:next w:val="BodyText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3">
    <w:name w:val="Покажчик"/>
    <w:basedOn w:val="Normal"/>
    <w:qFormat/>
    <w:pPr>
      <w:suppressLineNumbers/>
    </w:pPr>
    <w:rPr>
      <w:rFonts w:cs="Arial"/>
    </w:rPr>
  </w:style>
  <w:style w:type="paragraph" w:styleId="Style14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>
    <w:name w:val="Название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493</TotalTime>
  <Application>LibreOffice/7.6.4.1$Windows_X86_64 LibreOffice_project/e19e193f88cd6c0525a17fb7a176ed8e6a3e2aa1</Application>
  <AppVersion>15.0000</AppVersion>
  <Pages>2</Pages>
  <Words>304</Words>
  <Characters>1989</Characters>
  <CharactersWithSpaces>2470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2020-07-17T14:46:00Z</dcterms:created>
  <dc:creator>natasha_18</dc:creator>
  <dc:description/>
  <dc:language>uk-UA</dc:language>
  <cp:lastModifiedBy/>
  <cp:lastPrinted>2025-05-19T16:17:45Z</cp:lastPrinted>
  <dcterms:modified xsi:type="dcterms:W3CDTF">2025-05-20T17:22:31Z</dcterms:modified>
  <cp:revision>34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