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387564825" r:id="rId2"/>
        </w:object>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Про    надання   Луцькій   міській   територіальній</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громаді,  від  імені   якої   діє   Луцька міська  рада</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(орендар громадянка Галактіонова Л.М.), дозволу</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на  розроблення  проєкту землеустрою  щодо  від-</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ведення  земельної ділянки (зміни цільового приз-</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начення)  для будівництва  і  обслуговування бага-</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токвартирного   житлового   будинку   з  об’єктами</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торгово-розважальної та  ринкової інфраструктури</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(02.10) на просп. Молоді, 6-Б у м. Луцьку (площею 0,1148 га)</w:t>
      </w:r>
    </w:p>
    <w:p>
      <w:pPr>
        <w:pStyle w:val="Normal"/>
        <w:rPr>
          <w:spacing w:val="-2"/>
          <w:sz w:val="26"/>
          <w:szCs w:val="26"/>
        </w:rPr>
      </w:pPr>
      <w:r>
        <w:rPr>
          <w:spacing w:val="-2"/>
          <w:sz w:val="26"/>
          <w:szCs w:val="26"/>
        </w:rPr>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Розглянувши заяву громадянки Галактіонової Людмили Мирославівни про надання дозволу на розроблення проєкту землеустрою щодо відведення земельної ділянки із зміною цільового призначення з «для будівництва та обслуговування стоянки автомобілів для обслуговування торгового центру» (03.15 – для будівництва та обслуговування інших будівель громадської забудови) на «для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 на просп. Молоді, 6-Б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0710100000:22:051:0036 зареєстровано у Державному реєстрі речових прав на нерухоме майно від 07.07.2015, номер відомостей про речове право: 10379490,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договір оренди землі, укладений між Луцькою міською радою та громадянкою Галактіоновою Людмилою Мирославівною від 10.03.2025 (право оренди на земельну ділянку зареєстровано у Державному реєстрі речових прав на нерухоме майно від 10.03.2025, номер запису про інше речове право: 58956295), враховуючи документи, що посвідчують право власності громадянки Галактіонової Людмили Мирославівни на об'єкти нерухомого майна на просп. Молоді, 6-Б у м. Луцьку: свідоцтво про право власності від 06.04.2017 за</w:t>
        <w:br/>
        <w:t>№ 4-241, відповідно до якого право власності на 1/2 частки незавершеного будівництвом критого торгового центру із стоянкою автомобілів готовністю 24 % зареєстровано в Державному реєстрі речових прав на нерухоме майно від 06.04.2017, номер запису про право власності: 19849624; свідоцтво про право на спадщину за законом від 06.04.2017 за № 4-243, відповідно до якого право власності на 1/6 частки незавершеного будівництвом критого торгового центру із стоянкою автомобілів готовністю 24 % зареєстровано в Державному реєстрі речових прав на нерухоме майно від 06.04.2017, номер запису про право власності: 19849699; договір купівлі-продажу 1/6 частки незавершеного будівництва від 04.04.2024 за № 831, відповідно до якого право власності на 1/6 частки незавершеного будівництвом критого торгового центру із стоянкою автомобілів готовністю 24 % зареєстровано в Державному реєстрі речових прав на нерухоме м</w:t>
      </w: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 xml:space="preserve">айно від 04.04.2024, номер відомостей про речове право: 54435670; договір купівлі-продажу 1/6 частки незавершеного будівництва від 04.04.2024 за № 833, відповідно до якого право власності на 1/6 частки незавершеного будівництвом критого торгового центру із стоянкою автомобілів готовністю 24 % зареєстровано в Державному реєстрі речових прав на нерухоме майно від 04.04.2024, номер відомостей про речове право: 54435559, технічний паспорт на об’єкт нерухомого майна від 15.02.2024, </w:t>
      </w:r>
      <w:r>
        <w:rPr>
          <w:rFonts w:eastAsia="Times New Roman" w:cs="Times New Roman"/>
          <w:b w:val="false"/>
          <w:bCs/>
          <w:i w:val="false"/>
          <w:caps w:val="false"/>
          <w:smallCaps w:val="false"/>
          <w:color w:val="000000"/>
          <w:spacing w:val="-6"/>
          <w:kern w:val="0"/>
          <w:sz w:val="26"/>
          <w:szCs w:val="26"/>
          <w:lang w:val="uk-UA" w:eastAsia="ru-RU" w:bidi="ar-SA"/>
        </w:rPr>
        <w:t xml:space="preserve">керуючись статтями 12, 20, 79-1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color w:val="000000"/>
          <w:spacing w:val="-6"/>
          <w:kern w:val="0"/>
          <w:sz w:val="26"/>
          <w:szCs w:val="26"/>
          <w:lang w:val="uk-UA" w:eastAsia="ru-RU" w:bidi="ar-SA"/>
        </w:rPr>
        <w:t>міська рада</w:t>
      </w:r>
    </w:p>
    <w:p>
      <w:pPr>
        <w:pStyle w:val="Normal"/>
        <w:ind w:firstLine="540"/>
        <w:jc w:val="both"/>
        <w:rPr>
          <w:sz w:val="26"/>
          <w:szCs w:val="26"/>
        </w:rPr>
      </w:pPr>
      <w:r>
        <w:rPr>
          <w:sz w:val="26"/>
          <w:szCs w:val="26"/>
        </w:rPr>
      </w:r>
    </w:p>
    <w:p>
      <w:pPr>
        <w:pStyle w:val="Normal"/>
        <w:rPr>
          <w:sz w:val="26"/>
          <w:szCs w:val="26"/>
        </w:rPr>
      </w:pPr>
      <w:r>
        <w:rPr>
          <w:sz w:val="26"/>
          <w:szCs w:val="26"/>
        </w:rPr>
        <w:t>ВИРІШИЛА:</w:t>
      </w:r>
    </w:p>
    <w:p>
      <w:pPr>
        <w:pStyle w:val="Normal"/>
        <w:jc w:val="both"/>
        <w:rPr>
          <w:sz w:val="26"/>
          <w:szCs w:val="26"/>
        </w:rPr>
      </w:pPr>
      <w:r>
        <w:rPr>
          <w:sz w:val="26"/>
          <w:szCs w:val="26"/>
        </w:rPr>
      </w:r>
    </w:p>
    <w:p>
      <w:pPr>
        <w:pStyle w:val="Normal"/>
        <w:widowControl/>
        <w:suppressAutoHyphens w:val="true"/>
        <w:bidi w:val="0"/>
        <w:spacing w:before="0" w:after="0"/>
        <w:ind w:left="0" w:right="0" w:firstLine="567"/>
        <w:jc w:val="both"/>
        <w:rPr/>
      </w:pPr>
      <w:r>
        <w:rPr>
          <w:rFonts w:eastAsia="Times New Roman" w:cs="Times New Roman"/>
          <w:b w:val="false"/>
          <w:bCs/>
          <w:i w:val="false"/>
          <w:caps w:val="false"/>
          <w:smallCaps w:val="false"/>
          <w:color w:val="000000"/>
          <w:spacing w:val="-6"/>
          <w:kern w:val="0"/>
          <w:sz w:val="26"/>
          <w:szCs w:val="26"/>
          <w:lang w:val="uk-UA" w:eastAsia="ru-RU" w:bidi="ar-SA"/>
        </w:rPr>
        <w:t xml:space="preserve">1. Надати Луцькій міській територіальній громаді, від імені якої діє Луцька міська рада (орендар </w:t>
      </w: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громадянка Галактіонова Людмила Мирославівна</w:t>
      </w:r>
      <w:r>
        <w:rPr>
          <w:rFonts w:eastAsia="Times New Roman" w:cs="Times New Roman"/>
          <w:b w:val="false"/>
          <w:bCs/>
          <w:i w:val="false"/>
          <w:caps w:val="false"/>
          <w:smallCaps w:val="false"/>
          <w:color w:val="000000"/>
          <w:spacing w:val="-6"/>
          <w:kern w:val="0"/>
          <w:sz w:val="26"/>
          <w:szCs w:val="26"/>
          <w:lang w:val="uk-UA" w:eastAsia="ru-RU" w:bidi="ar-SA"/>
        </w:rPr>
        <w:t xml:space="preserve">), дозвіл на розроблення проєкту землеустрою щодо відведення земельної ділянки на </w:t>
      </w: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просп. Молоді, 6-Б</w:t>
      </w:r>
      <w:r>
        <w:rPr>
          <w:rFonts w:eastAsia="Times New Roman" w:cs="Times New Roman"/>
          <w:b w:val="false"/>
          <w:bCs/>
          <w:i w:val="false"/>
          <w:caps w:val="false"/>
          <w:smallCaps w:val="false"/>
          <w:color w:val="000000"/>
          <w:spacing w:val="-6"/>
          <w:kern w:val="0"/>
          <w:sz w:val="26"/>
          <w:szCs w:val="26"/>
          <w:lang w:val="uk-UA" w:eastAsia="ru-RU" w:bidi="ar-SA"/>
        </w:rPr>
        <w:t xml:space="preserve"> у м. Луцьку, площею </w:t>
      </w: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0,1148 га з кадастровим номером 0710100000:22:051:0036</w:t>
      </w:r>
      <w:r>
        <w:rPr>
          <w:rFonts w:eastAsia="Times New Roman" w:cs="Times New Roman"/>
          <w:b w:val="false"/>
          <w:bCs/>
          <w:i w:val="false"/>
          <w:caps w:val="false"/>
          <w:smallCaps w:val="false"/>
          <w:color w:val="000000"/>
          <w:spacing w:val="-6"/>
          <w:kern w:val="0"/>
          <w:sz w:val="26"/>
          <w:szCs w:val="26"/>
          <w:lang w:val="uk-UA" w:eastAsia="ru-RU" w:bidi="ar-SA"/>
        </w:rPr>
        <w:t>, із зміно</w:t>
      </w: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 xml:space="preserve">ю цільового призначення з «для будівництва та обслуговування стоянки автомобілів для обслуговування торгового центру» (03.15 – для будівництва та обслуговування інших будівель громадської забудови) на «для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 згідно з додатком. </w:t>
      </w:r>
    </w:p>
    <w:p>
      <w:pPr>
        <w:pStyle w:val="Normal"/>
        <w:widowControl/>
        <w:suppressAutoHyphens w:val="true"/>
        <w:bidi w:val="0"/>
        <w:spacing w:before="0" w:after="0"/>
        <w:ind w:left="0" w:right="0" w:firstLine="567"/>
        <w:jc w:val="both"/>
        <w:rPr/>
      </w:pP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pP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rFonts w:ascii="Times New Roman" w:hAnsi="Times New Roman" w:eastAsia="Times New Roman" w:cs="Times New Roman"/>
          <w:b w:val="false"/>
          <w:b w:val="false"/>
          <w:bCs/>
          <w:i w:val="false"/>
          <w:i w:val="false"/>
          <w:iCs w:val="false"/>
          <w:caps w:val="false"/>
          <w:smallCaps w:val="false"/>
          <w:color w:val="000000"/>
          <w:spacing w:val="-6"/>
          <w:kern w:val="0"/>
          <w:sz w:val="26"/>
          <w:szCs w:val="26"/>
          <w:highlight w:val="white"/>
          <w:lang w:val="uk-UA" w:eastAsia="ru-RU" w:bidi="ar-SA"/>
        </w:rPr>
      </w:pPr>
      <w:r>
        <w:rPr>
          <w:rFonts w:eastAsia="Times New Roman" w:cs="Times New Roman"/>
          <w:b w:val="false"/>
          <w:bCs/>
          <w:i w:val="false"/>
          <w:iCs w:val="false"/>
          <w:caps w:val="false"/>
          <w:smallCaps w:val="false"/>
          <w:color w:val="000000"/>
          <w:spacing w:val="-6"/>
          <w:kern w:val="0"/>
          <w:sz w:val="26"/>
          <w:szCs w:val="26"/>
          <w:highlight w:val="white"/>
          <w:lang w:val="uk-UA" w:eastAsia="ru-RU" w:bidi="ar-SA"/>
        </w:rPr>
      </w:r>
    </w:p>
    <w:p>
      <w:pPr>
        <w:pStyle w:val="Normal"/>
        <w:widowControl w:val="false"/>
        <w:ind w:firstLine="763"/>
        <w:jc w:val="both"/>
        <w:rPr>
          <w:sz w:val="26"/>
          <w:szCs w:val="26"/>
        </w:rPr>
      </w:pPr>
      <w:r>
        <w:rPr>
          <w:sz w:val="26"/>
          <w:szCs w:val="26"/>
        </w:rPr>
      </w:r>
    </w:p>
    <w:p>
      <w:pPr>
        <w:pStyle w:val="Normal"/>
        <w:widowControl w:val="false"/>
        <w:jc w:val="both"/>
        <w:rPr/>
      </w:pP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gutter="0" w:header="0" w:top="719" w:footer="0" w:bottom="1949"/>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571cc0"/>
    <w:pPr>
      <w:keepNext w:val="true"/>
      <w:jc w:val="center"/>
      <w:outlineLvl w:val="0"/>
    </w:pPr>
    <w:rPr>
      <w:b/>
      <w:sz w:val="32"/>
    </w:rPr>
  </w:style>
  <w:style w:type="paragraph" w:styleId="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character" w:styleId="Style12">
    <w:name w:val="Emphasis"/>
    <w:qFormat/>
    <w:rPr>
      <w:i/>
      <w:iCs/>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8"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489</TotalTime>
  <Application>LibreOffice/7.4.0.3$Windows_X86_64 LibreOffice_project/f85e47c08ddd19c015c0114a68350214f7066f5a</Application>
  <AppVersion>15.0000</AppVersion>
  <Pages>2</Pages>
  <Words>706</Words>
  <Characters>4769</Characters>
  <CharactersWithSpaces>5698</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dcterms:modified xsi:type="dcterms:W3CDTF">2025-06-09T16:16:54Z</dcterms:modified>
  <cp:revision>177</cp:revision>
  <dc:subject/>
  <dc:title> </dc:title>
</cp:coreProperties>
</file>

<file path=docProps/custom.xml><?xml version="1.0" encoding="utf-8"?>
<Properties xmlns="http://schemas.openxmlformats.org/officeDocument/2006/custom-properties" xmlns:vt="http://schemas.openxmlformats.org/officeDocument/2006/docPropsVTypes"/>
</file>