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9118" w14:textId="77777777" w:rsidR="0034184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196B37E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414B4B9D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2955343" r:id="rId7"/>
        </w:object>
      </w:r>
    </w:p>
    <w:p w14:paraId="2EA8FA65" w14:textId="77777777" w:rsidR="00341843" w:rsidRDefault="00341843">
      <w:pPr>
        <w:pStyle w:val="1"/>
        <w:rPr>
          <w:sz w:val="28"/>
          <w:szCs w:val="28"/>
        </w:rPr>
      </w:pPr>
    </w:p>
    <w:p w14:paraId="239AC2C5" w14:textId="77777777" w:rsidR="00341843" w:rsidRDefault="00341843">
      <w:pPr>
        <w:pStyle w:val="1"/>
        <w:rPr>
          <w:sz w:val="28"/>
          <w:szCs w:val="28"/>
        </w:rPr>
      </w:pPr>
    </w:p>
    <w:p w14:paraId="032EBD63" w14:textId="77777777" w:rsidR="00341843" w:rsidRDefault="00341843">
      <w:pPr>
        <w:pStyle w:val="1"/>
        <w:rPr>
          <w:sz w:val="16"/>
          <w:szCs w:val="16"/>
        </w:rPr>
      </w:pPr>
    </w:p>
    <w:p w14:paraId="33242CD2" w14:textId="77777777" w:rsidR="00341843" w:rsidRDefault="00293B5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DD8546E" w14:textId="77777777" w:rsidR="00341843" w:rsidRDefault="00341843">
      <w:pPr>
        <w:jc w:val="center"/>
        <w:rPr>
          <w:b/>
          <w:bCs w:val="0"/>
          <w:sz w:val="20"/>
          <w:szCs w:val="20"/>
        </w:rPr>
      </w:pPr>
    </w:p>
    <w:p w14:paraId="3F2BA5CD" w14:textId="77777777" w:rsidR="00341843" w:rsidRDefault="00293B5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88478E6" w14:textId="77777777" w:rsidR="00341843" w:rsidRDefault="00341843">
      <w:pPr>
        <w:jc w:val="center"/>
        <w:rPr>
          <w:b/>
          <w:bCs w:val="0"/>
          <w:sz w:val="40"/>
          <w:szCs w:val="40"/>
        </w:rPr>
      </w:pPr>
    </w:p>
    <w:p w14:paraId="5D1ED7B6" w14:textId="77777777" w:rsidR="00341843" w:rsidRDefault="00293B5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34637E3" w14:textId="77777777" w:rsidR="00341843" w:rsidRDefault="00341843">
      <w:pPr>
        <w:spacing w:line="360" w:lineRule="auto"/>
      </w:pPr>
    </w:p>
    <w:p w14:paraId="5E03C2B9" w14:textId="6B5081EC" w:rsidR="00341843" w:rsidRDefault="00293B5A" w:rsidP="008B2318">
      <w:pPr>
        <w:tabs>
          <w:tab w:val="left" w:pos="3828"/>
          <w:tab w:val="left" w:pos="4253"/>
        </w:tabs>
        <w:ind w:right="5385"/>
        <w:jc w:val="both"/>
      </w:pPr>
      <w:r>
        <w:t>Про норми витрат палива для автомобілів транспортного</w:t>
      </w:r>
      <w:r w:rsidR="008B2318">
        <w:t xml:space="preserve"> </w:t>
      </w:r>
      <w:r>
        <w:t>господарства технічного сектору господарсько-технічного відділу міської ради</w:t>
      </w:r>
    </w:p>
    <w:p w14:paraId="51520913" w14:textId="77777777" w:rsidR="00341843" w:rsidRDefault="00341843" w:rsidP="008B2318">
      <w:pPr>
        <w:tabs>
          <w:tab w:val="left" w:pos="3828"/>
        </w:tabs>
        <w:ind w:right="4392"/>
        <w:jc w:val="both"/>
      </w:pPr>
    </w:p>
    <w:p w14:paraId="5332FDE2" w14:textId="77777777" w:rsidR="00341843" w:rsidRDefault="00341843">
      <w:pPr>
        <w:ind w:firstLine="720"/>
        <w:jc w:val="both"/>
        <w:rPr>
          <w:szCs w:val="28"/>
        </w:rPr>
      </w:pPr>
    </w:p>
    <w:p w14:paraId="6642BB17" w14:textId="7C7E6DD9" w:rsidR="00341843" w:rsidRDefault="00293B5A" w:rsidP="003030F5">
      <w:pPr>
        <w:ind w:firstLine="567"/>
        <w:jc w:val="both"/>
      </w:pPr>
      <w:r>
        <w:t>Для забезпечення планування потреб в паливно-мастильних матеріалах і контролю за їх витратами, ведення належного обліку і звітності, економії й раціонального використання пального, встановлення допустимих мір його споживання в певних умовах експлуатації службових автомобілів, враховуючи Методичні рекомендації з нормування витрат палива, електричної енергії, мастильних, інших експлуатаційних матеріалів автомобілями та технікою і базових норм витрат, що є доповненням до Методичних рекомендацій</w:t>
      </w:r>
      <w:r w:rsidR="00A05487">
        <w:t xml:space="preserve">, </w:t>
      </w:r>
      <w:r>
        <w:t>розроблених ДП «</w:t>
      </w:r>
      <w:proofErr w:type="spellStart"/>
      <w:r>
        <w:t>ДержавтотрансНДІпроект</w:t>
      </w:r>
      <w:proofErr w:type="spellEnd"/>
      <w:r>
        <w:t>» Міністерства розвитку громад, територій та інфраструктури України</w:t>
      </w:r>
      <w:r w:rsidR="008B2318" w:rsidRPr="008B2318">
        <w:t xml:space="preserve"> </w:t>
      </w:r>
      <w:r w:rsidR="008B2318">
        <w:t>від 17.11.2023</w:t>
      </w:r>
      <w:r w:rsidR="008B2318" w:rsidRPr="008B2318">
        <w:t xml:space="preserve"> </w:t>
      </w:r>
      <w:r w:rsidR="008B2318">
        <w:t>редакція 1</w:t>
      </w:r>
      <w:r>
        <w:t>, відповідно до актів контрольних замірів витрат пального, проведених на виконання розпоряджень міського голови від 07.06.2021 № 8-аг «Про контрольні заміри витрат пального автомобілями транспортного господарства господарсько-технічного відділу»,</w:t>
      </w:r>
      <w:r>
        <w:rPr>
          <w:lang w:val="en-US"/>
        </w:rPr>
        <w:t xml:space="preserve"> </w:t>
      </w:r>
      <w:r w:rsidR="00CD2272">
        <w:t xml:space="preserve">від </w:t>
      </w:r>
      <w:r>
        <w:t>20.09.2021 №</w:t>
      </w:r>
      <w:r w:rsidR="00067D14">
        <w:t> </w:t>
      </w:r>
      <w:r>
        <w:t>11-аг «Про контрольні заміри витрат пального автомобілями транспортного господарства го</w:t>
      </w:r>
      <w:r w:rsidR="00CD2272">
        <w:t xml:space="preserve">сподарсько-технічного відділу», </w:t>
      </w:r>
      <w:r>
        <w:t>від 31.01.2022 №</w:t>
      </w:r>
      <w:r w:rsidR="00067D14">
        <w:t> </w:t>
      </w:r>
      <w:r>
        <w:t>2-аг «Про контрольні заміри витрат пального автомобіля транспортного господарства го</w:t>
      </w:r>
      <w:r w:rsidR="00CD2272">
        <w:t xml:space="preserve">сподарсько-технічного відділу», </w:t>
      </w:r>
      <w:r>
        <w:t>від 21.11.2023 №</w:t>
      </w:r>
      <w:r w:rsidR="00067D14">
        <w:t> </w:t>
      </w:r>
      <w:r>
        <w:t>5-аг «Про контрольні заміри витрат пального автомобіля транспортного господарства го</w:t>
      </w:r>
      <w:r w:rsidR="00CD2272">
        <w:t xml:space="preserve">сподарсько-технічного відділу», </w:t>
      </w:r>
      <w:r>
        <w:t>від 26.05.2025 №</w:t>
      </w:r>
      <w:r w:rsidR="00067D14">
        <w:t> </w:t>
      </w:r>
      <w:r>
        <w:t>2-аг «Про контрольні заміри витрат пального службовими автомобілями»:</w:t>
      </w:r>
    </w:p>
    <w:p w14:paraId="29104217" w14:textId="77777777" w:rsidR="00341843" w:rsidRDefault="00341843" w:rsidP="003030F5">
      <w:pPr>
        <w:ind w:firstLine="567"/>
        <w:jc w:val="both"/>
        <w:rPr>
          <w:lang w:val="ru-RU"/>
        </w:rPr>
      </w:pPr>
    </w:p>
    <w:p w14:paraId="6FC432EF" w14:textId="3E425C6E" w:rsidR="00341843" w:rsidRDefault="00293B5A" w:rsidP="00FB513E">
      <w:pPr>
        <w:ind w:firstLine="567"/>
        <w:jc w:val="both"/>
      </w:pPr>
      <w:r w:rsidRPr="00067D14">
        <w:t xml:space="preserve">1. Встановити базові </w:t>
      </w:r>
      <w:r w:rsidR="00FB513E" w:rsidRPr="00FB513E">
        <w:t xml:space="preserve">лінійні норми витрат палива </w:t>
      </w:r>
      <w:r w:rsidR="0095733C">
        <w:t xml:space="preserve">(л/100 км) </w:t>
      </w:r>
      <w:r w:rsidR="00FB513E" w:rsidRPr="00FB513E">
        <w:t>для автомобілів транспортного господарства технічного сектору господарсько-технічного відділу міської ради</w:t>
      </w:r>
      <w:r w:rsidR="00FB513E">
        <w:t xml:space="preserve"> </w:t>
      </w:r>
      <w:r w:rsidRPr="00067D14">
        <w:t>згідно з додатком 1</w:t>
      </w:r>
      <w:r>
        <w:t>.</w:t>
      </w:r>
    </w:p>
    <w:p w14:paraId="54E2FF12" w14:textId="3D650980" w:rsidR="00341843" w:rsidRDefault="00293B5A" w:rsidP="003030F5">
      <w:pPr>
        <w:ind w:firstLine="567"/>
        <w:jc w:val="both"/>
        <w:rPr>
          <w:szCs w:val="28"/>
        </w:rPr>
      </w:pPr>
      <w:r>
        <w:t>2. </w:t>
      </w:r>
      <w:r>
        <w:rPr>
          <w:szCs w:val="28"/>
        </w:rPr>
        <w:t xml:space="preserve">Встановити </w:t>
      </w:r>
      <w:r w:rsidRPr="00067D14">
        <w:rPr>
          <w:szCs w:val="28"/>
        </w:rPr>
        <w:t>коефіцієнти</w:t>
      </w:r>
      <w:r>
        <w:rPr>
          <w:szCs w:val="28"/>
        </w:rPr>
        <w:t xml:space="preserve"> коригування, що збільшують норми витрати палива для автомобілів, зазначених </w:t>
      </w:r>
      <w:r w:rsidR="002E2F35">
        <w:rPr>
          <w:szCs w:val="28"/>
        </w:rPr>
        <w:t>у</w:t>
      </w:r>
      <w:r>
        <w:rPr>
          <w:szCs w:val="28"/>
        </w:rPr>
        <w:t xml:space="preserve"> додатку 1:</w:t>
      </w:r>
    </w:p>
    <w:p w14:paraId="2360464F" w14:textId="77777777" w:rsidR="0039680C" w:rsidRDefault="0039680C" w:rsidP="003030F5">
      <w:pPr>
        <w:ind w:firstLine="567"/>
        <w:jc w:val="both"/>
      </w:pPr>
    </w:p>
    <w:p w14:paraId="3F760656" w14:textId="77777777" w:rsidR="00341843" w:rsidRDefault="00293B5A" w:rsidP="003030F5">
      <w:pPr>
        <w:pStyle w:val="ad"/>
        <w:spacing w:beforeAutospacing="0" w:afterAutospacing="0"/>
        <w:ind w:firstLine="567"/>
        <w:jc w:val="both"/>
      </w:pPr>
      <w:r>
        <w:rPr>
          <w:sz w:val="28"/>
          <w:szCs w:val="28"/>
        </w:rPr>
        <w:lastRenderedPageBreak/>
        <w:t>2.1. При роботі в зимових умовах залежно від фактичної температури повітря:</w:t>
      </w:r>
    </w:p>
    <w:p w14:paraId="2DDDEF94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від 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(включно) та до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2%;</w:t>
      </w:r>
    </w:p>
    <w:p w14:paraId="363CCE8B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 -10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4%;</w:t>
      </w:r>
    </w:p>
    <w:p w14:paraId="55CC72CD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</w:t>
      </w:r>
      <w:r w:rsidR="00A05487">
        <w:rPr>
          <w:sz w:val="28"/>
          <w:szCs w:val="28"/>
        </w:rPr>
        <w:t xml:space="preserve"> </w:t>
      </w:r>
      <w:r>
        <w:rPr>
          <w:sz w:val="28"/>
          <w:szCs w:val="28"/>
        </w:rPr>
        <w:t>-10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С та до 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6%;</w:t>
      </w:r>
    </w:p>
    <w:p w14:paraId="1F5D072E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  – 8%;</w:t>
      </w:r>
    </w:p>
    <w:p w14:paraId="4EE927FB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-20</w:t>
      </w:r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та до  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включно – 10%;</w:t>
      </w:r>
    </w:p>
    <w:p w14:paraId="61AFB1D5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до 12%.</w:t>
      </w:r>
    </w:p>
    <w:p w14:paraId="17DC7884" w14:textId="77777777" w:rsidR="00341843" w:rsidRPr="00067D14" w:rsidRDefault="00293B5A" w:rsidP="003030F5">
      <w:pPr>
        <w:pStyle w:val="ad"/>
        <w:spacing w:beforeAutospacing="0" w:afterAutospacing="0"/>
        <w:ind w:firstLine="567"/>
      </w:pPr>
      <w:r w:rsidRPr="00067D14">
        <w:rPr>
          <w:sz w:val="28"/>
          <w:szCs w:val="28"/>
        </w:rPr>
        <w:t>2.2. При роботі в умовах міста:</w:t>
      </w:r>
    </w:p>
    <w:p w14:paraId="00083081" w14:textId="4241F4B7" w:rsidR="00341843" w:rsidRDefault="00293B5A" w:rsidP="003030F5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межах міст, населених пунктах за наявності в них регульованих перехресть (світлофорів) та промислових зон  (за потреби) – до 5%;</w:t>
      </w:r>
    </w:p>
    <w:p w14:paraId="55398274" w14:textId="7755F3E8" w:rsidR="00341843" w:rsidRDefault="00293B5A" w:rsidP="003030F5">
      <w:pPr>
        <w:pStyle w:val="ad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в межах міст Біла Церква, Бровари, Вінниця, Житомир, Івано-Франківськ, </w:t>
      </w:r>
      <w:proofErr w:type="spellStart"/>
      <w:r>
        <w:rPr>
          <w:sz w:val="28"/>
          <w:szCs w:val="28"/>
        </w:rPr>
        <w:t>Кам'янське</w:t>
      </w:r>
      <w:proofErr w:type="spellEnd"/>
      <w:r>
        <w:rPr>
          <w:sz w:val="28"/>
          <w:szCs w:val="28"/>
        </w:rPr>
        <w:t>, Кам'янець-Подільський, Кременчук, Кривий Ріг, Кропивницький, Луцьк, Миколаїв, Нікополь, Павлоград, Полтава, Рівне,     Сєверодонецьк, Суми, Тернопіль, Ужгород, Херсон, Хмельницький, Черкаси, Чернігів, Чернівці – до 10%;</w:t>
      </w:r>
    </w:p>
    <w:p w14:paraId="1A4E81D3" w14:textId="77777777" w:rsidR="00341843" w:rsidRDefault="00293B5A" w:rsidP="003030F5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межах міст Дніпро, Запоріжжя, Київ, Львів, Одеса, Харків – до 15%.</w:t>
      </w:r>
    </w:p>
    <w:p w14:paraId="50D7290F" w14:textId="77777777" w:rsidR="004A0064" w:rsidRDefault="00293B5A" w:rsidP="004A0064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>2.3. Для автомобілів, що експлуатуються:</w:t>
      </w:r>
    </w:p>
    <w:p w14:paraId="694F0122" w14:textId="101F4145" w:rsidR="004A0064" w:rsidRDefault="00293B5A" w:rsidP="004A0064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>більше 5 років із загальним пробігом понад 100 тис. км –  до 3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16EB69A5" w14:textId="1A17C06C" w:rsidR="00341843" w:rsidRDefault="00293B5A" w:rsidP="004A0064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>більше 8 років або із загальним пробігом понад 150 тис. км – до 5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60408ED2" w14:textId="1C3DA63C" w:rsidR="00341843" w:rsidRDefault="00293B5A" w:rsidP="003030F5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>більше 11 років або із загальним пробігом понад 250 тис. км – до 7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27B3EAC1" w14:textId="041F0BB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більше 14 років або із загальним пробігом понад 400 тис. км – до  9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%.</w:t>
      </w:r>
    </w:p>
    <w:p w14:paraId="3C41A722" w14:textId="77777777" w:rsidR="00341843" w:rsidRDefault="00293B5A" w:rsidP="003030F5">
      <w:pPr>
        <w:pStyle w:val="ad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2.4. На охолодження салону автомобіля у випадку використання кондиціонера або установки «клімат-контроль» залежно від фактичної температури повітря: </w:t>
      </w:r>
    </w:p>
    <w:p w14:paraId="3DB5A5F5" w14:textId="36111CA2" w:rsidR="00341843" w:rsidRDefault="00293B5A" w:rsidP="003030F5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 xml:space="preserve"> від +20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до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 5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7CAC8357" w14:textId="498452AF" w:rsidR="00341843" w:rsidRDefault="00293B5A" w:rsidP="003030F5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 xml:space="preserve"> вище ніж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 7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01378A8F" w14:textId="7464E9A0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вище ніж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до 10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%.</w:t>
      </w:r>
    </w:p>
    <w:p w14:paraId="4ACB3D6E" w14:textId="77777777" w:rsidR="00341843" w:rsidRDefault="00293B5A" w:rsidP="003030F5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 На обігрів салону, скла тощо залежно від фактичної температури повітря:</w:t>
      </w:r>
    </w:p>
    <w:p w14:paraId="7200889D" w14:textId="5E638819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нижче ніж +5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 0,5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1985EAAB" w14:textId="2B69135B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нижче ніж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 1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418870DF" w14:textId="79184F97" w:rsidR="00341843" w:rsidRDefault="00293B5A" w:rsidP="003030F5">
      <w:pPr>
        <w:pStyle w:val="ad"/>
        <w:spacing w:beforeAutospacing="0" w:afterAutospacing="0"/>
        <w:ind w:firstLine="567"/>
        <w:rPr>
          <w:szCs w:val="28"/>
        </w:rPr>
      </w:pPr>
      <w:r>
        <w:rPr>
          <w:sz w:val="28"/>
          <w:szCs w:val="28"/>
        </w:rPr>
        <w:t xml:space="preserve"> нижче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>
        <w:rPr>
          <w:sz w:val="28"/>
          <w:szCs w:val="28"/>
        </w:rPr>
        <w:t>включно – до 1,5</w:t>
      </w:r>
      <w:r w:rsidR="004463DB">
        <w:rPr>
          <w:sz w:val="28"/>
          <w:szCs w:val="28"/>
        </w:rPr>
        <w:t> </w:t>
      </w:r>
      <w:r w:rsidRPr="00067D14">
        <w:rPr>
          <w:sz w:val="28"/>
          <w:szCs w:val="28"/>
        </w:rPr>
        <w:t>%</w:t>
      </w:r>
      <w:r>
        <w:rPr>
          <w:szCs w:val="28"/>
        </w:rPr>
        <w:t>;</w:t>
      </w:r>
    </w:p>
    <w:p w14:paraId="2A5EF12E" w14:textId="34B24346" w:rsidR="00341843" w:rsidRDefault="00293B5A" w:rsidP="003030F5">
      <w:pPr>
        <w:pStyle w:val="ad"/>
        <w:spacing w:beforeAutospacing="0" w:afterAutospacing="0"/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 нижче ніж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>
        <w:rPr>
          <w:sz w:val="28"/>
          <w:szCs w:val="28"/>
        </w:rPr>
        <w:t>– 2</w:t>
      </w:r>
      <w:r w:rsidR="004463DB">
        <w:rPr>
          <w:sz w:val="28"/>
          <w:szCs w:val="28"/>
        </w:rPr>
        <w:t> </w:t>
      </w:r>
      <w:r>
        <w:rPr>
          <w:sz w:val="28"/>
          <w:szCs w:val="28"/>
        </w:rPr>
        <w:t>%.</w:t>
      </w:r>
      <w:r>
        <w:rPr>
          <w:szCs w:val="28"/>
        </w:rPr>
        <w:t xml:space="preserve"> </w:t>
      </w:r>
    </w:p>
    <w:p w14:paraId="17574735" w14:textId="627ED803" w:rsidR="00341843" w:rsidRDefault="00293B5A" w:rsidP="003030F5">
      <w:pPr>
        <w:pStyle w:val="ad"/>
        <w:spacing w:beforeAutospacing="0" w:afterAutospacing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3. </w:t>
      </w:r>
      <w:r w:rsidRPr="00067D14">
        <w:rPr>
          <w:sz w:val="28"/>
          <w:szCs w:val="28"/>
        </w:rPr>
        <w:t xml:space="preserve">Встановити коефіцієнт </w:t>
      </w:r>
      <w:r>
        <w:rPr>
          <w:sz w:val="28"/>
          <w:szCs w:val="28"/>
        </w:rPr>
        <w:t xml:space="preserve">коригування, що зменшує норми витрат палива при роботі за межами населених пунктів на дорогах загального користування, у тому числі на дорогах, що проходять через населені пункти та позначені знаком 5.47 Правил дорожнього руху, для автомобілів зазначених в додатку 1 </w:t>
      </w:r>
      <w:r w:rsidR="004463DB">
        <w:rPr>
          <w:sz w:val="28"/>
          <w:szCs w:val="28"/>
        </w:rPr>
        <w:t>–</w:t>
      </w:r>
      <w:r>
        <w:rPr>
          <w:sz w:val="28"/>
          <w:szCs w:val="28"/>
        </w:rPr>
        <w:t xml:space="preserve"> до 15%.</w:t>
      </w:r>
    </w:p>
    <w:p w14:paraId="0A537966" w14:textId="7B4A8A8C" w:rsidR="00341843" w:rsidRDefault="00293B5A" w:rsidP="003030F5">
      <w:pPr>
        <w:ind w:firstLine="567"/>
        <w:jc w:val="both"/>
      </w:pPr>
      <w:r>
        <w:t>4. Затвердити тимчасові літні норми витрат палива для автомобілів транспортного господарства технічного сектору господарсько-технічного відділу, відповідно до актів контрольних замірів, згідно з додатком 2.</w:t>
      </w:r>
    </w:p>
    <w:p w14:paraId="3F64F9EC" w14:textId="37031584" w:rsidR="00341843" w:rsidRDefault="00293B5A" w:rsidP="003030F5">
      <w:pPr>
        <w:ind w:firstLine="567"/>
        <w:jc w:val="both"/>
      </w:pPr>
      <w:r>
        <w:t xml:space="preserve">5. </w:t>
      </w:r>
      <w:r>
        <w:rPr>
          <w:szCs w:val="28"/>
        </w:rPr>
        <w:t xml:space="preserve">Встановити коефіцієнти коригування, що збільшують норми витрати палива для автомобілів, зазначених </w:t>
      </w:r>
      <w:r w:rsidR="002E2F35">
        <w:rPr>
          <w:szCs w:val="28"/>
        </w:rPr>
        <w:t>у</w:t>
      </w:r>
      <w:r>
        <w:rPr>
          <w:szCs w:val="28"/>
        </w:rPr>
        <w:t xml:space="preserve"> додатку 2.</w:t>
      </w:r>
    </w:p>
    <w:p w14:paraId="1FD4B199" w14:textId="77777777" w:rsidR="00341843" w:rsidRDefault="00293B5A" w:rsidP="003030F5">
      <w:pPr>
        <w:pStyle w:val="ad"/>
        <w:spacing w:beforeAutospacing="0" w:afterAutospacing="0"/>
        <w:ind w:firstLine="567"/>
        <w:jc w:val="both"/>
      </w:pPr>
      <w:r>
        <w:rPr>
          <w:sz w:val="28"/>
          <w:szCs w:val="28"/>
        </w:rPr>
        <w:lastRenderedPageBreak/>
        <w:t>5.1. При роботі в зимових умовах залежно від фактичної температури повітря:</w:t>
      </w:r>
    </w:p>
    <w:p w14:paraId="3DADEC69" w14:textId="0AEEB01B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від 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(включно) та до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2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545349F7" w14:textId="01E6B86E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 -10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4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1A49700F" w14:textId="0B3E056B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ніж-10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С та до 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6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0E5CB570" w14:textId="656288DA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  – 8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15A92FD4" w14:textId="1028FFC3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-20</w:t>
      </w:r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та до  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включно – 10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169C9CF4" w14:textId="77777777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нижче ніж  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до 12%.</w:t>
      </w:r>
    </w:p>
    <w:p w14:paraId="113DF451" w14:textId="0FE8879A" w:rsidR="00341843" w:rsidRDefault="00293B5A" w:rsidP="003030F5">
      <w:pPr>
        <w:pStyle w:val="ad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5.2. При роботі </w:t>
      </w:r>
      <w:r>
        <w:t xml:space="preserve"> </w:t>
      </w:r>
      <w:r>
        <w:rPr>
          <w:sz w:val="28"/>
          <w:szCs w:val="28"/>
        </w:rPr>
        <w:t>в межах міст Дніпро, Запоріжжя, Київ, Львів, Одеса, Харків – до  5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%.</w:t>
      </w:r>
    </w:p>
    <w:p w14:paraId="10D27955" w14:textId="77777777" w:rsidR="00341843" w:rsidRDefault="00293B5A" w:rsidP="003030F5">
      <w:pPr>
        <w:pStyle w:val="ad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5.3. На охолодження салону автомобіля у випадку використання кондиціонера або установки «клімат-контроль» залежно від фактичної температури повітря: </w:t>
      </w:r>
    </w:p>
    <w:p w14:paraId="7585644D" w14:textId="66A6D56B" w:rsidR="00341843" w:rsidRDefault="00293B5A" w:rsidP="003030F5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 xml:space="preserve"> від +20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до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 5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1965E78B" w14:textId="295645BC" w:rsidR="00341843" w:rsidRDefault="00293B5A" w:rsidP="003030F5">
      <w:pPr>
        <w:pStyle w:val="ad"/>
        <w:spacing w:beforeAutospacing="0" w:afterAutospacing="0"/>
        <w:ind w:firstLine="567"/>
      </w:pPr>
      <w:r>
        <w:rPr>
          <w:sz w:val="28"/>
          <w:szCs w:val="28"/>
        </w:rPr>
        <w:t xml:space="preserve"> вище ніж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7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757085DA" w14:textId="6DBE0B4B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вище ніж +30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до 10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%.</w:t>
      </w:r>
    </w:p>
    <w:p w14:paraId="78CBEB89" w14:textId="77777777" w:rsidR="00341843" w:rsidRDefault="00293B5A" w:rsidP="003030F5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 На обігрів салону, скла тощо залежно від фактичної температури повітря:</w:t>
      </w:r>
    </w:p>
    <w:p w14:paraId="4217E3FA" w14:textId="2EC43FD2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нижче ніж +5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0,5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2991B561" w14:textId="39D133A1" w:rsidR="00341843" w:rsidRDefault="00293B5A" w:rsidP="003030F5">
      <w:pPr>
        <w:pStyle w:val="ad"/>
        <w:spacing w:beforeAutospacing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нижче ніж -5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включно – до 1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%;</w:t>
      </w:r>
    </w:p>
    <w:p w14:paraId="55E80F9F" w14:textId="29B68740" w:rsidR="00341843" w:rsidRDefault="00293B5A" w:rsidP="003030F5">
      <w:pPr>
        <w:pStyle w:val="ad"/>
        <w:spacing w:beforeAutospacing="0" w:afterAutospacing="0"/>
        <w:ind w:firstLine="567"/>
        <w:rPr>
          <w:szCs w:val="28"/>
        </w:rPr>
      </w:pPr>
      <w:r>
        <w:rPr>
          <w:sz w:val="28"/>
          <w:szCs w:val="28"/>
        </w:rPr>
        <w:t xml:space="preserve"> нижче -15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та до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>
        <w:rPr>
          <w:sz w:val="28"/>
          <w:szCs w:val="28"/>
        </w:rPr>
        <w:t>включно – до 1,5</w:t>
      </w:r>
      <w:r w:rsidR="00067D14">
        <w:rPr>
          <w:sz w:val="28"/>
          <w:szCs w:val="28"/>
        </w:rPr>
        <w:t> </w:t>
      </w:r>
      <w:r>
        <w:rPr>
          <w:szCs w:val="28"/>
        </w:rPr>
        <w:t>%;</w:t>
      </w:r>
    </w:p>
    <w:p w14:paraId="42AC283E" w14:textId="5A6F5AF8" w:rsidR="00341843" w:rsidRDefault="00293B5A" w:rsidP="003030F5">
      <w:pPr>
        <w:pStyle w:val="ad"/>
        <w:spacing w:beforeAutospacing="0" w:afterAutospacing="0"/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 нижче ніж -25</w:t>
      </w:r>
      <w:r>
        <w:rPr>
          <w:szCs w:val="28"/>
          <w:vertAlign w:val="superscript"/>
        </w:rPr>
        <w:t>0</w:t>
      </w:r>
      <w:r>
        <w:rPr>
          <w:szCs w:val="28"/>
        </w:rPr>
        <w:t xml:space="preserve">С </w:t>
      </w:r>
      <w:r>
        <w:rPr>
          <w:sz w:val="28"/>
          <w:szCs w:val="28"/>
        </w:rPr>
        <w:t>– до 2</w:t>
      </w:r>
      <w:r w:rsidR="00067D14">
        <w:rPr>
          <w:sz w:val="28"/>
          <w:szCs w:val="28"/>
        </w:rPr>
        <w:t> </w:t>
      </w:r>
      <w:r>
        <w:rPr>
          <w:sz w:val="28"/>
          <w:szCs w:val="28"/>
        </w:rPr>
        <w:t>%.</w:t>
      </w:r>
      <w:r>
        <w:rPr>
          <w:szCs w:val="28"/>
        </w:rPr>
        <w:t xml:space="preserve"> </w:t>
      </w:r>
    </w:p>
    <w:p w14:paraId="6190B86D" w14:textId="77777777" w:rsidR="00341843" w:rsidRDefault="00293B5A" w:rsidP="003030F5">
      <w:pPr>
        <w:pStyle w:val="ad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Визнати таким, що втратило чинність, розпорядження міського голови від 17.08.2021 № 9-аг «Про норми витрат палива для автомобілів транспортного господарства технічного сектору господарсько-технічного відділу Луцької міської ради» зі зміною від 15.01.2024 № 1-аг.</w:t>
      </w:r>
    </w:p>
    <w:p w14:paraId="080008A4" w14:textId="77777777" w:rsidR="00341843" w:rsidRDefault="00293B5A" w:rsidP="003030F5">
      <w:pPr>
        <w:ind w:firstLine="567"/>
        <w:jc w:val="both"/>
      </w:pPr>
      <w:r>
        <w:t xml:space="preserve">7. Контроль за виконанням розпорядження покласти на заступника міського голови, керуючого справами виконкому </w:t>
      </w:r>
      <w:r w:rsidR="00404BA0">
        <w:t xml:space="preserve">Юрія </w:t>
      </w:r>
      <w:proofErr w:type="spellStart"/>
      <w:r w:rsidR="00404BA0">
        <w:t>Вербича</w:t>
      </w:r>
      <w:proofErr w:type="spellEnd"/>
      <w:r w:rsidR="00404BA0">
        <w:t>.</w:t>
      </w:r>
    </w:p>
    <w:p w14:paraId="0458234B" w14:textId="77777777" w:rsidR="00341843" w:rsidRDefault="00341843">
      <w:pPr>
        <w:jc w:val="both"/>
      </w:pPr>
    </w:p>
    <w:p w14:paraId="444EB210" w14:textId="77777777" w:rsidR="00341843" w:rsidRDefault="00341843">
      <w:pPr>
        <w:jc w:val="both"/>
      </w:pPr>
    </w:p>
    <w:p w14:paraId="1A11E409" w14:textId="77777777" w:rsidR="00341843" w:rsidRDefault="00341843">
      <w:pPr>
        <w:jc w:val="both"/>
      </w:pPr>
    </w:p>
    <w:p w14:paraId="485AC4A7" w14:textId="56210072" w:rsidR="00341843" w:rsidRDefault="00F67230" w:rsidP="00F67230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</w:p>
    <w:p w14:paraId="20791698" w14:textId="77777777" w:rsidR="00F67230" w:rsidRDefault="00F67230" w:rsidP="00F67230">
      <w:pPr>
        <w:jc w:val="both"/>
      </w:pPr>
    </w:p>
    <w:p w14:paraId="09B093C1" w14:textId="77777777" w:rsidR="00F67230" w:rsidRDefault="00F67230" w:rsidP="00F67230">
      <w:pPr>
        <w:jc w:val="both"/>
        <w:rPr>
          <w:szCs w:val="28"/>
        </w:rPr>
      </w:pPr>
    </w:p>
    <w:p w14:paraId="5D37285D" w14:textId="77777777" w:rsidR="00341843" w:rsidRDefault="00293B5A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14:paraId="28144EA1" w14:textId="77777777" w:rsidR="00341843" w:rsidRDefault="00293B5A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14:paraId="2E193DF9" w14:textId="77777777" w:rsidR="00341843" w:rsidRDefault="00341843"/>
    <w:sectPr w:rsidR="00341843" w:rsidSect="00397066">
      <w:headerReference w:type="even" r:id="rId8"/>
      <w:headerReference w:type="default" r:id="rId9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D382" w14:textId="77777777" w:rsidR="00321E0C" w:rsidRDefault="00321E0C">
      <w:r>
        <w:separator/>
      </w:r>
    </w:p>
  </w:endnote>
  <w:endnote w:type="continuationSeparator" w:id="0">
    <w:p w14:paraId="5B5859A4" w14:textId="77777777" w:rsidR="00321E0C" w:rsidRDefault="0032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FD3B" w14:textId="77777777" w:rsidR="00321E0C" w:rsidRDefault="00321E0C">
      <w:r>
        <w:separator/>
      </w:r>
    </w:p>
  </w:footnote>
  <w:footnote w:type="continuationSeparator" w:id="0">
    <w:p w14:paraId="7B887E41" w14:textId="77777777" w:rsidR="00321E0C" w:rsidRDefault="0032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157A" w14:textId="77777777" w:rsidR="00341843" w:rsidRDefault="00293B5A">
    <w:pPr>
      <w:pStyle w:val="ab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8E6991A" wp14:editId="418C5FF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697BE8E" w14:textId="77777777" w:rsidR="00341843" w:rsidRDefault="00293B5A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991A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-50.05pt;margin-top:.05pt;width:1.15pt;height:1.15pt;z-index: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1697BE8E" w14:textId="77777777" w:rsidR="00341843" w:rsidRDefault="00293B5A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339155"/>
      <w:docPartObj>
        <w:docPartGallery w:val="Page Numbers (Top of Page)"/>
        <w:docPartUnique/>
      </w:docPartObj>
    </w:sdtPr>
    <w:sdtContent>
      <w:p w14:paraId="486CFCA1" w14:textId="4BD7BAF9" w:rsidR="00397066" w:rsidRDefault="003970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20FBA" w14:textId="605F7088" w:rsidR="00341843" w:rsidRDefault="00341843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843"/>
    <w:rsid w:val="00067D14"/>
    <w:rsid w:val="000B62F3"/>
    <w:rsid w:val="00293B5A"/>
    <w:rsid w:val="002E0F96"/>
    <w:rsid w:val="002E2F35"/>
    <w:rsid w:val="003030F5"/>
    <w:rsid w:val="00321E0C"/>
    <w:rsid w:val="00341843"/>
    <w:rsid w:val="0038000D"/>
    <w:rsid w:val="0039680C"/>
    <w:rsid w:val="00397066"/>
    <w:rsid w:val="00404BA0"/>
    <w:rsid w:val="004463DB"/>
    <w:rsid w:val="004A0064"/>
    <w:rsid w:val="0050088D"/>
    <w:rsid w:val="005635E6"/>
    <w:rsid w:val="005E0D1B"/>
    <w:rsid w:val="008B2318"/>
    <w:rsid w:val="009449B9"/>
    <w:rsid w:val="0095733C"/>
    <w:rsid w:val="00964843"/>
    <w:rsid w:val="00A05487"/>
    <w:rsid w:val="00A53E34"/>
    <w:rsid w:val="00C01307"/>
    <w:rsid w:val="00CD2272"/>
    <w:rsid w:val="00D243B2"/>
    <w:rsid w:val="00E2432D"/>
    <w:rsid w:val="00F6210E"/>
    <w:rsid w:val="00F67230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B9C485"/>
  <w15:docId w15:val="{328B93E0-F4F8-43C7-A797-154D331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C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іперпосилання1"/>
    <w:uiPriority w:val="99"/>
    <w:unhideWhenUsed/>
    <w:rsid w:val="002912CF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A023C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Верхний колонтитул Знак"/>
    <w:basedOn w:val="a0"/>
    <w:qFormat/>
    <w:rsid w:val="00A023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A023C6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link w:val="ac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paragraph" w:styleId="ad">
    <w:name w:val="Normal (Web)"/>
    <w:basedOn w:val="a"/>
    <w:qFormat/>
    <w:rsid w:val="00A023C6"/>
    <w:pPr>
      <w:shd w:val="clear" w:color="auto" w:fill="FFFFFF"/>
      <w:suppressAutoHyphens w:val="0"/>
      <w:spacing w:beforeAutospacing="1" w:afterAutospacing="1"/>
    </w:pPr>
    <w:rPr>
      <w:bCs w:val="0"/>
      <w:sz w:val="24"/>
      <w:lang w:eastAsia="uk-UA"/>
    </w:rPr>
  </w:style>
  <w:style w:type="paragraph" w:customStyle="1" w:styleId="ae">
    <w:name w:val="Вміст рамки"/>
    <w:basedOn w:val="a"/>
    <w:qFormat/>
  </w:style>
  <w:style w:type="paragraph" w:styleId="af">
    <w:name w:val="footer"/>
    <w:basedOn w:val="a"/>
    <w:link w:val="af0"/>
    <w:uiPriority w:val="99"/>
    <w:unhideWhenUsed/>
    <w:rsid w:val="003030F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030F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c">
    <w:name w:val="Верхній колонтитул Знак"/>
    <w:basedOn w:val="a0"/>
    <w:link w:val="ab"/>
    <w:uiPriority w:val="99"/>
    <w:rsid w:val="003970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3618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Шолуха Ніна Юріївна</dc:creator>
  <dc:description/>
  <cp:lastModifiedBy>Ірина Демидюк</cp:lastModifiedBy>
  <cp:revision>18</cp:revision>
  <cp:lastPrinted>2025-06-26T14:25:00Z</cp:lastPrinted>
  <dcterms:created xsi:type="dcterms:W3CDTF">2025-06-26T08:13:00Z</dcterms:created>
  <dcterms:modified xsi:type="dcterms:W3CDTF">2025-07-02T06:56:00Z</dcterms:modified>
  <dc:language>uk-UA</dc:language>
</cp:coreProperties>
</file>