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7B095" w14:textId="77777777" w:rsidR="001E5966" w:rsidRDefault="001E5966">
      <w:pPr>
        <w:jc w:val="center"/>
        <w:rPr>
          <w:b/>
          <w:sz w:val="32"/>
          <w:szCs w:val="32"/>
        </w:rPr>
      </w:pPr>
    </w:p>
    <w:p w14:paraId="67FE3532" w14:textId="77777777" w:rsidR="001E5966" w:rsidRDefault="00000000">
      <w:pPr>
        <w:jc w:val="center"/>
        <w:rPr>
          <w:bCs w:val="0"/>
          <w:szCs w:val="28"/>
        </w:rPr>
      </w:pPr>
      <w:r>
        <w:rPr>
          <w:bCs w:val="0"/>
          <w:szCs w:val="28"/>
        </w:rPr>
        <w:t>Пояснювальна записка</w:t>
      </w:r>
    </w:p>
    <w:p w14:paraId="1E4B9CC0" w14:textId="77777777" w:rsidR="001E5966" w:rsidRDefault="00000000">
      <w:pPr>
        <w:jc w:val="center"/>
        <w:rPr>
          <w:szCs w:val="28"/>
        </w:rPr>
      </w:pPr>
      <w:r>
        <w:rPr>
          <w:szCs w:val="28"/>
        </w:rPr>
        <w:t xml:space="preserve">до </w:t>
      </w:r>
      <w:proofErr w:type="spellStart"/>
      <w:r>
        <w:rPr>
          <w:szCs w:val="28"/>
        </w:rPr>
        <w:t>проєкту</w:t>
      </w:r>
      <w:proofErr w:type="spellEnd"/>
      <w:r>
        <w:rPr>
          <w:szCs w:val="28"/>
        </w:rPr>
        <w:t xml:space="preserve"> рішення виконавчого комітету міської ради</w:t>
      </w:r>
    </w:p>
    <w:p w14:paraId="55C94691" w14:textId="77777777" w:rsidR="001E5966" w:rsidRDefault="00000000">
      <w:pPr>
        <w:jc w:val="center"/>
        <w:rPr>
          <w:szCs w:val="28"/>
        </w:rPr>
      </w:pPr>
      <w:r>
        <w:rPr>
          <w:szCs w:val="28"/>
        </w:rPr>
        <w:t xml:space="preserve">«Про затвердження Інвестиційної програми </w:t>
      </w:r>
    </w:p>
    <w:p w14:paraId="25A51A32" w14:textId="77777777" w:rsidR="001E5966" w:rsidRDefault="00000000">
      <w:r>
        <w:rPr>
          <w:szCs w:val="28"/>
        </w:rPr>
        <w:t xml:space="preserve">        Луцького спеціального комунального автотранспортного підприємства </w:t>
      </w:r>
    </w:p>
    <w:p w14:paraId="49EAAAC2" w14:textId="03E9181A" w:rsidR="001E5966" w:rsidRDefault="00000000">
      <w:pPr>
        <w:jc w:val="center"/>
        <w:rPr>
          <w:szCs w:val="28"/>
        </w:rPr>
      </w:pPr>
      <w:r>
        <w:rPr>
          <w:bCs w:val="0"/>
          <w:color w:val="000000"/>
          <w:szCs w:val="28"/>
          <w:lang w:eastAsia="zh-CN"/>
        </w:rPr>
        <w:t>“</w:t>
      </w:r>
      <w:proofErr w:type="spellStart"/>
      <w:r>
        <w:rPr>
          <w:bCs w:val="0"/>
          <w:color w:val="000000"/>
          <w:szCs w:val="28"/>
          <w:lang w:eastAsia="zh-CN"/>
        </w:rPr>
        <w:t>Луцькспецкомунтранс</w:t>
      </w:r>
      <w:proofErr w:type="spellEnd"/>
      <w:r>
        <w:rPr>
          <w:bCs w:val="0"/>
          <w:color w:val="000000"/>
          <w:szCs w:val="28"/>
          <w:lang w:eastAsia="zh-CN"/>
        </w:rPr>
        <w:t>” на 2</w:t>
      </w:r>
      <w:r>
        <w:rPr>
          <w:bCs w:val="0"/>
          <w:color w:val="000000"/>
          <w:szCs w:val="28"/>
          <w:lang w:val="en-US" w:eastAsia="zh-CN"/>
        </w:rPr>
        <w:t>025</w:t>
      </w:r>
      <w:r w:rsidR="007B4284">
        <w:rPr>
          <w:bCs w:val="0"/>
          <w:color w:val="000000"/>
          <w:szCs w:val="28"/>
          <w:lang w:eastAsia="zh-CN"/>
        </w:rPr>
        <w:t>–</w:t>
      </w:r>
      <w:r>
        <w:rPr>
          <w:bCs w:val="0"/>
          <w:color w:val="000000"/>
          <w:szCs w:val="28"/>
          <w:lang w:val="en-US" w:eastAsia="zh-CN"/>
        </w:rPr>
        <w:t xml:space="preserve">2026 </w:t>
      </w:r>
      <w:r>
        <w:rPr>
          <w:bCs w:val="0"/>
          <w:color w:val="000000"/>
          <w:szCs w:val="28"/>
          <w:lang w:eastAsia="zh-CN"/>
        </w:rPr>
        <w:t>роки</w:t>
      </w:r>
      <w:r>
        <w:rPr>
          <w:szCs w:val="28"/>
        </w:rPr>
        <w:t>»</w:t>
      </w:r>
    </w:p>
    <w:p w14:paraId="4AA5AFF7" w14:textId="77777777" w:rsidR="001E5966" w:rsidRDefault="001E5966">
      <w:pPr>
        <w:jc w:val="center"/>
      </w:pPr>
    </w:p>
    <w:p w14:paraId="515C6840" w14:textId="218C4A86" w:rsidR="001E5966" w:rsidRDefault="00000000">
      <w:pPr>
        <w:ind w:firstLine="567"/>
        <w:jc w:val="both"/>
      </w:pPr>
      <w:r>
        <w:t>Інвестиційна програма ЛСКАП «</w:t>
      </w:r>
      <w:proofErr w:type="spellStart"/>
      <w:r>
        <w:t>Луцькспецкомунтранс</w:t>
      </w:r>
      <w:proofErr w:type="spellEnd"/>
      <w:r>
        <w:t xml:space="preserve">» на </w:t>
      </w:r>
      <w:r w:rsidR="007B4284">
        <w:t xml:space="preserve">                   </w:t>
      </w:r>
      <w:r>
        <w:t>2025–2026 роки розроблена відповідно до законів України «Про житлово-комунальні послуги», «Про управління відходами», «Про ціни і ціноутворення», постанови Кабінету Міністрів України від 26.09.2023 № 1031 «Про затвердження Порядку формування середньозваженого тарифу на послугу з управління побутовими відходами, а також тарифів на збирання, перевезення, відновлення та видалення побутових відходів»</w:t>
      </w:r>
      <w:r w:rsidR="007B4284">
        <w:t xml:space="preserve"> зі змінами</w:t>
      </w:r>
      <w:r>
        <w:t xml:space="preserve"> та наказу Міністерства розвитку громад, територій та інфраструктури України від 08.09.2023 № 800 «Про затвердження Порядку розроблення, погодження та затвердження інвестиційних програм суб'єктів господарювання у сфері управління побутовими відходами» з метою визначення обґрунтованості запланованих капіталовкладень та витрат у структурі інвестиційної складової тарифів на операції з видалення та відновлення побутових відходів для встановлення тарифів на принципах економічної доцільності та передбачає перелік заходів, терміни та графік їх реалізації з відповідним обґрунтуванням, а також зазначенням джерел фінансування. </w:t>
      </w:r>
    </w:p>
    <w:p w14:paraId="61185110" w14:textId="5BBA7D0E" w:rsidR="001E5966" w:rsidRDefault="00000000" w:rsidP="007B4284">
      <w:pPr>
        <w:ind w:firstLine="567"/>
        <w:jc w:val="both"/>
      </w:pPr>
      <w:r>
        <w:rPr>
          <w:rFonts w:eastAsiaTheme="minorHAnsi"/>
          <w:szCs w:val="28"/>
          <w:lang w:eastAsia="en-US"/>
        </w:rPr>
        <w:t xml:space="preserve">Фінансовим планом використання коштів для виконання </w:t>
      </w:r>
      <w:r w:rsidR="007B4284">
        <w:rPr>
          <w:rFonts w:eastAsiaTheme="minorHAnsi"/>
          <w:szCs w:val="28"/>
          <w:lang w:eastAsia="en-US"/>
        </w:rPr>
        <w:t>І</w:t>
      </w:r>
      <w:r>
        <w:rPr>
          <w:rFonts w:eastAsiaTheme="minorHAnsi"/>
          <w:szCs w:val="28"/>
          <w:lang w:eastAsia="en-US"/>
        </w:rPr>
        <w:t xml:space="preserve">нвестиційної програми </w:t>
      </w:r>
      <w:r w:rsidRPr="006367FF">
        <w:rPr>
          <w:rFonts w:eastAsiaTheme="minorHAnsi"/>
          <w:szCs w:val="28"/>
          <w:lang w:eastAsia="en-US"/>
        </w:rPr>
        <w:t xml:space="preserve">на 2025 рік передбачено </w:t>
      </w:r>
      <w:r>
        <w:rPr>
          <w:rFonts w:eastAsiaTheme="minorHAnsi"/>
          <w:szCs w:val="28"/>
          <w:lang w:eastAsia="en-US"/>
        </w:rPr>
        <w:t>виконання заходів на загальну суму 16</w:t>
      </w:r>
      <w:r w:rsidR="00BE4390">
        <w:rPr>
          <w:rFonts w:eastAsiaTheme="minorHAnsi"/>
          <w:szCs w:val="28"/>
          <w:lang w:eastAsia="en-US"/>
        </w:rPr>
        <w:t> </w:t>
      </w:r>
      <w:r>
        <w:rPr>
          <w:rFonts w:eastAsiaTheme="minorHAnsi"/>
          <w:szCs w:val="28"/>
          <w:lang w:eastAsia="en-US"/>
        </w:rPr>
        <w:t xml:space="preserve">532,55 </w:t>
      </w:r>
      <w:bookmarkStart w:id="0" w:name="__DdeLink__72_4013267907"/>
      <w:r>
        <w:rPr>
          <w:rFonts w:eastAsiaTheme="minorHAnsi"/>
          <w:szCs w:val="28"/>
          <w:lang w:eastAsia="en-US"/>
        </w:rPr>
        <w:t>тис. грн</w:t>
      </w:r>
      <w:bookmarkEnd w:id="0"/>
      <w:r>
        <w:rPr>
          <w:rFonts w:eastAsiaTheme="minorHAnsi"/>
          <w:szCs w:val="28"/>
          <w:lang w:eastAsia="en-US"/>
        </w:rPr>
        <w:t xml:space="preserve"> без ПДВ. </w:t>
      </w:r>
      <w:r w:rsidR="007B4284">
        <w:rPr>
          <w:rFonts w:eastAsiaTheme="minorHAnsi"/>
          <w:szCs w:val="28"/>
          <w:lang w:eastAsia="en-US"/>
        </w:rPr>
        <w:t>Ця</w:t>
      </w:r>
      <w:r>
        <w:rPr>
          <w:rFonts w:eastAsiaTheme="minorHAnsi"/>
          <w:szCs w:val="28"/>
          <w:lang w:eastAsia="en-US"/>
        </w:rPr>
        <w:t xml:space="preserve"> програма передбачає виконання інвестиційних заходів у 2025 році за рахунок амортизаційних відрахувань та виробничих інвестицій з прибутку та інших </w:t>
      </w:r>
      <w:r>
        <w:rPr>
          <w:rFonts w:eastAsia="Calibri"/>
          <w:color w:val="111111"/>
          <w:szCs w:val="28"/>
          <w:lang w:eastAsia="en-US"/>
        </w:rPr>
        <w:t xml:space="preserve">надходжень, отриманих від провадження господарської   діяльності в сумі </w:t>
      </w:r>
      <w:r>
        <w:rPr>
          <w:rFonts w:eastAsiaTheme="minorHAnsi"/>
          <w:szCs w:val="28"/>
          <w:lang w:eastAsia="en-US"/>
        </w:rPr>
        <w:t>15</w:t>
      </w:r>
      <w:r w:rsidR="007B4284">
        <w:rPr>
          <w:rFonts w:eastAsiaTheme="minorHAnsi"/>
          <w:szCs w:val="28"/>
          <w:lang w:eastAsia="en-US"/>
        </w:rPr>
        <w:t> </w:t>
      </w:r>
      <w:r>
        <w:rPr>
          <w:rFonts w:eastAsiaTheme="minorHAnsi"/>
          <w:szCs w:val="28"/>
          <w:lang w:eastAsia="en-US"/>
        </w:rPr>
        <w:t>532,55 тис. грн та к</w:t>
      </w:r>
      <w:r>
        <w:rPr>
          <w:rFonts w:eastAsia="Calibri"/>
          <w:szCs w:val="28"/>
          <w:lang w:eastAsia="en-US"/>
        </w:rPr>
        <w:t xml:space="preserve">оштів </w:t>
      </w:r>
      <w:r>
        <w:rPr>
          <w:lang w:eastAsia="en-US"/>
        </w:rPr>
        <w:t>бюджету</w:t>
      </w:r>
      <w:r>
        <w:rPr>
          <w:rFonts w:eastAsia="Calibri"/>
          <w:szCs w:val="28"/>
          <w:lang w:eastAsia="en-US"/>
        </w:rPr>
        <w:t xml:space="preserve"> громади</w:t>
      </w:r>
      <w:r w:rsidR="007B4284">
        <w:rPr>
          <w:rFonts w:eastAsia="Calibri"/>
          <w:szCs w:val="28"/>
          <w:lang w:eastAsia="en-US"/>
        </w:rPr>
        <w:t> –</w:t>
      </w:r>
      <w:r>
        <w:rPr>
          <w:rFonts w:eastAsia="Calibr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1000,00 тис. грн.</w:t>
      </w:r>
    </w:p>
    <w:p w14:paraId="7CEACFA4" w14:textId="3E24E25D" w:rsidR="001E5966" w:rsidRDefault="00000000">
      <w:pPr>
        <w:tabs>
          <w:tab w:val="left" w:pos="993"/>
        </w:tabs>
        <w:ind w:firstLine="567"/>
        <w:jc w:val="both"/>
      </w:pPr>
      <w:r>
        <w:rPr>
          <w:szCs w:val="28"/>
        </w:rPr>
        <w:t xml:space="preserve">Інвестиційна програма розроблена, виходячи з річного обсягу фінансування </w:t>
      </w:r>
      <w:r>
        <w:rPr>
          <w:bCs w:val="0"/>
          <w:color w:val="000000"/>
          <w:szCs w:val="28"/>
          <w:lang w:eastAsia="zh-CN"/>
        </w:rPr>
        <w:t>на 2025</w:t>
      </w:r>
      <w:r w:rsidR="007B4284">
        <w:rPr>
          <w:bCs w:val="0"/>
          <w:color w:val="000000"/>
          <w:szCs w:val="28"/>
          <w:lang w:eastAsia="zh-CN"/>
        </w:rPr>
        <w:t>–</w:t>
      </w:r>
      <w:r>
        <w:rPr>
          <w:bCs w:val="0"/>
          <w:color w:val="000000"/>
          <w:szCs w:val="28"/>
          <w:lang w:eastAsia="zh-CN"/>
        </w:rPr>
        <w:t>2026 роки</w:t>
      </w:r>
      <w:r>
        <w:rPr>
          <w:szCs w:val="28"/>
        </w:rPr>
        <w:t xml:space="preserve"> для визначення планового прибутку при розрахунку тарифів на послугу з оброблення побутових відходів з обсягом фінансування 31</w:t>
      </w:r>
      <w:r w:rsidR="007B4284">
        <w:rPr>
          <w:szCs w:val="28"/>
        </w:rPr>
        <w:t> </w:t>
      </w:r>
      <w:r>
        <w:rPr>
          <w:szCs w:val="28"/>
        </w:rPr>
        <w:t>066,41 тис. грн (без ПДВ), в тому числі на 2025 рік:</w:t>
      </w:r>
      <w:r>
        <w:rPr>
          <w:rFonts w:eastAsiaTheme="minorHAnsi"/>
          <w:szCs w:val="28"/>
          <w:lang w:eastAsia="en-US"/>
        </w:rPr>
        <w:t xml:space="preserve"> 16</w:t>
      </w:r>
      <w:r w:rsidR="007B4284">
        <w:rPr>
          <w:rFonts w:eastAsiaTheme="minorHAnsi"/>
          <w:szCs w:val="28"/>
          <w:lang w:eastAsia="en-US"/>
        </w:rPr>
        <w:t> </w:t>
      </w:r>
      <w:r>
        <w:rPr>
          <w:rFonts w:eastAsiaTheme="minorHAnsi"/>
          <w:szCs w:val="28"/>
          <w:lang w:eastAsia="en-US"/>
        </w:rPr>
        <w:t>532,55</w:t>
      </w:r>
      <w:r w:rsidR="007B4284">
        <w:rPr>
          <w:rFonts w:eastAsiaTheme="minorHAnsi"/>
          <w:szCs w:val="28"/>
          <w:lang w:eastAsia="en-US"/>
        </w:rPr>
        <w:t> </w:t>
      </w:r>
      <w:r>
        <w:rPr>
          <w:rFonts w:eastAsiaTheme="minorHAnsi"/>
          <w:szCs w:val="28"/>
          <w:lang w:eastAsia="en-US"/>
        </w:rPr>
        <w:t>тис.</w:t>
      </w:r>
      <w:r w:rsidR="007B4284">
        <w:rPr>
          <w:rFonts w:eastAsiaTheme="minorHAnsi"/>
          <w:szCs w:val="28"/>
          <w:lang w:eastAsia="en-US"/>
        </w:rPr>
        <w:t> </w:t>
      </w:r>
      <w:r>
        <w:rPr>
          <w:rFonts w:eastAsiaTheme="minorHAnsi"/>
          <w:szCs w:val="28"/>
          <w:lang w:eastAsia="en-US"/>
        </w:rPr>
        <w:t>грн, з них:</w:t>
      </w:r>
      <w:r>
        <w:rPr>
          <w:szCs w:val="28"/>
        </w:rPr>
        <w:t xml:space="preserve"> 4954,77 тис. грн – амортизаційні відрахування; 10</w:t>
      </w:r>
      <w:r w:rsidR="007B4284">
        <w:rPr>
          <w:szCs w:val="28"/>
        </w:rPr>
        <w:t> </w:t>
      </w:r>
      <w:r>
        <w:rPr>
          <w:szCs w:val="28"/>
        </w:rPr>
        <w:t xml:space="preserve">577,77 тис. грн – виробничі інвестиції з прибутку; 1000,0 тис. грн – </w:t>
      </w:r>
      <w:r>
        <w:rPr>
          <w:rFonts w:eastAsiaTheme="minorHAnsi"/>
          <w:szCs w:val="28"/>
          <w:lang w:eastAsia="en-US"/>
        </w:rPr>
        <w:t>к</w:t>
      </w:r>
      <w:r>
        <w:rPr>
          <w:rFonts w:eastAsia="Calibri"/>
          <w:szCs w:val="28"/>
          <w:lang w:eastAsia="en-US"/>
        </w:rPr>
        <w:t xml:space="preserve">ошти бюджету громади.  </w:t>
      </w:r>
    </w:p>
    <w:p w14:paraId="572CB7F2" w14:textId="7AB87C62" w:rsidR="001E5966" w:rsidRDefault="00000000">
      <w:pPr>
        <w:tabs>
          <w:tab w:val="left" w:pos="993"/>
        </w:tabs>
        <w:ind w:firstLine="567"/>
        <w:jc w:val="both"/>
      </w:pPr>
      <w:r>
        <w:rPr>
          <w:rFonts w:eastAsia="Calibri"/>
          <w:szCs w:val="28"/>
          <w:lang w:eastAsia="en-US"/>
        </w:rPr>
        <w:t>Інвестиційна програма на 2025 рік</w:t>
      </w:r>
      <w:r>
        <w:t xml:space="preserve"> передбачає </w:t>
      </w:r>
      <w:r w:rsidR="007B4284">
        <w:t>такі</w:t>
      </w:r>
      <w:r>
        <w:t xml:space="preserve"> заходи:</w:t>
      </w:r>
    </w:p>
    <w:p w14:paraId="69999202" w14:textId="1288BE0E" w:rsidR="001E5966" w:rsidRDefault="00000000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rFonts w:eastAsiaTheme="minorHAnsi"/>
          <w:bCs w:val="0"/>
          <w:szCs w:val="28"/>
          <w:lang w:eastAsia="en-US"/>
        </w:rPr>
        <w:t xml:space="preserve">облаштування Центру управління відходами </w:t>
      </w:r>
      <w:r>
        <w:rPr>
          <w:bCs w:val="0"/>
          <w:szCs w:val="28"/>
        </w:rPr>
        <w:t xml:space="preserve"> </w:t>
      </w:r>
      <w:r>
        <w:rPr>
          <w:szCs w:val="28"/>
        </w:rPr>
        <w:t>у м. Луцьк</w:t>
      </w:r>
      <w:r w:rsidR="007B4284">
        <w:rPr>
          <w:szCs w:val="28"/>
        </w:rPr>
        <w:t>у</w:t>
      </w:r>
      <w:r>
        <w:rPr>
          <w:szCs w:val="28"/>
        </w:rPr>
        <w:t>;</w:t>
      </w:r>
    </w:p>
    <w:p w14:paraId="4383416D" w14:textId="77777777" w:rsidR="001E5966" w:rsidRDefault="00000000">
      <w:pPr>
        <w:tabs>
          <w:tab w:val="left" w:pos="993"/>
        </w:tabs>
        <w:ind w:firstLine="567"/>
        <w:jc w:val="both"/>
        <w:rPr>
          <w:bCs w:val="0"/>
          <w:szCs w:val="28"/>
        </w:rPr>
      </w:pPr>
      <w:r>
        <w:rPr>
          <w:rFonts w:eastAsiaTheme="minorHAnsi"/>
          <w:bCs w:val="0"/>
          <w:szCs w:val="28"/>
          <w:lang w:eastAsia="en-US"/>
        </w:rPr>
        <w:t xml:space="preserve">придбання мобільного </w:t>
      </w:r>
      <w:proofErr w:type="spellStart"/>
      <w:r>
        <w:rPr>
          <w:rFonts w:eastAsiaTheme="minorHAnsi"/>
          <w:bCs w:val="0"/>
          <w:szCs w:val="28"/>
          <w:lang w:eastAsia="en-US"/>
        </w:rPr>
        <w:t>низькошвидкісного</w:t>
      </w:r>
      <w:proofErr w:type="spellEnd"/>
      <w:r>
        <w:rPr>
          <w:rFonts w:eastAsiaTheme="minorHAnsi"/>
          <w:bCs w:val="0"/>
          <w:szCs w:val="28"/>
          <w:lang w:eastAsia="en-US"/>
        </w:rPr>
        <w:t xml:space="preserve"> подрібнювача</w:t>
      </w:r>
      <w:r>
        <w:rPr>
          <w:bCs w:val="0"/>
          <w:szCs w:val="28"/>
        </w:rPr>
        <w:t>;</w:t>
      </w:r>
    </w:p>
    <w:p w14:paraId="1D71BF40" w14:textId="77777777" w:rsidR="001E5966" w:rsidRDefault="00000000">
      <w:pPr>
        <w:tabs>
          <w:tab w:val="left" w:pos="993"/>
        </w:tabs>
        <w:ind w:firstLine="567"/>
        <w:jc w:val="both"/>
        <w:rPr>
          <w:bCs w:val="0"/>
          <w:szCs w:val="28"/>
        </w:rPr>
      </w:pPr>
      <w:r>
        <w:rPr>
          <w:rFonts w:eastAsiaTheme="minorHAnsi"/>
          <w:bCs w:val="0"/>
          <w:szCs w:val="28"/>
          <w:lang w:eastAsia="en-US"/>
        </w:rPr>
        <w:t xml:space="preserve">підготовчі роботи на ділянці відведеній для </w:t>
      </w:r>
      <w:r>
        <w:rPr>
          <w:bCs w:val="0"/>
          <w:szCs w:val="28"/>
          <w:shd w:val="clear" w:color="auto" w:fill="FFFFFF"/>
        </w:rPr>
        <w:t xml:space="preserve">будівництва </w:t>
      </w:r>
      <w:proofErr w:type="spellStart"/>
      <w:r>
        <w:rPr>
          <w:bCs w:val="0"/>
          <w:szCs w:val="28"/>
          <w:shd w:val="clear" w:color="auto" w:fill="FFFFFF"/>
        </w:rPr>
        <w:t>сміттєпереробного</w:t>
      </w:r>
      <w:proofErr w:type="spellEnd"/>
      <w:r>
        <w:rPr>
          <w:bCs w:val="0"/>
          <w:szCs w:val="28"/>
          <w:shd w:val="clear" w:color="auto" w:fill="FFFFFF"/>
        </w:rPr>
        <w:t xml:space="preserve"> заводу</w:t>
      </w:r>
      <w:r>
        <w:rPr>
          <w:bCs w:val="0"/>
          <w:szCs w:val="28"/>
        </w:rPr>
        <w:t>;</w:t>
      </w:r>
    </w:p>
    <w:p w14:paraId="2FC2CD1F" w14:textId="77777777" w:rsidR="001E5966" w:rsidRDefault="00000000">
      <w:pPr>
        <w:tabs>
          <w:tab w:val="left" w:pos="993"/>
        </w:tabs>
        <w:ind w:firstLine="567"/>
        <w:jc w:val="both"/>
        <w:rPr>
          <w:bCs w:val="0"/>
          <w:szCs w:val="28"/>
        </w:rPr>
      </w:pPr>
      <w:r>
        <w:rPr>
          <w:rFonts w:eastAsiaTheme="minorHAnsi"/>
          <w:bCs w:val="0"/>
          <w:szCs w:val="28"/>
          <w:lang w:eastAsia="en-US"/>
        </w:rPr>
        <w:t>поточний ремонт під’їзду до ділянки поводження з фільтратом</w:t>
      </w:r>
      <w:r>
        <w:rPr>
          <w:bCs w:val="0"/>
          <w:szCs w:val="28"/>
        </w:rPr>
        <w:t>.</w:t>
      </w:r>
    </w:p>
    <w:p w14:paraId="5F43F40E" w14:textId="77777777" w:rsidR="001E5966" w:rsidRDefault="00000000">
      <w:pPr>
        <w:tabs>
          <w:tab w:val="left" w:pos="993"/>
        </w:tabs>
        <w:ind w:firstLine="567"/>
        <w:jc w:val="both"/>
      </w:pPr>
      <w:r>
        <w:rPr>
          <w:szCs w:val="28"/>
        </w:rPr>
        <w:t>Інвестиційна програма розроблялась для реалізації заходів з оновлення основних засобів, модернізації та технічного переоснащення об'єкта оброблення побутових відходів.</w:t>
      </w:r>
    </w:p>
    <w:p w14:paraId="4CF6961A" w14:textId="77777777" w:rsidR="001E5966" w:rsidRDefault="00000000">
      <w:pPr>
        <w:pStyle w:val="af"/>
        <w:tabs>
          <w:tab w:val="left" w:pos="993"/>
        </w:tabs>
        <w:ind w:firstLine="567"/>
        <w:jc w:val="both"/>
        <w:rPr>
          <w:lang w:val="uk-UA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lastRenderedPageBreak/>
        <w:t>В умовах сучасної екологічної стратегії важливо зменшити кількість відходів, які надходять на полігон, шляхом збільшення обсягів відсортовування окремих фракцій для повторної переробки та повторного використання  відходів.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AE93532" w14:textId="77777777" w:rsidR="001E5966" w:rsidRDefault="00000000">
      <w:pPr>
        <w:tabs>
          <w:tab w:val="left" w:pos="993"/>
        </w:tabs>
        <w:ind w:firstLine="567"/>
        <w:jc w:val="both"/>
      </w:pPr>
      <w:r>
        <w:rPr>
          <w:rFonts w:eastAsiaTheme="minorHAnsi"/>
          <w:szCs w:val="28"/>
          <w:lang w:eastAsia="en-US"/>
        </w:rPr>
        <w:t>Окупність заходів не може визначитись безпосередньо, так як фінансування заходу має розглядатись як використання амортизації та виробничих інвестицій з прибутку.</w:t>
      </w:r>
    </w:p>
    <w:p w14:paraId="4FAA7928" w14:textId="77777777" w:rsidR="001E5966" w:rsidRDefault="001E5966"/>
    <w:p w14:paraId="59F6E3FF" w14:textId="77777777" w:rsidR="001E5966" w:rsidRDefault="001E5966"/>
    <w:p w14:paraId="6F95A020" w14:textId="77777777" w:rsidR="001E5966" w:rsidRDefault="00000000">
      <w:r>
        <w:rPr>
          <w:bCs w:val="0"/>
          <w:color w:val="000000"/>
          <w:szCs w:val="28"/>
        </w:rPr>
        <w:t>Д</w:t>
      </w:r>
      <w:r>
        <w:rPr>
          <w:color w:val="000000"/>
          <w:szCs w:val="28"/>
        </w:rPr>
        <w:t xml:space="preserve">иректор департаменту </w:t>
      </w:r>
    </w:p>
    <w:p w14:paraId="5A2CDA71" w14:textId="77777777" w:rsidR="001E5966" w:rsidRDefault="00000000">
      <w:pPr>
        <w:jc w:val="both"/>
      </w:pPr>
      <w:r>
        <w:rPr>
          <w:color w:val="000000"/>
          <w:szCs w:val="28"/>
        </w:rPr>
        <w:t>економічної політ</w:t>
      </w:r>
      <w:r>
        <w:rPr>
          <w:szCs w:val="28"/>
        </w:rPr>
        <w:t xml:space="preserve">ики                                                                        Борис СМАЛЬ </w:t>
      </w:r>
    </w:p>
    <w:p w14:paraId="05C513C5" w14:textId="77777777" w:rsidR="001E5966" w:rsidRDefault="001E5966">
      <w:pPr>
        <w:ind w:firstLine="284"/>
        <w:jc w:val="both"/>
      </w:pPr>
    </w:p>
    <w:sectPr w:rsidR="001E5966" w:rsidSect="007B4284">
      <w:headerReference w:type="default" r:id="rId7"/>
      <w:pgSz w:w="11906" w:h="16838"/>
      <w:pgMar w:top="567" w:right="567" w:bottom="1134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D3E5A" w14:textId="77777777" w:rsidR="00F67002" w:rsidRDefault="00F67002" w:rsidP="007B4284">
      <w:r>
        <w:separator/>
      </w:r>
    </w:p>
  </w:endnote>
  <w:endnote w:type="continuationSeparator" w:id="0">
    <w:p w14:paraId="03A0D04F" w14:textId="77777777" w:rsidR="00F67002" w:rsidRDefault="00F67002" w:rsidP="007B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0DA29" w14:textId="77777777" w:rsidR="00F67002" w:rsidRDefault="00F67002" w:rsidP="007B4284">
      <w:r>
        <w:separator/>
      </w:r>
    </w:p>
  </w:footnote>
  <w:footnote w:type="continuationSeparator" w:id="0">
    <w:p w14:paraId="19917B89" w14:textId="77777777" w:rsidR="00F67002" w:rsidRDefault="00F67002" w:rsidP="007B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286081"/>
      <w:docPartObj>
        <w:docPartGallery w:val="Page Numbers (Top of Page)"/>
        <w:docPartUnique/>
      </w:docPartObj>
    </w:sdtPr>
    <w:sdtContent>
      <w:p w14:paraId="59D76C95" w14:textId="77777777" w:rsidR="007B4284" w:rsidRDefault="007B4284">
        <w:pPr>
          <w:pStyle w:val="a6"/>
          <w:jc w:val="center"/>
        </w:pPr>
      </w:p>
      <w:p w14:paraId="2A3F5683" w14:textId="3848BF15" w:rsidR="007B4284" w:rsidRDefault="007B428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25A070" w14:textId="77777777" w:rsidR="007B4284" w:rsidRDefault="007B428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966"/>
    <w:rsid w:val="001E5966"/>
    <w:rsid w:val="002C3061"/>
    <w:rsid w:val="006367FF"/>
    <w:rsid w:val="007B4284"/>
    <w:rsid w:val="00BE4390"/>
    <w:rsid w:val="00D243B2"/>
    <w:rsid w:val="00EF0D38"/>
    <w:rsid w:val="00F6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10D4A"/>
  <w15:docId w15:val="{328B93E0-F4F8-43C7-A797-154D3318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1" w:semiHidden="1" w:uiPriority="0" w:unhideWhenUsed="1"/>
    <w:lsdException w:name="HTML Typewriter" w:semiHidden="1" w:unhideWhenUsed="1"/>
    <w:lsdException w:name="HTML Variable" w:locked="1" w:semiHidden="1" w:uiPriority="0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semiHidden="1" w:uiPriority="0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5B0EA8"/>
    <w:rPr>
      <w:rFonts w:asciiTheme="majorHAnsi" w:eastAsiaTheme="majorEastAsia" w:hAnsiTheme="majorHAnsi" w:cstheme="majorBidi"/>
      <w:b/>
      <w:bCs/>
      <w:kern w:val="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5B0EA8"/>
    <w:rPr>
      <w:rFonts w:asciiTheme="majorHAnsi" w:eastAsiaTheme="majorEastAsia" w:hAnsiTheme="majorHAnsi" w:cstheme="majorBidi"/>
      <w:b/>
      <w:bCs/>
      <w:i/>
      <w:iCs/>
      <w:sz w:val="28"/>
      <w:szCs w:val="28"/>
      <w:lang w:val="uk-UA"/>
    </w:rPr>
  </w:style>
  <w:style w:type="character" w:customStyle="1" w:styleId="a3">
    <w:name w:val="Текст у виносці Знак"/>
    <w:basedOn w:val="a0"/>
    <w:link w:val="a4"/>
    <w:uiPriority w:val="99"/>
    <w:semiHidden/>
    <w:qFormat/>
    <w:locked/>
    <w:rsid w:val="00B662EE"/>
    <w:rPr>
      <w:rFonts w:ascii="Segoe UI" w:hAnsi="Segoe UI"/>
      <w:sz w:val="18"/>
      <w:lang w:eastAsia="ru-RU"/>
    </w:rPr>
  </w:style>
  <w:style w:type="character" w:customStyle="1" w:styleId="a5">
    <w:name w:val="Верхній колонтитул Знак"/>
    <w:basedOn w:val="a0"/>
    <w:link w:val="a6"/>
    <w:uiPriority w:val="99"/>
    <w:qFormat/>
    <w:rsid w:val="00E1598C"/>
    <w:rPr>
      <w:bCs/>
      <w:sz w:val="28"/>
      <w:szCs w:val="24"/>
      <w:lang w:val="uk-UA"/>
    </w:rPr>
  </w:style>
  <w:style w:type="character" w:customStyle="1" w:styleId="a7">
    <w:name w:val="Нижній колонтитул Знак"/>
    <w:basedOn w:val="a0"/>
    <w:link w:val="a8"/>
    <w:uiPriority w:val="99"/>
    <w:qFormat/>
    <w:rsid w:val="00E1598C"/>
    <w:rPr>
      <w:bCs/>
      <w:sz w:val="28"/>
      <w:szCs w:val="24"/>
      <w:lang w:val="uk-UA"/>
    </w:rPr>
  </w:style>
  <w:style w:type="character" w:customStyle="1" w:styleId="fontstyle01">
    <w:name w:val="fontstyle01"/>
    <w:basedOn w:val="a0"/>
    <w:qFormat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Style11">
    <w:name w:val="Style11"/>
    <w:basedOn w:val="a"/>
    <w:uiPriority w:val="99"/>
    <w:qFormat/>
    <w:rsid w:val="007E2C9F"/>
    <w:pPr>
      <w:widowControl w:val="0"/>
      <w:spacing w:line="322" w:lineRule="exact"/>
      <w:ind w:firstLine="912"/>
    </w:pPr>
    <w:rPr>
      <w:bCs w:val="0"/>
      <w:sz w:val="24"/>
      <w:lang w:eastAsia="uk-UA"/>
    </w:rPr>
  </w:style>
  <w:style w:type="paragraph" w:styleId="a4">
    <w:name w:val="Balloon Text"/>
    <w:basedOn w:val="a"/>
    <w:link w:val="a3"/>
    <w:uiPriority w:val="99"/>
    <w:semiHidden/>
    <w:qFormat/>
    <w:rsid w:val="00B662EE"/>
    <w:rPr>
      <w:rFonts w:ascii="Segoe UI" w:hAnsi="Segoe UI"/>
      <w:sz w:val="18"/>
      <w:szCs w:val="18"/>
      <w:lang w:val="ru-RU"/>
    </w:r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unhideWhenUsed/>
    <w:rsid w:val="00E1598C"/>
    <w:pPr>
      <w:tabs>
        <w:tab w:val="center" w:pos="4844"/>
        <w:tab w:val="right" w:pos="9689"/>
      </w:tabs>
    </w:pPr>
  </w:style>
  <w:style w:type="paragraph" w:styleId="a8">
    <w:name w:val="footer"/>
    <w:basedOn w:val="a"/>
    <w:link w:val="a7"/>
    <w:uiPriority w:val="99"/>
    <w:unhideWhenUsed/>
    <w:rsid w:val="00E1598C"/>
    <w:pPr>
      <w:tabs>
        <w:tab w:val="center" w:pos="4844"/>
        <w:tab w:val="right" w:pos="9689"/>
      </w:tabs>
    </w:pPr>
  </w:style>
  <w:style w:type="paragraph" w:styleId="af">
    <w:name w:val="No Spacing"/>
    <w:qFormat/>
    <w:pPr>
      <w:widowControl w:val="0"/>
      <w:textAlignment w:val="center"/>
    </w:pPr>
    <w:rPr>
      <w:rFonts w:ascii="Calibri" w:eastAsiaTheme="minorEastAsia" w:hAnsi="Calibri" w:cs="Calibri"/>
      <w:color w:val="000000"/>
      <w:sz w:val="22"/>
      <w:lang w:eastAsia="uk-UA"/>
    </w:rPr>
  </w:style>
  <w:style w:type="paragraph" w:customStyle="1" w:styleId="msonormalcxspmiddle">
    <w:name w:val="msonormalcxspmiddle"/>
    <w:basedOn w:val="a"/>
    <w:qFormat/>
    <w:pPr>
      <w:suppressAutoHyphens w:val="0"/>
      <w:spacing w:beforeAutospacing="1" w:afterAutospacing="1"/>
    </w:pPr>
    <w:rPr>
      <w:sz w:val="24"/>
      <w:lang w:val="ru-RU"/>
    </w:rPr>
  </w:style>
  <w:style w:type="paragraph" w:styleId="af0">
    <w:name w:val="List Bullet"/>
    <w:basedOn w:val="a"/>
    <w:qFormat/>
    <w:pPr>
      <w:spacing w:after="200"/>
      <w:contextualSpacing/>
    </w:pPr>
  </w:style>
  <w:style w:type="paragraph" w:customStyle="1" w:styleId="Default">
    <w:name w:val="Default"/>
    <w:qFormat/>
    <w:rPr>
      <w:color w:val="000000"/>
      <w:sz w:val="24"/>
      <w:szCs w:val="24"/>
    </w:rPr>
  </w:style>
  <w:style w:type="table" w:styleId="af1">
    <w:name w:val="Table Grid"/>
    <w:basedOn w:val="a1"/>
    <w:uiPriority w:val="99"/>
    <w:rsid w:val="00A30D1A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A5B7B-F426-4810-AA42-E318CE11F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2054</Words>
  <Characters>1172</Characters>
  <Application>Microsoft Office Word</Application>
  <DocSecurity>0</DocSecurity>
  <Lines>9</Lines>
  <Paragraphs>6</Paragraphs>
  <ScaleCrop>false</ScaleCrop>
  <Company>ASU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25</cp:revision>
  <cp:lastPrinted>2023-08-04T06:00:00Z</cp:lastPrinted>
  <dcterms:created xsi:type="dcterms:W3CDTF">2023-07-31T07:44:00Z</dcterms:created>
  <dcterms:modified xsi:type="dcterms:W3CDTF">2025-07-01T06:49:00Z</dcterms:modified>
  <dc:language>uk-UA</dc:language>
</cp:coreProperties>
</file>