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</w:p>
    <w:p w:rsidR="005B7450" w:rsidRPr="007C0384" w:rsidRDefault="005B7450" w:rsidP="005B7450">
      <w:pPr>
        <w:jc w:val="center"/>
        <w:rPr>
          <w:b/>
          <w:sz w:val="28"/>
          <w:szCs w:val="28"/>
          <w:lang w:val="uk-UA"/>
        </w:rPr>
      </w:pPr>
      <w:r w:rsidRPr="007C0384">
        <w:rPr>
          <w:b/>
          <w:sz w:val="28"/>
          <w:szCs w:val="28"/>
          <w:lang w:val="uk-UA"/>
        </w:rPr>
        <w:t>«</w:t>
      </w:r>
      <w:r w:rsidR="007C0384" w:rsidRPr="007C0384">
        <w:rPr>
          <w:b/>
          <w:spacing w:val="-6"/>
          <w:sz w:val="28"/>
          <w:szCs w:val="28"/>
          <w:lang w:val="uk-UA"/>
        </w:rPr>
        <w:t xml:space="preserve">Про </w:t>
      </w:r>
      <w:r w:rsidR="00C7238D" w:rsidRPr="00C7238D">
        <w:rPr>
          <w:b/>
          <w:spacing w:val="-6"/>
          <w:sz w:val="28"/>
          <w:szCs w:val="28"/>
          <w:lang w:val="uk-UA"/>
        </w:rPr>
        <w:t xml:space="preserve">надання дозволу на розроблення </w:t>
      </w:r>
      <w:proofErr w:type="spellStart"/>
      <w:r w:rsidR="00C7238D" w:rsidRPr="00C7238D">
        <w:rPr>
          <w:b/>
          <w:spacing w:val="-6"/>
          <w:sz w:val="28"/>
          <w:szCs w:val="28"/>
          <w:lang w:val="uk-UA"/>
        </w:rPr>
        <w:t>проєкту</w:t>
      </w:r>
      <w:proofErr w:type="spellEnd"/>
      <w:r w:rsidR="00C7238D" w:rsidRPr="00C7238D">
        <w:rPr>
          <w:b/>
          <w:spacing w:val="-6"/>
          <w:sz w:val="28"/>
          <w:szCs w:val="28"/>
          <w:lang w:val="uk-UA"/>
        </w:rPr>
        <w:t xml:space="preserve"> детального плану території в межах автошляху М19 та вулиці Тракторна в селі Озерце Луцького району Волинської області</w:t>
      </w:r>
      <w:r w:rsidRPr="007C0384">
        <w:rPr>
          <w:b/>
          <w:sz w:val="28"/>
          <w:szCs w:val="28"/>
          <w:lang w:val="uk-UA"/>
        </w:rPr>
        <w:t>»</w:t>
      </w:r>
    </w:p>
    <w:p w:rsidR="005B7450" w:rsidRPr="007C0384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C7238D" w:rsidRDefault="00C7238D" w:rsidP="00C7238D">
      <w:pPr>
        <w:pStyle w:val="a6"/>
        <w:ind w:left="0" w:right="10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 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 xml:space="preserve">міської територіальної громади» забудова земельної ділянки можлива лише у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C7238D" w:rsidRDefault="00C7238D" w:rsidP="00C7238D">
      <w:pPr>
        <w:pStyle w:val="a6"/>
        <w:ind w:left="0" w:right="104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«Детальний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 w:rsidRPr="00C7238D">
        <w:t>в межах автошляху М19 та вулиці Тракторна в селі Озерце Луцького району Волинської області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>
        <w:t>територіальної громади після 24.07.2021, враховуючи звернення Кушніра Ігор</w:t>
      </w:r>
      <w:r w:rsidR="006063C3">
        <w:t>я</w:t>
      </w:r>
      <w:bookmarkStart w:id="0" w:name="_GoBack"/>
      <w:bookmarkEnd w:id="0"/>
      <w:r>
        <w:t xml:space="preserve"> Миколайовича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22703D" w:rsidRDefault="0022703D" w:rsidP="00F640D7">
      <w:pPr>
        <w:ind w:firstLine="567"/>
        <w:jc w:val="both"/>
        <w:rPr>
          <w:rFonts w:ascii="Roboto-Light" w:hAnsi="Roboto-Light"/>
          <w:sz w:val="28"/>
          <w:szCs w:val="28"/>
          <w:shd w:val="clear" w:color="auto" w:fill="FFFFFF"/>
          <w:lang w:val="uk-UA"/>
        </w:rPr>
      </w:pPr>
    </w:p>
    <w:p w:rsidR="00663E4A" w:rsidRDefault="00663E4A" w:rsidP="00F640D7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663E4A" w:rsidRPr="0022703D" w:rsidRDefault="00663E4A" w:rsidP="00B60C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дозвол</w:t>
      </w:r>
      <w:r w:rsidR="00B60C11">
        <w:rPr>
          <w:sz w:val="28"/>
          <w:szCs w:val="28"/>
          <w:lang w:val="uk-UA"/>
        </w:rPr>
        <w:t>ить</w:t>
      </w:r>
      <w:r>
        <w:rPr>
          <w:sz w:val="28"/>
          <w:szCs w:val="28"/>
          <w:lang w:val="uk-UA"/>
        </w:rPr>
        <w:t xml:space="preserve"> </w:t>
      </w:r>
      <w:r w:rsidR="00BB39E0">
        <w:rPr>
          <w:sz w:val="28"/>
          <w:szCs w:val="28"/>
          <w:lang w:val="uk-UA"/>
        </w:rPr>
        <w:t>визначити розподіл території</w:t>
      </w:r>
      <w:r w:rsidR="00BB39E0" w:rsidRPr="00BB39E0">
        <w:rPr>
          <w:sz w:val="28"/>
          <w:szCs w:val="28"/>
          <w:lang w:val="uk-UA"/>
        </w:rPr>
        <w:t xml:space="preserve"> згідно з будівельними нормами відповідно до генеральн</w:t>
      </w:r>
      <w:r w:rsidR="00BB39E0">
        <w:rPr>
          <w:sz w:val="28"/>
          <w:szCs w:val="28"/>
          <w:lang w:val="uk-UA"/>
        </w:rPr>
        <w:t>ого</w:t>
      </w:r>
      <w:r w:rsidR="00BB39E0" w:rsidRPr="00BB39E0">
        <w:rPr>
          <w:sz w:val="28"/>
          <w:szCs w:val="28"/>
          <w:lang w:val="uk-UA"/>
        </w:rPr>
        <w:t xml:space="preserve"> план</w:t>
      </w:r>
      <w:r w:rsidR="00BB39E0">
        <w:rPr>
          <w:sz w:val="28"/>
          <w:szCs w:val="28"/>
          <w:lang w:val="uk-UA"/>
        </w:rPr>
        <w:t>у села Озерце</w:t>
      </w:r>
      <w:r w:rsidR="00BB39E0" w:rsidRPr="00BB39E0">
        <w:rPr>
          <w:sz w:val="28"/>
          <w:szCs w:val="28"/>
          <w:lang w:val="uk-UA"/>
        </w:rPr>
        <w:t xml:space="preserve"> функціонального призначення, режиму та параметрів забудови території</w:t>
      </w:r>
      <w:r w:rsidR="00BB39E0">
        <w:rPr>
          <w:sz w:val="28"/>
          <w:szCs w:val="28"/>
          <w:lang w:val="uk-UA"/>
        </w:rPr>
        <w:t xml:space="preserve"> і </w:t>
      </w:r>
      <w:r w:rsidR="00BB39E0" w:rsidRPr="00BB39E0">
        <w:rPr>
          <w:sz w:val="28"/>
          <w:szCs w:val="28"/>
          <w:lang w:val="uk-UA"/>
        </w:rPr>
        <w:t>деталіз</w:t>
      </w:r>
      <w:r w:rsidR="00BB39E0">
        <w:rPr>
          <w:sz w:val="28"/>
          <w:szCs w:val="28"/>
          <w:lang w:val="uk-UA"/>
        </w:rPr>
        <w:t>увати планувальну</w:t>
      </w:r>
      <w:r w:rsidR="00BB39E0" w:rsidRPr="00BB39E0">
        <w:rPr>
          <w:sz w:val="28"/>
          <w:szCs w:val="28"/>
          <w:lang w:val="uk-UA"/>
        </w:rPr>
        <w:t xml:space="preserve"> структур</w:t>
      </w:r>
      <w:r w:rsidR="00BB39E0">
        <w:rPr>
          <w:sz w:val="28"/>
          <w:szCs w:val="28"/>
          <w:lang w:val="uk-UA"/>
        </w:rPr>
        <w:t>у</w:t>
      </w:r>
      <w:r w:rsidR="00BB39E0" w:rsidRPr="00BB39E0">
        <w:rPr>
          <w:sz w:val="28"/>
          <w:szCs w:val="28"/>
          <w:lang w:val="uk-UA"/>
        </w:rPr>
        <w:t xml:space="preserve"> території,</w:t>
      </w:r>
      <w:r w:rsidR="00BB39E0">
        <w:rPr>
          <w:sz w:val="28"/>
          <w:szCs w:val="28"/>
          <w:lang w:val="uk-UA"/>
        </w:rPr>
        <w:t xml:space="preserve"> просторової</w:t>
      </w:r>
      <w:r w:rsidR="00BB39E0" w:rsidRPr="00BB39E0">
        <w:rPr>
          <w:sz w:val="28"/>
          <w:szCs w:val="28"/>
          <w:lang w:val="uk-UA"/>
        </w:rPr>
        <w:t>, параметр</w:t>
      </w:r>
      <w:r w:rsidR="00BB39E0">
        <w:rPr>
          <w:sz w:val="28"/>
          <w:szCs w:val="28"/>
          <w:lang w:val="uk-UA"/>
        </w:rPr>
        <w:t>и</w:t>
      </w:r>
      <w:r w:rsidR="00BB39E0" w:rsidRPr="00BB39E0">
        <w:rPr>
          <w:sz w:val="28"/>
          <w:szCs w:val="28"/>
          <w:lang w:val="uk-UA"/>
        </w:rPr>
        <w:t xml:space="preserve"> забудови частини території </w:t>
      </w:r>
      <w:r w:rsidR="00BB39E0">
        <w:rPr>
          <w:sz w:val="28"/>
          <w:szCs w:val="28"/>
          <w:lang w:val="uk-UA"/>
        </w:rPr>
        <w:t xml:space="preserve">даного </w:t>
      </w:r>
      <w:r w:rsidR="00BB39E0" w:rsidRPr="00BB39E0">
        <w:rPr>
          <w:sz w:val="28"/>
          <w:szCs w:val="28"/>
          <w:lang w:val="uk-UA"/>
        </w:rPr>
        <w:t>населен</w:t>
      </w:r>
      <w:r w:rsidR="00BB39E0">
        <w:rPr>
          <w:sz w:val="28"/>
          <w:szCs w:val="28"/>
          <w:lang w:val="uk-UA"/>
        </w:rPr>
        <w:t>ого</w:t>
      </w:r>
      <w:r w:rsidR="00BB39E0" w:rsidRPr="00BB39E0">
        <w:rPr>
          <w:sz w:val="28"/>
          <w:szCs w:val="28"/>
          <w:lang w:val="uk-UA"/>
        </w:rPr>
        <w:t xml:space="preserve"> пункт</w:t>
      </w:r>
      <w:r w:rsidR="00BB39E0">
        <w:rPr>
          <w:sz w:val="28"/>
          <w:szCs w:val="28"/>
          <w:lang w:val="uk-UA"/>
        </w:rPr>
        <w:t>у.</w:t>
      </w:r>
      <w:r w:rsidR="00BB39E0" w:rsidRPr="00BB39E0">
        <w:rPr>
          <w:sz w:val="28"/>
          <w:szCs w:val="28"/>
          <w:lang w:val="uk-UA"/>
        </w:rPr>
        <w:t xml:space="preserve"> </w:t>
      </w: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rPr>
          <w:sz w:val="28"/>
          <w:szCs w:val="28"/>
          <w:lang w:val="uk-UA"/>
        </w:rPr>
      </w:pPr>
    </w:p>
    <w:p w:rsidR="00663E4A" w:rsidRDefault="00663E4A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містобудування,</w:t>
      </w:r>
    </w:p>
    <w:p w:rsidR="00663E4A" w:rsidRPr="002E5564" w:rsidRDefault="00663E4A" w:rsidP="00663E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ресурсів та реклами                                                       Веніамін ТУЗ</w:t>
      </w:r>
    </w:p>
    <w:p w:rsidR="005B7450" w:rsidRDefault="005B7450" w:rsidP="00663E4A">
      <w:pPr>
        <w:ind w:firstLine="851"/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06ED7"/>
    <w:rsid w:val="000423DE"/>
    <w:rsid w:val="0005348D"/>
    <w:rsid w:val="00087E9A"/>
    <w:rsid w:val="000E08FD"/>
    <w:rsid w:val="001524D3"/>
    <w:rsid w:val="001A39F5"/>
    <w:rsid w:val="002133CF"/>
    <w:rsid w:val="0022703D"/>
    <w:rsid w:val="00293711"/>
    <w:rsid w:val="002B019C"/>
    <w:rsid w:val="002D35BB"/>
    <w:rsid w:val="0031240C"/>
    <w:rsid w:val="00360CE3"/>
    <w:rsid w:val="00372860"/>
    <w:rsid w:val="003C07D6"/>
    <w:rsid w:val="003C378E"/>
    <w:rsid w:val="003D407F"/>
    <w:rsid w:val="003F2837"/>
    <w:rsid w:val="003F3198"/>
    <w:rsid w:val="004520F6"/>
    <w:rsid w:val="00486E71"/>
    <w:rsid w:val="004E69A9"/>
    <w:rsid w:val="005665E0"/>
    <w:rsid w:val="00580FEB"/>
    <w:rsid w:val="0059196B"/>
    <w:rsid w:val="005A7111"/>
    <w:rsid w:val="005B7450"/>
    <w:rsid w:val="005F3FEA"/>
    <w:rsid w:val="005F7634"/>
    <w:rsid w:val="006063C3"/>
    <w:rsid w:val="0061071C"/>
    <w:rsid w:val="00610FD4"/>
    <w:rsid w:val="00624E32"/>
    <w:rsid w:val="00625389"/>
    <w:rsid w:val="006364E7"/>
    <w:rsid w:val="00640135"/>
    <w:rsid w:val="00663E4A"/>
    <w:rsid w:val="006F3AB7"/>
    <w:rsid w:val="00745A11"/>
    <w:rsid w:val="00785AA6"/>
    <w:rsid w:val="007B21D9"/>
    <w:rsid w:val="007C0384"/>
    <w:rsid w:val="007D717F"/>
    <w:rsid w:val="007F6360"/>
    <w:rsid w:val="00815560"/>
    <w:rsid w:val="00816AC8"/>
    <w:rsid w:val="00874C9D"/>
    <w:rsid w:val="008E12C4"/>
    <w:rsid w:val="00975DFF"/>
    <w:rsid w:val="0098619D"/>
    <w:rsid w:val="009871FE"/>
    <w:rsid w:val="00987B8A"/>
    <w:rsid w:val="009B31F9"/>
    <w:rsid w:val="00A80504"/>
    <w:rsid w:val="00A92A70"/>
    <w:rsid w:val="00B60C11"/>
    <w:rsid w:val="00B637CC"/>
    <w:rsid w:val="00B85989"/>
    <w:rsid w:val="00BB39E0"/>
    <w:rsid w:val="00BD78D0"/>
    <w:rsid w:val="00C63262"/>
    <w:rsid w:val="00C7238D"/>
    <w:rsid w:val="00C80A9E"/>
    <w:rsid w:val="00CE1540"/>
    <w:rsid w:val="00CF3C71"/>
    <w:rsid w:val="00D50E8A"/>
    <w:rsid w:val="00D77CDB"/>
    <w:rsid w:val="00DA14E7"/>
    <w:rsid w:val="00DA2CE0"/>
    <w:rsid w:val="00DF205A"/>
    <w:rsid w:val="00E934FD"/>
    <w:rsid w:val="00EA4211"/>
    <w:rsid w:val="00EB5826"/>
    <w:rsid w:val="00EB772E"/>
    <w:rsid w:val="00EE0E61"/>
    <w:rsid w:val="00F06F6B"/>
    <w:rsid w:val="00F31837"/>
    <w:rsid w:val="00F466F5"/>
    <w:rsid w:val="00F640D7"/>
    <w:rsid w:val="00F650FF"/>
    <w:rsid w:val="00F663AA"/>
    <w:rsid w:val="00F84DAD"/>
    <w:rsid w:val="00F94749"/>
    <w:rsid w:val="00FC01EA"/>
    <w:rsid w:val="00FC1B49"/>
    <w:rsid w:val="00FC3C61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0ED34"/>
  <w15:chartTrackingRefBased/>
  <w15:docId w15:val="{9C20BB7F-649C-4671-AB10-8226568A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uiPriority w:val="1"/>
    <w:unhideWhenUsed/>
    <w:qFormat/>
    <w:rsid w:val="00C7238D"/>
    <w:pPr>
      <w:widowControl w:val="0"/>
      <w:autoSpaceDE w:val="0"/>
      <w:autoSpaceDN w:val="0"/>
      <w:ind w:left="300"/>
      <w:jc w:val="both"/>
    </w:pPr>
    <w:rPr>
      <w:sz w:val="28"/>
      <w:szCs w:val="28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C7238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42D10-719E-40BA-AFC5-836BD281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186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22</cp:revision>
  <cp:lastPrinted>2023-01-10T15:14:00Z</cp:lastPrinted>
  <dcterms:created xsi:type="dcterms:W3CDTF">2021-11-03T08:53:00Z</dcterms:created>
  <dcterms:modified xsi:type="dcterms:W3CDTF">2025-07-09T13:47:00Z</dcterms:modified>
</cp:coreProperties>
</file>