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5737" w14:textId="77777777" w:rsidR="00BC3E15" w:rsidRPr="00474EC8" w:rsidRDefault="00BC3E15" w:rsidP="004C75CC">
      <w:pPr>
        <w:pStyle w:val="a5"/>
        <w:ind w:left="10773"/>
        <w:rPr>
          <w:lang w:val="ru-RU"/>
        </w:rPr>
      </w:pPr>
      <w:r>
        <w:t xml:space="preserve">Додаток </w:t>
      </w:r>
    </w:p>
    <w:p w14:paraId="5F2BC926" w14:textId="0DFB63AF" w:rsidR="00E25CA5" w:rsidRPr="00A13D95" w:rsidRDefault="00BC3E15" w:rsidP="004C75CC">
      <w:pPr>
        <w:pStyle w:val="a5"/>
        <w:ind w:left="10773"/>
        <w:rPr>
          <w:sz w:val="18"/>
          <w:szCs w:val="18"/>
        </w:rPr>
      </w:pPr>
      <w:r>
        <w:t>до розпорядження міського голови _____________</w:t>
      </w:r>
      <w:r w:rsidR="002D5C06">
        <w:t>__</w:t>
      </w:r>
      <w:r>
        <w:t>__ №______</w:t>
      </w:r>
      <w:r w:rsidR="002D5C06">
        <w:t>_</w:t>
      </w:r>
      <w:r>
        <w:t>___</w:t>
      </w:r>
    </w:p>
    <w:p w14:paraId="2DD08D6C" w14:textId="77777777" w:rsidR="0047061A" w:rsidRPr="00D251E3" w:rsidRDefault="0047061A" w:rsidP="00E25CA5">
      <w:pPr>
        <w:pStyle w:val="a5"/>
        <w:ind w:left="6120"/>
        <w:jc w:val="center"/>
      </w:pPr>
    </w:p>
    <w:p w14:paraId="34CE412D" w14:textId="77777777" w:rsidR="004C75CC" w:rsidRPr="00D251E3" w:rsidRDefault="004C75CC" w:rsidP="00E25CA5">
      <w:pPr>
        <w:pStyle w:val="a5"/>
        <w:ind w:left="6120"/>
        <w:jc w:val="center"/>
      </w:pPr>
    </w:p>
    <w:p w14:paraId="67A72620" w14:textId="77777777" w:rsidR="00E25CA5" w:rsidRPr="00D251E3" w:rsidRDefault="0047061A" w:rsidP="00E25CA5">
      <w:pPr>
        <w:pStyle w:val="a3"/>
        <w:spacing w:after="0" w:line="240" w:lineRule="auto"/>
        <w:jc w:val="center"/>
        <w:rPr>
          <w:szCs w:val="28"/>
          <w:lang w:val="uk-UA"/>
        </w:rPr>
      </w:pPr>
      <w:r w:rsidRPr="00D251E3">
        <w:rPr>
          <w:szCs w:val="28"/>
          <w:lang w:val="uk-UA"/>
        </w:rPr>
        <w:t xml:space="preserve">План заходів з реалізації </w:t>
      </w:r>
      <w:r w:rsidR="00E25CA5" w:rsidRPr="00D251E3">
        <w:rPr>
          <w:szCs w:val="28"/>
          <w:lang w:val="uk-UA"/>
        </w:rPr>
        <w:t xml:space="preserve">Національної стратегії зі створення </w:t>
      </w:r>
      <w:proofErr w:type="spellStart"/>
      <w:r w:rsidR="00E25CA5" w:rsidRPr="00D251E3">
        <w:rPr>
          <w:szCs w:val="28"/>
          <w:lang w:val="uk-UA"/>
        </w:rPr>
        <w:t>безбар’єрного</w:t>
      </w:r>
      <w:proofErr w:type="spellEnd"/>
      <w:r w:rsidR="00E25CA5" w:rsidRPr="00D251E3">
        <w:rPr>
          <w:szCs w:val="28"/>
          <w:lang w:val="uk-UA"/>
        </w:rPr>
        <w:t xml:space="preserve"> простору </w:t>
      </w:r>
    </w:p>
    <w:p w14:paraId="126E7E1B" w14:textId="77777777" w:rsidR="00E25CA5" w:rsidRPr="00D251E3" w:rsidRDefault="00E25CA5" w:rsidP="00E25CA5">
      <w:pPr>
        <w:pStyle w:val="a3"/>
        <w:spacing w:after="0" w:line="240" w:lineRule="auto"/>
        <w:jc w:val="center"/>
        <w:rPr>
          <w:szCs w:val="28"/>
          <w:lang w:val="ru-RU"/>
        </w:rPr>
      </w:pPr>
      <w:r w:rsidRPr="00D251E3">
        <w:rPr>
          <w:szCs w:val="28"/>
          <w:lang w:val="uk-UA"/>
        </w:rPr>
        <w:t>в Луцькій міській територіальній громаді</w:t>
      </w:r>
      <w:r w:rsidR="0025561F" w:rsidRPr="00D251E3">
        <w:rPr>
          <w:szCs w:val="28"/>
          <w:lang w:val="uk-UA"/>
        </w:rPr>
        <w:t xml:space="preserve"> на 202</w:t>
      </w:r>
      <w:r w:rsidR="00D40479" w:rsidRPr="00D251E3">
        <w:rPr>
          <w:szCs w:val="28"/>
          <w:lang w:val="uk-UA"/>
        </w:rPr>
        <w:t>5</w:t>
      </w:r>
      <w:r w:rsidR="0025561F" w:rsidRPr="00D251E3">
        <w:rPr>
          <w:szCs w:val="28"/>
          <w:lang w:val="uk-UA"/>
        </w:rPr>
        <w:t>–</w:t>
      </w:r>
      <w:r w:rsidR="00773793" w:rsidRPr="00D251E3">
        <w:rPr>
          <w:szCs w:val="28"/>
          <w:lang w:val="uk-UA"/>
        </w:rPr>
        <w:t>202</w:t>
      </w:r>
      <w:r w:rsidR="00D40479" w:rsidRPr="00D251E3">
        <w:rPr>
          <w:szCs w:val="28"/>
          <w:lang w:val="uk-UA"/>
        </w:rPr>
        <w:t>6</w:t>
      </w:r>
      <w:r w:rsidR="00773793" w:rsidRPr="00D251E3">
        <w:rPr>
          <w:szCs w:val="28"/>
          <w:lang w:val="uk-UA"/>
        </w:rPr>
        <w:t xml:space="preserve"> роки</w:t>
      </w:r>
    </w:p>
    <w:p w14:paraId="33E89B8A" w14:textId="77777777" w:rsidR="00F70F2E" w:rsidRPr="00D251E3" w:rsidRDefault="00F70F2E" w:rsidP="00E25CA5">
      <w:pPr>
        <w:pStyle w:val="a3"/>
        <w:spacing w:after="0" w:line="240" w:lineRule="auto"/>
        <w:jc w:val="center"/>
        <w:rPr>
          <w:szCs w:val="28"/>
          <w:lang w:val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685"/>
        <w:gridCol w:w="7088"/>
        <w:gridCol w:w="1275"/>
        <w:gridCol w:w="3261"/>
      </w:tblGrid>
      <w:tr w:rsidR="0047061A" w:rsidRPr="00D251E3" w14:paraId="45B04F1A" w14:textId="77777777" w:rsidTr="002D5C06">
        <w:trPr>
          <w:cantSplit/>
          <w:trHeight w:val="591"/>
        </w:trPr>
        <w:tc>
          <w:tcPr>
            <w:tcW w:w="426" w:type="dxa"/>
            <w:vMerge w:val="restart"/>
            <w:vAlign w:val="center"/>
          </w:tcPr>
          <w:p w14:paraId="7DA3CCC7" w14:textId="77777777" w:rsidR="0047061A" w:rsidRPr="00D251E3" w:rsidRDefault="0047061A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№</w:t>
            </w:r>
          </w:p>
          <w:p w14:paraId="0FF3F1B8" w14:textId="77777777" w:rsidR="0047061A" w:rsidRPr="00D251E3" w:rsidRDefault="0047061A" w:rsidP="00B9031A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з</w:t>
            </w:r>
            <w:r w:rsidR="00B9031A" w:rsidRPr="00D251E3">
              <w:rPr>
                <w:szCs w:val="28"/>
                <w:lang w:val="uk-UA"/>
              </w:rPr>
              <w:t>/</w:t>
            </w:r>
            <w:r w:rsidRPr="00D251E3">
              <w:rPr>
                <w:szCs w:val="28"/>
                <w:lang w:val="uk-UA"/>
              </w:rPr>
              <w:t>п</w:t>
            </w:r>
          </w:p>
        </w:tc>
        <w:tc>
          <w:tcPr>
            <w:tcW w:w="3685" w:type="dxa"/>
            <w:vMerge w:val="restart"/>
            <w:vAlign w:val="center"/>
          </w:tcPr>
          <w:p w14:paraId="1C8CEA66" w14:textId="77777777" w:rsidR="0047061A" w:rsidRPr="00D251E3" w:rsidRDefault="0047061A" w:rsidP="00773793">
            <w:pPr>
              <w:pStyle w:val="a3"/>
              <w:shd w:val="clear" w:color="auto" w:fill="FFFFFF"/>
              <w:spacing w:after="0" w:line="240" w:lineRule="auto"/>
              <w:ind w:left="-108" w:right="-133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7088" w:type="dxa"/>
            <w:vMerge w:val="restart"/>
            <w:vAlign w:val="center"/>
          </w:tcPr>
          <w:p w14:paraId="65091AA0" w14:textId="77777777" w:rsidR="0047061A" w:rsidRPr="00D251E3" w:rsidRDefault="0047061A" w:rsidP="0077379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Перелік заходів</w:t>
            </w:r>
          </w:p>
        </w:tc>
        <w:tc>
          <w:tcPr>
            <w:tcW w:w="1275" w:type="dxa"/>
            <w:vMerge w:val="restart"/>
            <w:vAlign w:val="center"/>
          </w:tcPr>
          <w:p w14:paraId="294F6895" w14:textId="77777777" w:rsidR="0047061A" w:rsidRPr="00D251E3" w:rsidRDefault="0047061A" w:rsidP="00D251E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Строк</w:t>
            </w:r>
          </w:p>
          <w:p w14:paraId="666BEAA7" w14:textId="77777777" w:rsidR="0047061A" w:rsidRPr="00D251E3" w:rsidRDefault="0047061A" w:rsidP="00D251E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виконання</w:t>
            </w:r>
          </w:p>
        </w:tc>
        <w:tc>
          <w:tcPr>
            <w:tcW w:w="3261" w:type="dxa"/>
            <w:vMerge w:val="restart"/>
            <w:vAlign w:val="center"/>
          </w:tcPr>
          <w:p w14:paraId="5515F04B" w14:textId="77777777" w:rsidR="0047061A" w:rsidRPr="00D251E3" w:rsidRDefault="0047061A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Виконавці</w:t>
            </w:r>
          </w:p>
        </w:tc>
      </w:tr>
      <w:tr w:rsidR="00D40479" w:rsidRPr="00D251E3" w14:paraId="1BE629EC" w14:textId="77777777" w:rsidTr="002D5C06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17D77AD4" w14:textId="77777777" w:rsidR="00D40479" w:rsidRPr="00D251E3" w:rsidRDefault="00D40479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  <w:vAlign w:val="center"/>
          </w:tcPr>
          <w:p w14:paraId="408FDD73" w14:textId="77777777" w:rsidR="00D40479" w:rsidRPr="00D251E3" w:rsidRDefault="00D40479" w:rsidP="00773793">
            <w:pPr>
              <w:pStyle w:val="a3"/>
              <w:shd w:val="clear" w:color="auto" w:fill="FFFFFF"/>
              <w:spacing w:after="0" w:line="240" w:lineRule="auto"/>
              <w:ind w:left="-108" w:right="-133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  <w:vMerge/>
            <w:vAlign w:val="center"/>
          </w:tcPr>
          <w:p w14:paraId="6A2F54B9" w14:textId="77777777" w:rsidR="00D40479" w:rsidRPr="00D251E3" w:rsidRDefault="00D40479" w:rsidP="0077379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34D23624" w14:textId="77777777" w:rsidR="00D40479" w:rsidRPr="00D251E3" w:rsidRDefault="00D40479" w:rsidP="00D251E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14:paraId="7F73E35C" w14:textId="77777777" w:rsidR="00D40479" w:rsidRPr="00D251E3" w:rsidRDefault="00D40479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</w:p>
        </w:tc>
      </w:tr>
      <w:tr w:rsidR="00D40479" w:rsidRPr="00D251E3" w14:paraId="5F61E912" w14:textId="77777777" w:rsidTr="002D5C06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67E312FB" w14:textId="77777777" w:rsidR="00D40479" w:rsidRPr="00D251E3" w:rsidRDefault="00D40479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  <w:vAlign w:val="center"/>
          </w:tcPr>
          <w:p w14:paraId="0D5C15A2" w14:textId="77777777" w:rsidR="00D40479" w:rsidRPr="00D251E3" w:rsidRDefault="00D40479" w:rsidP="00773793">
            <w:pPr>
              <w:pStyle w:val="a3"/>
              <w:shd w:val="clear" w:color="auto" w:fill="FFFFFF"/>
              <w:spacing w:after="0" w:line="240" w:lineRule="auto"/>
              <w:ind w:left="-108" w:right="-133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  <w:vMerge/>
            <w:vAlign w:val="center"/>
          </w:tcPr>
          <w:p w14:paraId="20B6914A" w14:textId="77777777" w:rsidR="00D40479" w:rsidRPr="00D251E3" w:rsidRDefault="00D40479" w:rsidP="0077379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16F08885" w14:textId="77777777" w:rsidR="00D40479" w:rsidRPr="00D251E3" w:rsidRDefault="00D40479" w:rsidP="00D251E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14:paraId="24B2187B" w14:textId="77777777" w:rsidR="00D40479" w:rsidRPr="00D251E3" w:rsidRDefault="00D40479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Cs w:val="28"/>
                <w:lang w:val="uk-UA"/>
              </w:rPr>
            </w:pPr>
          </w:p>
        </w:tc>
      </w:tr>
      <w:tr w:rsidR="0047061A" w:rsidRPr="00D251E3" w14:paraId="2E16C4BB" w14:textId="77777777" w:rsidTr="002D5C06">
        <w:trPr>
          <w:cantSplit/>
          <w:trHeight w:val="322"/>
        </w:trPr>
        <w:tc>
          <w:tcPr>
            <w:tcW w:w="426" w:type="dxa"/>
            <w:vMerge/>
          </w:tcPr>
          <w:p w14:paraId="4A372ED5" w14:textId="77777777" w:rsidR="0047061A" w:rsidRPr="00D251E3" w:rsidRDefault="0047061A" w:rsidP="00E25CA5">
            <w:pPr>
              <w:suppressAutoHyphens w:val="0"/>
              <w:rPr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14:paraId="420C6C4F" w14:textId="77777777" w:rsidR="0047061A" w:rsidRPr="00D251E3" w:rsidRDefault="0047061A" w:rsidP="00B42502">
            <w:pPr>
              <w:suppressAutoHyphens w:val="0"/>
              <w:rPr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14:paraId="71A3DEC0" w14:textId="77777777" w:rsidR="0047061A" w:rsidRPr="00D251E3" w:rsidRDefault="0047061A" w:rsidP="00B42502">
            <w:pPr>
              <w:suppressAutoHyphens w:val="0"/>
              <w:rPr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36A5539A" w14:textId="77777777" w:rsidR="0047061A" w:rsidRPr="00D251E3" w:rsidRDefault="0047061A" w:rsidP="00D251E3">
            <w:p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7F850B7D" w14:textId="77777777" w:rsidR="0047061A" w:rsidRPr="00D251E3" w:rsidRDefault="0047061A" w:rsidP="00B42502">
            <w:pPr>
              <w:suppressAutoHyphens w:val="0"/>
              <w:rPr>
                <w:szCs w:val="28"/>
              </w:rPr>
            </w:pPr>
          </w:p>
        </w:tc>
      </w:tr>
      <w:tr w:rsidR="009A78D9" w:rsidRPr="00D251E3" w14:paraId="6A7C21B7" w14:textId="77777777" w:rsidTr="002D5C06">
        <w:trPr>
          <w:trHeight w:val="1942"/>
        </w:trPr>
        <w:tc>
          <w:tcPr>
            <w:tcW w:w="426" w:type="dxa"/>
            <w:vMerge w:val="restart"/>
          </w:tcPr>
          <w:p w14:paraId="3A85F966" w14:textId="77777777" w:rsidR="009A78D9" w:rsidRPr="00D251E3" w:rsidRDefault="009A78D9" w:rsidP="002D5C0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 w:val="restart"/>
          </w:tcPr>
          <w:p w14:paraId="40BD9220" w14:textId="77777777" w:rsidR="009A78D9" w:rsidRPr="00D251E3" w:rsidRDefault="009A78D9" w:rsidP="002D5C06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 xml:space="preserve">Формування та реалізація політики з розвитку </w:t>
            </w:r>
            <w:proofErr w:type="spellStart"/>
            <w:r w:rsidRPr="00D251E3">
              <w:rPr>
                <w:szCs w:val="28"/>
                <w:lang w:val="uk-UA"/>
              </w:rPr>
              <w:t>безбар’єрного</w:t>
            </w:r>
            <w:proofErr w:type="spellEnd"/>
            <w:r w:rsidRPr="00D251E3">
              <w:rPr>
                <w:szCs w:val="28"/>
                <w:lang w:val="uk-UA"/>
              </w:rPr>
              <w:t xml:space="preserve"> середовища та послуг.</w:t>
            </w:r>
          </w:p>
        </w:tc>
        <w:tc>
          <w:tcPr>
            <w:tcW w:w="7088" w:type="dxa"/>
          </w:tcPr>
          <w:p w14:paraId="439BA7D2" w14:textId="77777777" w:rsidR="009A78D9" w:rsidRPr="00D251E3" w:rsidRDefault="009A78D9" w:rsidP="002D5C06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1.1. Забезпечення ефективного контролю за дотриманням вимог нормативно-правових актів щодо забезпечення фізичної доступності для маломобільних груп населення на всіх етапах (планування, будівництва, введення в експлуатацію) створення об’єктів будівництва та містобудування.</w:t>
            </w:r>
          </w:p>
        </w:tc>
        <w:tc>
          <w:tcPr>
            <w:tcW w:w="1275" w:type="dxa"/>
          </w:tcPr>
          <w:p w14:paraId="2856FB76" w14:textId="479DEC64" w:rsidR="009A78D9" w:rsidRPr="00D251E3" w:rsidRDefault="009A78D9" w:rsidP="002D5C06">
            <w:pPr>
              <w:pStyle w:val="a3"/>
              <w:shd w:val="clear" w:color="auto" w:fill="FFFFFF"/>
              <w:spacing w:after="0" w:line="240" w:lineRule="auto"/>
              <w:ind w:right="-103" w:hanging="108"/>
              <w:jc w:val="center"/>
              <w:rPr>
                <w:szCs w:val="28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D251E3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A037" w14:textId="5723B518" w:rsidR="009A78D9" w:rsidRPr="00D251E3" w:rsidRDefault="0049255F" w:rsidP="002D5C06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 xml:space="preserve">Відділ державного архітектурно-будівельного контролю, управління капітального будівництва, </w:t>
            </w:r>
            <w:r w:rsidR="009A78D9" w:rsidRPr="00D251E3">
              <w:rPr>
                <w:szCs w:val="28"/>
                <w:lang w:val="uk-UA"/>
              </w:rPr>
              <w:t>комунальн</w:t>
            </w:r>
            <w:r w:rsidR="004535AE">
              <w:rPr>
                <w:szCs w:val="28"/>
                <w:lang w:val="uk-UA"/>
              </w:rPr>
              <w:t>і</w:t>
            </w:r>
            <w:r w:rsidR="009A78D9" w:rsidRPr="00D251E3">
              <w:rPr>
                <w:szCs w:val="28"/>
                <w:lang w:val="uk-UA"/>
              </w:rPr>
              <w:t xml:space="preserve"> підприємств</w:t>
            </w:r>
            <w:r w:rsidR="004535AE">
              <w:rPr>
                <w:szCs w:val="28"/>
                <w:lang w:val="uk-UA"/>
              </w:rPr>
              <w:t>а</w:t>
            </w:r>
          </w:p>
        </w:tc>
      </w:tr>
      <w:tr w:rsidR="009A78D9" w:rsidRPr="00D251E3" w14:paraId="027FAE44" w14:textId="77777777" w:rsidTr="002D5C06">
        <w:trPr>
          <w:trHeight w:val="983"/>
        </w:trPr>
        <w:tc>
          <w:tcPr>
            <w:tcW w:w="426" w:type="dxa"/>
            <w:vMerge/>
          </w:tcPr>
          <w:p w14:paraId="37264B1D" w14:textId="77777777" w:rsidR="009A78D9" w:rsidRPr="00D251E3" w:rsidRDefault="009A78D9" w:rsidP="00D251E3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531C6503" w14:textId="77777777" w:rsidR="009A78D9" w:rsidRPr="00D251E3" w:rsidRDefault="009A78D9" w:rsidP="00D251E3">
            <w:pPr>
              <w:pStyle w:val="a3"/>
              <w:shd w:val="clear" w:color="auto" w:fill="FFFFFF"/>
              <w:spacing w:after="0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035BF6E4" w14:textId="751CDB9B" w:rsidR="009A78D9" w:rsidRPr="00D251E3" w:rsidRDefault="009A78D9" w:rsidP="00D251E3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1.2.</w:t>
            </w:r>
            <w:r w:rsidR="00D251E3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 xml:space="preserve">Забезпечення проведення </w:t>
            </w:r>
            <w:r w:rsidRPr="004535AE">
              <w:rPr>
                <w:szCs w:val="28"/>
                <w:lang w:val="uk-UA"/>
              </w:rPr>
              <w:t>щороку мо</w:t>
            </w:r>
            <w:r w:rsidRPr="00D251E3">
              <w:rPr>
                <w:szCs w:val="28"/>
                <w:lang w:val="uk-UA"/>
              </w:rPr>
              <w:t xml:space="preserve">ніторингу та оцінки ступеня </w:t>
            </w:r>
            <w:proofErr w:type="spellStart"/>
            <w:r w:rsidRPr="00D251E3">
              <w:rPr>
                <w:szCs w:val="28"/>
                <w:lang w:val="uk-UA"/>
              </w:rPr>
              <w:t>безбар’єрності</w:t>
            </w:r>
            <w:proofErr w:type="spellEnd"/>
            <w:r w:rsidRPr="00D251E3">
              <w:rPr>
                <w:szCs w:val="28"/>
                <w:lang w:val="uk-UA"/>
              </w:rPr>
              <w:t xml:space="preserve"> об’єктів фізичного оточення і послуг для осіб з інвалідністю, осіб з інвалідністю внаслідок війни.</w:t>
            </w:r>
          </w:p>
        </w:tc>
        <w:tc>
          <w:tcPr>
            <w:tcW w:w="1275" w:type="dxa"/>
          </w:tcPr>
          <w:p w14:paraId="7A1B3149" w14:textId="7E4AB4FA" w:rsidR="009A78D9" w:rsidRPr="00D251E3" w:rsidRDefault="009A78D9" w:rsidP="00132F39">
            <w:pPr>
              <w:pStyle w:val="a3"/>
              <w:shd w:val="clear" w:color="auto" w:fill="FFFFFF"/>
              <w:spacing w:after="0" w:line="240" w:lineRule="auto"/>
              <w:ind w:right="-103" w:hanging="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D251E3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C106" w14:textId="0D912E57" w:rsidR="009A78D9" w:rsidRPr="00D251E3" w:rsidRDefault="0010374F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 xml:space="preserve">Департамент містобудування, земельних відносин та реклами, </w:t>
            </w:r>
            <w:r w:rsidRPr="004535AE">
              <w:rPr>
                <w:szCs w:val="28"/>
                <w:lang w:val="uk-UA"/>
              </w:rPr>
              <w:t>виконавч</w:t>
            </w:r>
            <w:r w:rsidR="004535AE" w:rsidRPr="004535AE">
              <w:rPr>
                <w:szCs w:val="28"/>
                <w:lang w:val="uk-UA"/>
              </w:rPr>
              <w:t>і</w:t>
            </w:r>
            <w:r w:rsidRPr="004535AE">
              <w:rPr>
                <w:szCs w:val="28"/>
                <w:lang w:val="uk-UA"/>
              </w:rPr>
              <w:t xml:space="preserve"> орган</w:t>
            </w:r>
            <w:r w:rsidR="004535AE" w:rsidRPr="004535AE">
              <w:rPr>
                <w:szCs w:val="28"/>
                <w:lang w:val="uk-UA"/>
              </w:rPr>
              <w:t>и</w:t>
            </w:r>
            <w:r w:rsidR="002D5C06">
              <w:rPr>
                <w:szCs w:val="28"/>
                <w:lang w:val="uk-UA"/>
              </w:rPr>
              <w:t xml:space="preserve"> міської ради</w:t>
            </w:r>
            <w:r w:rsidRPr="004535AE">
              <w:rPr>
                <w:szCs w:val="28"/>
                <w:lang w:val="uk-UA"/>
              </w:rPr>
              <w:t xml:space="preserve"> та</w:t>
            </w:r>
            <w:r w:rsidRPr="00D251E3">
              <w:rPr>
                <w:szCs w:val="28"/>
                <w:lang w:val="uk-UA"/>
              </w:rPr>
              <w:t xml:space="preserve"> комунальн</w:t>
            </w:r>
            <w:r w:rsidR="004535AE">
              <w:rPr>
                <w:szCs w:val="28"/>
                <w:lang w:val="uk-UA"/>
              </w:rPr>
              <w:t>і</w:t>
            </w:r>
            <w:r w:rsidRPr="00D251E3">
              <w:rPr>
                <w:szCs w:val="28"/>
                <w:lang w:val="uk-UA"/>
              </w:rPr>
              <w:t xml:space="preserve"> підприємств</w:t>
            </w:r>
            <w:r w:rsidR="004535AE">
              <w:rPr>
                <w:szCs w:val="28"/>
                <w:lang w:val="uk-UA"/>
              </w:rPr>
              <w:t>а</w:t>
            </w:r>
          </w:p>
        </w:tc>
      </w:tr>
      <w:tr w:rsidR="009A78D9" w:rsidRPr="00D251E3" w14:paraId="538D8D5C" w14:textId="77777777" w:rsidTr="002D5C06">
        <w:trPr>
          <w:trHeight w:val="1268"/>
        </w:trPr>
        <w:tc>
          <w:tcPr>
            <w:tcW w:w="426" w:type="dxa"/>
            <w:vMerge/>
          </w:tcPr>
          <w:p w14:paraId="774D2B30" w14:textId="77777777" w:rsidR="009A78D9" w:rsidRPr="00D251E3" w:rsidRDefault="009A78D9" w:rsidP="00D251E3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667EB966" w14:textId="77777777" w:rsidR="009A78D9" w:rsidRPr="00D251E3" w:rsidRDefault="009A78D9" w:rsidP="00D251E3">
            <w:pPr>
              <w:pStyle w:val="a3"/>
              <w:shd w:val="clear" w:color="auto" w:fill="FFFFFF"/>
              <w:spacing w:after="0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269B6A7A" w14:textId="7B6818EC" w:rsidR="009A78D9" w:rsidRPr="00D251E3" w:rsidRDefault="009A78D9" w:rsidP="00D251E3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1.3.</w:t>
            </w:r>
            <w:r w:rsidR="00D251E3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>Забезпечення доступності приміщень центру надання адміністративних послуг, закладів соціального захисту населення, комунальних підприємств охорони здоров’я для осіб з інвалідністю та інших маломобільних груп населення.</w:t>
            </w:r>
          </w:p>
        </w:tc>
        <w:tc>
          <w:tcPr>
            <w:tcW w:w="1275" w:type="dxa"/>
          </w:tcPr>
          <w:p w14:paraId="33509DCB" w14:textId="146794A3" w:rsidR="009A78D9" w:rsidRPr="00D251E3" w:rsidRDefault="009A78D9" w:rsidP="00132F39">
            <w:pPr>
              <w:pStyle w:val="a3"/>
              <w:shd w:val="clear" w:color="auto" w:fill="FFFFFF"/>
              <w:spacing w:after="0" w:line="240" w:lineRule="auto"/>
              <w:ind w:right="-103" w:hanging="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D251E3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358F" w14:textId="53903881" w:rsidR="009A78D9" w:rsidRPr="004535AE" w:rsidRDefault="0010374F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4535AE">
              <w:rPr>
                <w:szCs w:val="28"/>
                <w:lang w:val="uk-UA"/>
              </w:rPr>
              <w:t xml:space="preserve">Департамент «Центр надання </w:t>
            </w:r>
            <w:r w:rsidR="004535AE">
              <w:rPr>
                <w:szCs w:val="28"/>
                <w:lang w:val="uk-UA"/>
              </w:rPr>
              <w:t>адміністративних</w:t>
            </w:r>
            <w:r w:rsidRPr="004535AE">
              <w:rPr>
                <w:szCs w:val="28"/>
                <w:lang w:val="uk-UA"/>
              </w:rPr>
              <w:t xml:space="preserve"> послуг у місті Луцьку», департамент соціальної політики, комунальн</w:t>
            </w:r>
            <w:r w:rsidR="004535AE" w:rsidRPr="004535AE">
              <w:rPr>
                <w:szCs w:val="28"/>
                <w:lang w:val="uk-UA"/>
              </w:rPr>
              <w:t>і</w:t>
            </w:r>
            <w:r w:rsidRPr="004535AE">
              <w:rPr>
                <w:szCs w:val="28"/>
                <w:lang w:val="uk-UA"/>
              </w:rPr>
              <w:t xml:space="preserve"> підприємств</w:t>
            </w:r>
            <w:r w:rsidR="004535AE" w:rsidRPr="004535AE">
              <w:rPr>
                <w:szCs w:val="28"/>
                <w:lang w:val="uk-UA"/>
              </w:rPr>
              <w:t>а</w:t>
            </w:r>
          </w:p>
        </w:tc>
      </w:tr>
      <w:tr w:rsidR="009A78D9" w:rsidRPr="00D251E3" w14:paraId="3745EDCD" w14:textId="77777777" w:rsidTr="002D5C06">
        <w:trPr>
          <w:trHeight w:val="779"/>
        </w:trPr>
        <w:tc>
          <w:tcPr>
            <w:tcW w:w="426" w:type="dxa"/>
            <w:vMerge/>
          </w:tcPr>
          <w:p w14:paraId="7874D72A" w14:textId="77777777" w:rsidR="009A78D9" w:rsidRPr="00D251E3" w:rsidRDefault="009A78D9" w:rsidP="00D251E3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356F50CF" w14:textId="77777777" w:rsidR="009A78D9" w:rsidRPr="00D251E3" w:rsidRDefault="009A78D9" w:rsidP="00D251E3">
            <w:pPr>
              <w:pStyle w:val="a3"/>
              <w:shd w:val="clear" w:color="auto" w:fill="FFFFFF"/>
              <w:spacing w:after="0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0A7BD411" w14:textId="181F20A1" w:rsidR="009A78D9" w:rsidRPr="00D251E3" w:rsidRDefault="009A78D9" w:rsidP="00D251E3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1.4</w:t>
            </w:r>
            <w:r w:rsidR="00D251E3">
              <w:rPr>
                <w:szCs w:val="28"/>
                <w:lang w:val="uk-UA"/>
              </w:rPr>
              <w:t>. </w:t>
            </w:r>
            <w:r w:rsidRPr="00D251E3">
              <w:rPr>
                <w:szCs w:val="28"/>
                <w:lang w:val="uk-UA"/>
              </w:rPr>
              <w:t xml:space="preserve">Проведення оцінки </w:t>
            </w:r>
            <w:proofErr w:type="spellStart"/>
            <w:r w:rsidRPr="00D251E3">
              <w:rPr>
                <w:szCs w:val="28"/>
                <w:lang w:val="uk-UA"/>
              </w:rPr>
              <w:t>безбар’єрності</w:t>
            </w:r>
            <w:proofErr w:type="spellEnd"/>
            <w:r w:rsidRPr="00D251E3">
              <w:rPr>
                <w:szCs w:val="28"/>
                <w:lang w:val="uk-UA"/>
              </w:rPr>
              <w:t xml:space="preserve"> вулиць і доріг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14:paraId="4B8352DD" w14:textId="77777777" w:rsidR="009A78D9" w:rsidRPr="00D251E3" w:rsidRDefault="009A78D9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постійно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D406" w14:textId="77777777" w:rsidR="002D5C06" w:rsidRDefault="0010374F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житлово-комунального господарства,</w:t>
            </w:r>
          </w:p>
          <w:p w14:paraId="080EB517" w14:textId="54DDEBBB" w:rsidR="009A78D9" w:rsidRPr="00D251E3" w:rsidRDefault="0010374F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відділ транспорту</w:t>
            </w:r>
          </w:p>
        </w:tc>
      </w:tr>
      <w:tr w:rsidR="00853098" w:rsidRPr="00D251E3" w14:paraId="4119A9BA" w14:textId="77777777" w:rsidTr="002D5C06">
        <w:trPr>
          <w:trHeight w:val="1413"/>
        </w:trPr>
        <w:tc>
          <w:tcPr>
            <w:tcW w:w="426" w:type="dxa"/>
            <w:vMerge w:val="restart"/>
          </w:tcPr>
          <w:p w14:paraId="10C09F07" w14:textId="77777777" w:rsidR="00853098" w:rsidRPr="00D251E3" w:rsidRDefault="00853098" w:rsidP="00D251E3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48A182F2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Проведення інформаційно-просвітницької кампанії.</w:t>
            </w:r>
          </w:p>
          <w:p w14:paraId="7729489D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2EA" w14:textId="7A20FB93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2.1. Забезпечення розміщення інформації на стендах чи екранах достатнього розміру у центрі надання адміністративних послуг та департаменті соціальної політики для можливості прочитання її з необхідної відстані, а також відсутності перешкод для можливості підійти до них на прийнятну відстань.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627F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постійно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7169" w14:textId="573EAB2E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 xml:space="preserve">Департамент </w:t>
            </w:r>
            <w:r w:rsidRPr="004535AE">
              <w:rPr>
                <w:szCs w:val="28"/>
                <w:lang w:val="uk-UA"/>
              </w:rPr>
              <w:t xml:space="preserve">«Центр надання </w:t>
            </w:r>
            <w:r w:rsidR="004535AE" w:rsidRPr="004535AE">
              <w:rPr>
                <w:szCs w:val="28"/>
                <w:lang w:val="uk-UA"/>
              </w:rPr>
              <w:t xml:space="preserve">адміністративних </w:t>
            </w:r>
            <w:r w:rsidRPr="004535AE">
              <w:rPr>
                <w:szCs w:val="28"/>
                <w:lang w:val="uk-UA"/>
              </w:rPr>
              <w:t xml:space="preserve">послуг у місті Луцьку», </w:t>
            </w:r>
            <w:r w:rsidRPr="00D251E3">
              <w:rPr>
                <w:szCs w:val="28"/>
                <w:lang w:val="uk-UA"/>
              </w:rPr>
              <w:t>департамент соціальної політики</w:t>
            </w:r>
          </w:p>
        </w:tc>
      </w:tr>
      <w:tr w:rsidR="00853098" w:rsidRPr="00D251E3" w14:paraId="1DFB20A1" w14:textId="77777777" w:rsidTr="002D5C06">
        <w:trPr>
          <w:trHeight w:val="274"/>
        </w:trPr>
        <w:tc>
          <w:tcPr>
            <w:tcW w:w="426" w:type="dxa"/>
            <w:vMerge/>
          </w:tcPr>
          <w:p w14:paraId="10912395" w14:textId="77777777" w:rsidR="00853098" w:rsidRPr="00D251E3" w:rsidRDefault="00853098" w:rsidP="00D251E3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2B0ECAE5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CC5" w14:textId="096875B4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2.2.</w:t>
            </w:r>
            <w:r w:rsidR="00D251E3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>Підвищення рівня обізнаності посадових осіб місцевого самоврядування та працівників транспортної інфраструктури щодо прав осіб з інвалідністю, універсального дизайну і доступності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79A4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постійно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6DF5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Управління персоналу, відділ транспорту</w:t>
            </w:r>
          </w:p>
        </w:tc>
      </w:tr>
      <w:tr w:rsidR="00853098" w:rsidRPr="00D251E3" w14:paraId="7E46C4AA" w14:textId="77777777" w:rsidTr="002D5C06">
        <w:trPr>
          <w:trHeight w:val="699"/>
        </w:trPr>
        <w:tc>
          <w:tcPr>
            <w:tcW w:w="426" w:type="dxa"/>
            <w:vMerge/>
          </w:tcPr>
          <w:p w14:paraId="461F850C" w14:textId="77777777" w:rsidR="00853098" w:rsidRPr="00D251E3" w:rsidRDefault="00853098" w:rsidP="00D251E3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423FFEEB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</w:tcPr>
          <w:p w14:paraId="2C2343E1" w14:textId="3E8891B8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 xml:space="preserve">2.3. Розроблення внутрішніх правил поведінки працівників та стандартів, які передбачають обов’язкове врахування вимог щодо доступності під час виконання службових обов’язків, зокрема вимоги до </w:t>
            </w:r>
            <w:proofErr w:type="spellStart"/>
            <w:r w:rsidRPr="00D251E3">
              <w:rPr>
                <w:szCs w:val="28"/>
                <w:lang w:val="uk-UA"/>
              </w:rPr>
              <w:t>безбар’єрності</w:t>
            </w:r>
            <w:proofErr w:type="spellEnd"/>
            <w:r w:rsidRPr="00D251E3">
              <w:rPr>
                <w:szCs w:val="28"/>
                <w:lang w:val="uk-UA"/>
              </w:rPr>
              <w:t xml:space="preserve">, доступності та рівні можливості, проведення оцінки якості дотримання принципів </w:t>
            </w:r>
            <w:proofErr w:type="spellStart"/>
            <w:r w:rsidRPr="00D251E3">
              <w:rPr>
                <w:szCs w:val="28"/>
                <w:lang w:val="uk-UA"/>
              </w:rPr>
              <w:t>безбар’єрності</w:t>
            </w:r>
            <w:proofErr w:type="spellEnd"/>
            <w:r w:rsidRPr="00D251E3">
              <w:rPr>
                <w:szCs w:val="28"/>
                <w:lang w:val="uk-UA"/>
              </w:rPr>
              <w:t xml:space="preserve"> під час проведення атестації працівників.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E5A7" w14:textId="0B68A2B2" w:rsidR="00853098" w:rsidRPr="00D251E3" w:rsidRDefault="004535AE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EC23" w14:textId="29A4F76A" w:rsidR="00853098" w:rsidRPr="00D251E3" w:rsidRDefault="00853098" w:rsidP="002D5C06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Cs w:val="28"/>
                <w:lang w:val="uk-UA"/>
              </w:rPr>
            </w:pPr>
            <w:r w:rsidRPr="004535AE">
              <w:rPr>
                <w:szCs w:val="28"/>
                <w:lang w:val="uk-UA"/>
              </w:rPr>
              <w:t>Управління персоналу, виконавчі органи</w:t>
            </w:r>
            <w:r w:rsidR="002D5C06">
              <w:rPr>
                <w:szCs w:val="28"/>
                <w:lang w:val="uk-UA"/>
              </w:rPr>
              <w:t xml:space="preserve"> міської ради</w:t>
            </w:r>
            <w:r w:rsidRPr="004535AE">
              <w:rPr>
                <w:szCs w:val="28"/>
                <w:lang w:val="uk-UA"/>
              </w:rPr>
              <w:t>, комунальні підприємства</w:t>
            </w:r>
            <w:r w:rsidRPr="00D251E3">
              <w:rPr>
                <w:szCs w:val="28"/>
                <w:lang w:val="uk-UA"/>
              </w:rPr>
              <w:t>,</w:t>
            </w:r>
            <w:r w:rsidR="002D5C06">
              <w:rPr>
                <w:szCs w:val="28"/>
                <w:lang w:val="uk-UA"/>
              </w:rPr>
              <w:t xml:space="preserve"> </w:t>
            </w:r>
            <w:r w:rsidRPr="00D251E3">
              <w:rPr>
                <w:szCs w:val="28"/>
                <w:lang w:val="uk-UA"/>
              </w:rPr>
              <w:t xml:space="preserve">старости </w:t>
            </w:r>
            <w:proofErr w:type="spellStart"/>
            <w:r w:rsidRPr="00D251E3">
              <w:rPr>
                <w:szCs w:val="28"/>
                <w:lang w:val="uk-UA"/>
              </w:rPr>
              <w:t>старостинських</w:t>
            </w:r>
            <w:proofErr w:type="spellEnd"/>
            <w:r w:rsidRPr="00D251E3">
              <w:rPr>
                <w:szCs w:val="28"/>
                <w:lang w:val="uk-UA"/>
              </w:rPr>
              <w:t xml:space="preserve"> округів</w:t>
            </w:r>
          </w:p>
        </w:tc>
      </w:tr>
      <w:tr w:rsidR="00853098" w:rsidRPr="00D251E3" w14:paraId="4696084F" w14:textId="77777777" w:rsidTr="002D5C06">
        <w:trPr>
          <w:trHeight w:val="1833"/>
        </w:trPr>
        <w:tc>
          <w:tcPr>
            <w:tcW w:w="426" w:type="dxa"/>
            <w:vMerge/>
          </w:tcPr>
          <w:p w14:paraId="7BF3B8AC" w14:textId="77777777" w:rsidR="00853098" w:rsidRPr="00D251E3" w:rsidRDefault="00853098" w:rsidP="00D251E3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500095B2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</w:tcPr>
          <w:p w14:paraId="417BA734" w14:textId="10440514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2.4.</w:t>
            </w:r>
            <w:r w:rsidR="00D251E3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>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мову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520E" w14:textId="672E671D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D251E3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A698" w14:textId="6F7E4F18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Управління охорони здоров’я</w:t>
            </w:r>
            <w:r w:rsidR="004535AE">
              <w:rPr>
                <w:szCs w:val="28"/>
                <w:lang w:val="uk-UA"/>
              </w:rPr>
              <w:t>,</w:t>
            </w:r>
            <w:r w:rsidRPr="00D251E3">
              <w:rPr>
                <w:szCs w:val="28"/>
                <w:lang w:val="uk-UA"/>
              </w:rPr>
              <w:t xml:space="preserve"> </w:t>
            </w:r>
            <w:r w:rsidRPr="004535AE">
              <w:rPr>
                <w:szCs w:val="28"/>
                <w:lang w:val="uk-UA"/>
              </w:rPr>
              <w:t>комунальн</w:t>
            </w:r>
            <w:r w:rsidR="004535AE" w:rsidRPr="004535AE">
              <w:rPr>
                <w:szCs w:val="28"/>
                <w:lang w:val="uk-UA"/>
              </w:rPr>
              <w:t>і</w:t>
            </w:r>
            <w:r w:rsidRPr="004535AE">
              <w:rPr>
                <w:szCs w:val="28"/>
                <w:lang w:val="uk-UA"/>
              </w:rPr>
              <w:t xml:space="preserve"> підприємств</w:t>
            </w:r>
            <w:r w:rsidR="004535AE" w:rsidRPr="004535AE">
              <w:rPr>
                <w:szCs w:val="28"/>
                <w:lang w:val="uk-UA"/>
              </w:rPr>
              <w:t>а</w:t>
            </w:r>
            <w:r w:rsidRPr="004535AE">
              <w:rPr>
                <w:szCs w:val="28"/>
                <w:lang w:val="uk-UA"/>
              </w:rPr>
              <w:t xml:space="preserve"> охорони здоров’я</w:t>
            </w:r>
          </w:p>
        </w:tc>
      </w:tr>
      <w:tr w:rsidR="00853098" w:rsidRPr="00D251E3" w14:paraId="0FCF84C4" w14:textId="77777777" w:rsidTr="002D5C06">
        <w:trPr>
          <w:trHeight w:val="2054"/>
        </w:trPr>
        <w:tc>
          <w:tcPr>
            <w:tcW w:w="426" w:type="dxa"/>
            <w:vMerge/>
          </w:tcPr>
          <w:p w14:paraId="04C9988B" w14:textId="77777777" w:rsidR="00853098" w:rsidRPr="00D251E3" w:rsidRDefault="00853098" w:rsidP="00D251E3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44EDB7CE" w14:textId="77777777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</w:tcPr>
          <w:p w14:paraId="6EB13339" w14:textId="19029B7E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2.5</w:t>
            </w:r>
            <w:r w:rsidR="00D251E3">
              <w:rPr>
                <w:szCs w:val="28"/>
                <w:lang w:val="uk-UA"/>
              </w:rPr>
              <w:t>. </w:t>
            </w:r>
            <w:r w:rsidRPr="00D251E3">
              <w:rPr>
                <w:szCs w:val="28"/>
                <w:lang w:val="uk-UA"/>
              </w:rPr>
              <w:t xml:space="preserve">Розміщення розробленої за погодженням з </w:t>
            </w:r>
            <w:proofErr w:type="spellStart"/>
            <w:r w:rsidRPr="00D251E3">
              <w:rPr>
                <w:szCs w:val="28"/>
                <w:lang w:val="uk-UA"/>
              </w:rPr>
              <w:t>Мінветеранів</w:t>
            </w:r>
            <w:proofErr w:type="spellEnd"/>
            <w:r w:rsidRPr="00D251E3">
              <w:rPr>
                <w:szCs w:val="28"/>
                <w:lang w:val="uk-UA"/>
              </w:rPr>
              <w:t xml:space="preserve"> соціальної реклами в закладах охорони здоров’я, освіти, центрі комплектування та соціальної підтримки, центрі надання адміністративних послуг, адміністративних приміщеннях виконавчих органів міської ради, які надають послуги ветеранам війни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064C" w14:textId="1E6544D9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D251E3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5D5C" w14:textId="1E4CDC44" w:rsidR="00853098" w:rsidRPr="00D251E3" w:rsidRDefault="00853098" w:rsidP="00D251E3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з питань ветеранської політики</w:t>
            </w:r>
          </w:p>
        </w:tc>
      </w:tr>
      <w:tr w:rsidR="004535AE" w:rsidRPr="004535AE" w14:paraId="42DDAE8A" w14:textId="77777777" w:rsidTr="002D5C06">
        <w:trPr>
          <w:trHeight w:val="1475"/>
        </w:trPr>
        <w:tc>
          <w:tcPr>
            <w:tcW w:w="426" w:type="dxa"/>
            <w:vMerge w:val="restart"/>
          </w:tcPr>
          <w:p w14:paraId="27250DE0" w14:textId="77777777" w:rsidR="009D40B0" w:rsidRPr="00D251E3" w:rsidRDefault="009D40B0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 w:val="restart"/>
          </w:tcPr>
          <w:p w14:paraId="53920677" w14:textId="77777777" w:rsidR="009D40B0" w:rsidRPr="00D251E3" w:rsidRDefault="009D40B0" w:rsidP="00132F39">
            <w:pPr>
              <w:pStyle w:val="a3"/>
              <w:shd w:val="clear" w:color="auto" w:fill="FFFFFF"/>
              <w:spacing w:line="240" w:lineRule="auto"/>
              <w:ind w:left="-66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Забезпечення спрощеного отримання електронної публічної послуги або доступу до Інтернету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7088" w:type="dxa"/>
          </w:tcPr>
          <w:p w14:paraId="240EF6FF" w14:textId="4C5AF893" w:rsidR="009D40B0" w:rsidRPr="00D251E3" w:rsidRDefault="009D40B0" w:rsidP="00132F39">
            <w:pPr>
              <w:pStyle w:val="a3"/>
              <w:shd w:val="clear" w:color="auto" w:fill="FFFFFF"/>
              <w:spacing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3.1. Збільшення кількості місць надання публічних послуг з безоплатного доступу до Інтернету за допомогою мережі WI-FI.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6076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постійно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8E0F" w14:textId="041DA0ED" w:rsidR="009D40B0" w:rsidRPr="004535AE" w:rsidRDefault="009D40B0" w:rsidP="002D5C06">
            <w:pPr>
              <w:jc w:val="center"/>
              <w:rPr>
                <w:szCs w:val="28"/>
              </w:rPr>
            </w:pPr>
            <w:r w:rsidRPr="004535AE">
              <w:t>Виконавчі органи</w:t>
            </w:r>
            <w:r w:rsidR="002D5C06">
              <w:t xml:space="preserve"> міської ради</w:t>
            </w:r>
            <w:r w:rsidRPr="004535AE">
              <w:t>,</w:t>
            </w:r>
            <w:r w:rsidR="002D5C06">
              <w:t xml:space="preserve"> </w:t>
            </w:r>
            <w:r w:rsidRPr="004535AE">
              <w:t xml:space="preserve">старости </w:t>
            </w:r>
            <w:proofErr w:type="spellStart"/>
            <w:r w:rsidRPr="004535AE">
              <w:t>старостинських</w:t>
            </w:r>
            <w:proofErr w:type="spellEnd"/>
            <w:r w:rsidR="00132F39" w:rsidRPr="004535AE">
              <w:t xml:space="preserve"> </w:t>
            </w:r>
            <w:r w:rsidRPr="004535AE">
              <w:t xml:space="preserve">округів, </w:t>
            </w:r>
            <w:r w:rsidR="004535AE" w:rsidRPr="004535AE">
              <w:t>ком</w:t>
            </w:r>
            <w:r w:rsidR="002D5C06">
              <w:t>у</w:t>
            </w:r>
            <w:r w:rsidR="004535AE" w:rsidRPr="004535AE">
              <w:t xml:space="preserve">нальні </w:t>
            </w:r>
            <w:r w:rsidRPr="004535AE">
              <w:t>підприємства</w:t>
            </w:r>
          </w:p>
        </w:tc>
      </w:tr>
      <w:tr w:rsidR="009D40B0" w:rsidRPr="00D251E3" w14:paraId="691498B5" w14:textId="77777777" w:rsidTr="002D5C06">
        <w:trPr>
          <w:trHeight w:val="682"/>
        </w:trPr>
        <w:tc>
          <w:tcPr>
            <w:tcW w:w="426" w:type="dxa"/>
            <w:vMerge/>
          </w:tcPr>
          <w:p w14:paraId="4D7DBCD9" w14:textId="77777777" w:rsidR="009D40B0" w:rsidRPr="00D251E3" w:rsidRDefault="009D40B0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6BC2AD11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26765605" w14:textId="5B575558" w:rsidR="009D40B0" w:rsidRPr="00D251E3" w:rsidRDefault="009D40B0" w:rsidP="00132F39">
            <w:pPr>
              <w:pStyle w:val="a3"/>
              <w:shd w:val="clear" w:color="auto" w:fill="FFFFFF"/>
              <w:tabs>
                <w:tab w:val="left" w:pos="502"/>
              </w:tabs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3.2.  Проведення інформаційних кампаній щодо освітніх курсів з цифрової грамотності осіб з обмеженнями повсякденного функціонування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C693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2025-2026 роки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67E7" w14:textId="77777777" w:rsidR="009D40B0" w:rsidRDefault="009D40B0" w:rsidP="00132F39">
            <w:pPr>
              <w:jc w:val="center"/>
            </w:pPr>
            <w:r w:rsidRPr="00132F39">
              <w:t>Департамент соціальної політики, КУ</w:t>
            </w:r>
            <w:r w:rsidR="00132F39" w:rsidRPr="00132F39">
              <w:t> </w:t>
            </w:r>
            <w:r w:rsidRPr="00132F39">
              <w:t>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2BA4B731" w14:textId="2DC76070" w:rsidR="002D5C06" w:rsidRPr="00132F39" w:rsidRDefault="002D5C06" w:rsidP="00132F39">
            <w:pPr>
              <w:jc w:val="center"/>
            </w:pPr>
          </w:p>
        </w:tc>
      </w:tr>
      <w:tr w:rsidR="009D40B0" w:rsidRPr="00D251E3" w14:paraId="38C17B2D" w14:textId="77777777" w:rsidTr="002D5C06">
        <w:trPr>
          <w:trHeight w:val="841"/>
        </w:trPr>
        <w:tc>
          <w:tcPr>
            <w:tcW w:w="426" w:type="dxa"/>
            <w:vMerge/>
          </w:tcPr>
          <w:p w14:paraId="563343A6" w14:textId="77777777" w:rsidR="009D40B0" w:rsidRPr="00D251E3" w:rsidRDefault="009D40B0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07B726BA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185564DF" w14:textId="71A80690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3.3. </w:t>
            </w:r>
            <w:r w:rsidR="00132F39">
              <w:rPr>
                <w:szCs w:val="28"/>
                <w:lang w:val="uk-UA"/>
              </w:rPr>
              <w:t>П</w:t>
            </w:r>
            <w:r w:rsidRPr="00D251E3">
              <w:rPr>
                <w:szCs w:val="28"/>
                <w:lang w:val="uk-UA"/>
              </w:rPr>
              <w:t>роведення навчання працівників надавачів соціальних послуг з питань цифрової грамотності</w:t>
            </w:r>
            <w:r w:rsidR="00322432" w:rsidRPr="00D251E3">
              <w:rPr>
                <w:szCs w:val="28"/>
                <w:lang w:val="uk-UA"/>
              </w:rPr>
              <w:t>.</w:t>
            </w:r>
            <w:r w:rsidRPr="00D251E3">
              <w:rPr>
                <w:szCs w:val="28"/>
                <w:lang w:val="uk-UA"/>
              </w:rPr>
              <w:t> 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7470" w14:textId="576B68AB" w:rsidR="009D40B0" w:rsidRPr="00132F39" w:rsidRDefault="009D40B0" w:rsidP="00132F39">
            <w:pPr>
              <w:jc w:val="center"/>
            </w:pPr>
            <w:r w:rsidRPr="00132F39">
              <w:t>2025</w:t>
            </w:r>
            <w:r w:rsidR="00132F39" w:rsidRPr="00132F39">
              <w:t>–</w:t>
            </w:r>
            <w:r w:rsidRPr="00132F39">
              <w:t>2026 роки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B3B9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соціальної політики</w:t>
            </w:r>
          </w:p>
        </w:tc>
      </w:tr>
      <w:tr w:rsidR="009D40B0" w:rsidRPr="00D251E3" w14:paraId="0A07E3FD" w14:textId="77777777" w:rsidTr="002D5C06">
        <w:trPr>
          <w:trHeight w:val="1122"/>
        </w:trPr>
        <w:tc>
          <w:tcPr>
            <w:tcW w:w="426" w:type="dxa"/>
            <w:vMerge/>
          </w:tcPr>
          <w:p w14:paraId="719F4550" w14:textId="77777777" w:rsidR="009D40B0" w:rsidRPr="00D251E3" w:rsidRDefault="009D40B0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0632F159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6B618A5E" w14:textId="4E9CBB62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bCs w:val="0"/>
                <w:szCs w:val="28"/>
                <w:bdr w:val="none" w:sz="0" w:space="0" w:color="auto" w:frame="1"/>
                <w:shd w:val="clear" w:color="auto" w:fill="FFFFFF"/>
              </w:rPr>
            </w:pPr>
            <w:r w:rsidRPr="00D251E3">
              <w:rPr>
                <w:szCs w:val="28"/>
                <w:lang w:val="uk-UA"/>
              </w:rPr>
              <w:t>3.4.</w:t>
            </w:r>
            <w:r w:rsidR="00132F39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 xml:space="preserve">Проведення для працівників бібліотек навчальних </w:t>
            </w:r>
            <w:proofErr w:type="spellStart"/>
            <w:r w:rsidRPr="00D251E3">
              <w:rPr>
                <w:szCs w:val="28"/>
                <w:lang w:val="uk-UA"/>
              </w:rPr>
              <w:t>вебінарів</w:t>
            </w:r>
            <w:proofErr w:type="spellEnd"/>
            <w:r w:rsidRPr="00D251E3">
              <w:rPr>
                <w:szCs w:val="28"/>
                <w:lang w:val="uk-UA"/>
              </w:rPr>
              <w:t xml:space="preserve"> щодо надання цифрових послуг особам з інвалідністю та особам старшого віку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2A58" w14:textId="36E4D907" w:rsidR="009D40B0" w:rsidRPr="00132F39" w:rsidRDefault="009D40B0" w:rsidP="00132F39">
            <w:pPr>
              <w:jc w:val="center"/>
            </w:pPr>
            <w:r w:rsidRPr="00132F39">
              <w:t>2025</w:t>
            </w:r>
            <w:r w:rsidR="00132F39" w:rsidRPr="00132F39">
              <w:t>–</w:t>
            </w:r>
            <w:r w:rsidRPr="00132F39">
              <w:t>2026 роки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1E8D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культури, управління персоналу</w:t>
            </w:r>
          </w:p>
        </w:tc>
      </w:tr>
      <w:tr w:rsidR="007D15DE" w:rsidRPr="00D251E3" w14:paraId="7EF9BF80" w14:textId="77777777" w:rsidTr="002D5C06">
        <w:trPr>
          <w:trHeight w:val="1138"/>
        </w:trPr>
        <w:tc>
          <w:tcPr>
            <w:tcW w:w="426" w:type="dxa"/>
            <w:vMerge w:val="restart"/>
          </w:tcPr>
          <w:p w14:paraId="6BC20F70" w14:textId="77777777" w:rsidR="007D15DE" w:rsidRPr="00D251E3" w:rsidRDefault="007D15DE" w:rsidP="00132F3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 w:val="restart"/>
          </w:tcPr>
          <w:p w14:paraId="0ED7342D" w14:textId="77777777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 xml:space="preserve">Забезпечення розвитку обізнаності громадян про питання доступності та концепції </w:t>
            </w:r>
            <w:proofErr w:type="spellStart"/>
            <w:r w:rsidRPr="00D251E3">
              <w:rPr>
                <w:szCs w:val="28"/>
                <w:lang w:val="uk-UA"/>
              </w:rPr>
              <w:t>безбар’єрності</w:t>
            </w:r>
            <w:proofErr w:type="spellEnd"/>
            <w:r w:rsidR="00322432" w:rsidRPr="00D251E3">
              <w:rPr>
                <w:szCs w:val="28"/>
                <w:lang w:val="uk-UA"/>
              </w:rPr>
              <w:t>.</w:t>
            </w:r>
            <w:r w:rsidRPr="00D251E3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088" w:type="dxa"/>
          </w:tcPr>
          <w:p w14:paraId="70F958D1" w14:textId="354B5082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 xml:space="preserve">4.1. Проведення навчальних заходів для лідерів молодіжних громадських організацій щодо </w:t>
            </w:r>
            <w:proofErr w:type="spellStart"/>
            <w:r w:rsidRPr="00D251E3">
              <w:rPr>
                <w:szCs w:val="28"/>
                <w:lang w:val="uk-UA"/>
              </w:rPr>
              <w:t>безбар’єрності</w:t>
            </w:r>
            <w:proofErr w:type="spellEnd"/>
            <w:r w:rsidRPr="00D251E3">
              <w:rPr>
                <w:szCs w:val="28"/>
                <w:lang w:val="uk-UA"/>
              </w:rPr>
              <w:t xml:space="preserve"> в громадській діяльності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14:paraId="28D14C27" w14:textId="65FCD612" w:rsidR="007D15DE" w:rsidRPr="00132F39" w:rsidRDefault="007D15DE" w:rsidP="00132F39">
            <w:pPr>
              <w:ind w:right="-103" w:hanging="108"/>
              <w:jc w:val="center"/>
            </w:pPr>
            <w:r w:rsidRPr="00132F39">
              <w:t>2025</w:t>
            </w:r>
            <w:r w:rsidR="00132F39" w:rsidRPr="00132F39">
              <w:t>–</w:t>
            </w:r>
            <w:r w:rsidRPr="00132F39">
              <w:t>2026 роки</w:t>
            </w:r>
          </w:p>
        </w:tc>
        <w:tc>
          <w:tcPr>
            <w:tcW w:w="3261" w:type="dxa"/>
          </w:tcPr>
          <w:p w14:paraId="7AF40892" w14:textId="2FAD632E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молоді та спорту</w:t>
            </w:r>
          </w:p>
        </w:tc>
      </w:tr>
      <w:tr w:rsidR="007D15DE" w:rsidRPr="00D251E3" w14:paraId="161FC3B0" w14:textId="77777777" w:rsidTr="002D5C06">
        <w:trPr>
          <w:trHeight w:val="2813"/>
        </w:trPr>
        <w:tc>
          <w:tcPr>
            <w:tcW w:w="426" w:type="dxa"/>
            <w:vMerge/>
          </w:tcPr>
          <w:p w14:paraId="4E348078" w14:textId="77777777" w:rsidR="007D15DE" w:rsidRPr="00D251E3" w:rsidRDefault="007D15DE" w:rsidP="00132F3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4F3155E2" w14:textId="77777777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32B89439" w14:textId="444A2A9C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4.2.</w:t>
            </w:r>
            <w:r w:rsidR="00132F39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>Запровадження у закладах загальної середньої та професійно-технічної освіти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 дискримінації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14:paraId="6E1B0F5E" w14:textId="0E8F8ED7" w:rsidR="007D15DE" w:rsidRPr="00132F39" w:rsidRDefault="007D15DE" w:rsidP="00132F39">
            <w:pPr>
              <w:ind w:right="-103" w:hanging="108"/>
              <w:jc w:val="center"/>
            </w:pPr>
            <w:r w:rsidRPr="00132F39">
              <w:t>2025</w:t>
            </w:r>
            <w:r w:rsidR="00132F39" w:rsidRPr="00132F39">
              <w:t>–</w:t>
            </w:r>
            <w:r w:rsidRPr="00132F39">
              <w:t>2026 роки</w:t>
            </w:r>
          </w:p>
        </w:tc>
        <w:tc>
          <w:tcPr>
            <w:tcW w:w="3261" w:type="dxa"/>
          </w:tcPr>
          <w:p w14:paraId="1F297FFD" w14:textId="77777777" w:rsidR="007D15DE" w:rsidRPr="00D251E3" w:rsidRDefault="007D15DE" w:rsidP="002D5C06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освіти</w:t>
            </w:r>
          </w:p>
        </w:tc>
      </w:tr>
      <w:tr w:rsidR="007D15DE" w:rsidRPr="00D251E3" w14:paraId="203D48B6" w14:textId="77777777" w:rsidTr="002D5C06">
        <w:trPr>
          <w:trHeight w:val="1973"/>
        </w:trPr>
        <w:tc>
          <w:tcPr>
            <w:tcW w:w="426" w:type="dxa"/>
            <w:vMerge/>
          </w:tcPr>
          <w:p w14:paraId="5BA2E1F2" w14:textId="77777777" w:rsidR="007D15DE" w:rsidRPr="00D251E3" w:rsidRDefault="007D15DE" w:rsidP="00132F3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12C2E4CC" w14:textId="77777777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59D01E74" w14:textId="16690428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4.3.</w:t>
            </w:r>
            <w:r w:rsidR="00132F39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 xml:space="preserve">Проведення просвітницької кампанії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D251E3">
              <w:rPr>
                <w:szCs w:val="28"/>
                <w:lang w:val="uk-UA"/>
              </w:rPr>
              <w:t>булінгу</w:t>
            </w:r>
            <w:proofErr w:type="spellEnd"/>
            <w:r w:rsidRPr="00D251E3">
              <w:rPr>
                <w:szCs w:val="28"/>
                <w:lang w:val="uk-UA"/>
              </w:rPr>
              <w:t xml:space="preserve"> осіб з інвалідністю, осіб з інвалідністю внаслідок війни, осіб з особливими освітніми </w:t>
            </w:r>
            <w:r w:rsidRPr="004535AE">
              <w:rPr>
                <w:szCs w:val="28"/>
                <w:lang w:val="uk-UA"/>
              </w:rPr>
              <w:t>потребами як вагом</w:t>
            </w:r>
            <w:r w:rsidR="004535AE">
              <w:rPr>
                <w:szCs w:val="28"/>
                <w:lang w:val="uk-UA"/>
              </w:rPr>
              <w:t>ої</w:t>
            </w:r>
            <w:r w:rsidRPr="004535AE">
              <w:rPr>
                <w:szCs w:val="28"/>
                <w:lang w:val="uk-UA"/>
              </w:rPr>
              <w:t xml:space="preserve"> складов</w:t>
            </w:r>
            <w:r w:rsidR="004535AE">
              <w:rPr>
                <w:szCs w:val="28"/>
                <w:lang w:val="uk-UA"/>
              </w:rPr>
              <w:t>ої</w:t>
            </w:r>
            <w:r w:rsidRPr="004535AE">
              <w:rPr>
                <w:szCs w:val="28"/>
                <w:lang w:val="uk-UA"/>
              </w:rPr>
              <w:t xml:space="preserve"> </w:t>
            </w:r>
            <w:r w:rsidRPr="00D251E3">
              <w:rPr>
                <w:szCs w:val="28"/>
                <w:lang w:val="uk-UA"/>
              </w:rPr>
              <w:t>інтеграції у життя громади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14:paraId="202D38C3" w14:textId="16943F21" w:rsidR="007D15DE" w:rsidRPr="00132F39" w:rsidRDefault="007D15DE" w:rsidP="00132F39">
            <w:pPr>
              <w:ind w:right="-103" w:hanging="108"/>
              <w:jc w:val="center"/>
            </w:pPr>
            <w:r w:rsidRPr="00132F39">
              <w:t>2025</w:t>
            </w:r>
            <w:r w:rsidR="00132F39">
              <w:t>–</w:t>
            </w:r>
            <w:r w:rsidRPr="00132F39">
              <w:t>2026 роки</w:t>
            </w:r>
          </w:p>
        </w:tc>
        <w:tc>
          <w:tcPr>
            <w:tcW w:w="3261" w:type="dxa"/>
          </w:tcPr>
          <w:p w14:paraId="01E7448B" w14:textId="77777777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соціальної політики</w:t>
            </w:r>
          </w:p>
        </w:tc>
      </w:tr>
      <w:tr w:rsidR="007D15DE" w:rsidRPr="00D251E3" w14:paraId="558F141A" w14:textId="77777777" w:rsidTr="002D5C06">
        <w:trPr>
          <w:trHeight w:val="841"/>
        </w:trPr>
        <w:tc>
          <w:tcPr>
            <w:tcW w:w="426" w:type="dxa"/>
            <w:vMerge/>
          </w:tcPr>
          <w:p w14:paraId="6A1B3B25" w14:textId="77777777" w:rsidR="007D15DE" w:rsidRPr="00D251E3" w:rsidRDefault="007D15DE" w:rsidP="00132F3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31B8E0CB" w14:textId="77777777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1C94AA3C" w14:textId="1B8752DB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4.4.</w:t>
            </w:r>
            <w:r w:rsidR="002D5C06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 xml:space="preserve">Проведення заходів з підвищення рівня культури </w:t>
            </w:r>
            <w:proofErr w:type="spellStart"/>
            <w:r w:rsidRPr="00D251E3">
              <w:rPr>
                <w:szCs w:val="28"/>
                <w:lang w:val="uk-UA"/>
              </w:rPr>
              <w:t>волонтерства</w:t>
            </w:r>
            <w:proofErr w:type="spellEnd"/>
            <w:r w:rsidRPr="00D251E3">
              <w:rPr>
                <w:szCs w:val="28"/>
                <w:lang w:val="uk-UA"/>
              </w:rPr>
              <w:t xml:space="preserve"> серед молоді</w:t>
            </w:r>
            <w:r w:rsidR="00471DAB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14:paraId="0E537526" w14:textId="658324DE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ind w:right="-103" w:hanging="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132F39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</w:tcPr>
          <w:p w14:paraId="32C1F2DF" w14:textId="77777777" w:rsidR="007D15DE" w:rsidRPr="00D251E3" w:rsidRDefault="007D15DE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молоді та спорту</w:t>
            </w:r>
          </w:p>
        </w:tc>
      </w:tr>
      <w:tr w:rsidR="00766609" w:rsidRPr="00D251E3" w14:paraId="4831C465" w14:textId="77777777" w:rsidTr="002D5C06">
        <w:trPr>
          <w:trHeight w:val="414"/>
        </w:trPr>
        <w:tc>
          <w:tcPr>
            <w:tcW w:w="426" w:type="dxa"/>
            <w:vMerge w:val="restart"/>
          </w:tcPr>
          <w:p w14:paraId="6D030109" w14:textId="77777777" w:rsidR="00766609" w:rsidRPr="00D251E3" w:rsidRDefault="00766609" w:rsidP="00132F3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 w:val="restart"/>
          </w:tcPr>
          <w:p w14:paraId="274B9D13" w14:textId="77777777" w:rsidR="00766609" w:rsidRPr="00D251E3" w:rsidRDefault="00766609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Впровадження системи інформування реалізації освітніх прав здобувачів освіти з особливими освітніми потребами</w:t>
            </w:r>
          </w:p>
        </w:tc>
        <w:tc>
          <w:tcPr>
            <w:tcW w:w="7088" w:type="dxa"/>
          </w:tcPr>
          <w:p w14:paraId="1AD59D79" w14:textId="4B45E262" w:rsidR="00766609" w:rsidRPr="00D251E3" w:rsidRDefault="00766609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5.1. Забезпечення консультаційної підтримки працівників закладів середньої освіти щодо надання якісних освітніх послуг для здобувачів освіти з особливими освітніми потребами (освітні сесії, служба підтримки, інструкції, кращі практики)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14:paraId="1006EDF2" w14:textId="5A8053F9" w:rsidR="00766609" w:rsidRPr="00D251E3" w:rsidRDefault="00766609" w:rsidP="00132F39">
            <w:pPr>
              <w:pStyle w:val="a3"/>
              <w:shd w:val="clear" w:color="auto" w:fill="FFFFFF"/>
              <w:spacing w:after="0" w:line="240" w:lineRule="auto"/>
              <w:ind w:right="-103" w:hanging="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132F39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</w:tcPr>
          <w:p w14:paraId="74E31F39" w14:textId="77777777" w:rsidR="00766609" w:rsidRPr="00D251E3" w:rsidRDefault="00766609" w:rsidP="00132F39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освіти</w:t>
            </w:r>
          </w:p>
        </w:tc>
      </w:tr>
      <w:tr w:rsidR="009D40B0" w:rsidRPr="00D251E3" w14:paraId="46BF2062" w14:textId="77777777" w:rsidTr="002D5C06">
        <w:trPr>
          <w:trHeight w:val="958"/>
        </w:trPr>
        <w:tc>
          <w:tcPr>
            <w:tcW w:w="426" w:type="dxa"/>
            <w:vMerge/>
          </w:tcPr>
          <w:p w14:paraId="384825BE" w14:textId="77777777" w:rsidR="009D40B0" w:rsidRPr="00D251E3" w:rsidRDefault="009D40B0" w:rsidP="00132F3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42DCB5B3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28337F67" w14:textId="329E9AA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5.2.</w:t>
            </w:r>
            <w:r w:rsidR="00132F39">
              <w:rPr>
                <w:szCs w:val="28"/>
                <w:lang w:val="uk-UA"/>
              </w:rPr>
              <w:t> </w:t>
            </w:r>
            <w:r w:rsidRPr="00D251E3">
              <w:rPr>
                <w:szCs w:val="28"/>
                <w:lang w:val="uk-UA"/>
              </w:rPr>
              <w:t>Запровадження громадських обговорень з питань інклюзії з метою забезпечення зворотного зв’язку та підвищення суспільного рівня розуміння і прийняття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14:paraId="5AAB510F" w14:textId="53B792C2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ind w:right="-103" w:hanging="108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132F39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</w:tcPr>
          <w:p w14:paraId="79518097" w14:textId="77777777" w:rsidR="009D40B0" w:rsidRPr="00D251E3" w:rsidRDefault="009D40B0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освіти</w:t>
            </w:r>
          </w:p>
        </w:tc>
      </w:tr>
      <w:tr w:rsidR="00BC3990" w:rsidRPr="00D251E3" w14:paraId="3D363722" w14:textId="77777777" w:rsidTr="002D5C06">
        <w:trPr>
          <w:trHeight w:val="988"/>
        </w:trPr>
        <w:tc>
          <w:tcPr>
            <w:tcW w:w="426" w:type="dxa"/>
            <w:vMerge w:val="restart"/>
          </w:tcPr>
          <w:p w14:paraId="2D4A2F70" w14:textId="77777777" w:rsidR="00BC3990" w:rsidRPr="00D251E3" w:rsidRDefault="00BC3990" w:rsidP="00132F3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 w:val="restart"/>
          </w:tcPr>
          <w:p w14:paraId="120A9B61" w14:textId="77777777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Забезпечення підтримки працевлаштування для жінок, молоді, осіб старшого віку та ветеранів війни</w:t>
            </w:r>
          </w:p>
        </w:tc>
        <w:tc>
          <w:tcPr>
            <w:tcW w:w="7088" w:type="dxa"/>
          </w:tcPr>
          <w:p w14:paraId="3BF79ADA" w14:textId="5EDC64A3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6.1</w:t>
            </w:r>
            <w:r w:rsidR="00132F39">
              <w:rPr>
                <w:szCs w:val="28"/>
                <w:lang w:val="uk-UA"/>
              </w:rPr>
              <w:t>. </w:t>
            </w:r>
            <w:r w:rsidRPr="00D251E3">
              <w:rPr>
                <w:szCs w:val="28"/>
                <w:lang w:val="uk-UA"/>
              </w:rPr>
              <w:t>Здійснення заходів, спрямованих на покращення навичок молоді, необхідних для пошуку роботи та успішного працевлаштування та соціального підприємництва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6308" w14:textId="4F9A3BE2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</w:t>
            </w:r>
            <w:r w:rsidR="00132F39">
              <w:rPr>
                <w:szCs w:val="28"/>
                <w:lang w:val="uk-UA"/>
              </w:rPr>
              <w:t>–</w:t>
            </w:r>
            <w:r w:rsidRPr="00D251E3">
              <w:rPr>
                <w:szCs w:val="28"/>
                <w:lang w:val="uk-UA"/>
              </w:rPr>
              <w:t>2026 роки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E87A" w14:textId="77777777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молоді та спорту, департамент освіти</w:t>
            </w:r>
          </w:p>
        </w:tc>
      </w:tr>
      <w:tr w:rsidR="00BC3990" w:rsidRPr="00D251E3" w14:paraId="3B9F44AC" w14:textId="77777777" w:rsidTr="002D5C06">
        <w:trPr>
          <w:trHeight w:val="988"/>
        </w:trPr>
        <w:tc>
          <w:tcPr>
            <w:tcW w:w="426" w:type="dxa"/>
            <w:vMerge/>
          </w:tcPr>
          <w:p w14:paraId="63EDF0A3" w14:textId="77777777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3685" w:type="dxa"/>
            <w:vMerge/>
          </w:tcPr>
          <w:p w14:paraId="3A3587FD" w14:textId="77777777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14:paraId="32AEC888" w14:textId="20B4DD71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6.2</w:t>
            </w:r>
            <w:r w:rsidR="00132F39">
              <w:rPr>
                <w:szCs w:val="28"/>
                <w:lang w:val="uk-UA"/>
              </w:rPr>
              <w:t>. </w:t>
            </w:r>
            <w:r w:rsidRPr="00D251E3">
              <w:rPr>
                <w:szCs w:val="28"/>
                <w:lang w:val="uk-UA"/>
              </w:rPr>
              <w:t>Забезпечення проведення комунікаційних заходів щодо підтримки чоловіків та жінок після завершення військової служби</w:t>
            </w:r>
            <w:r w:rsidR="00322432" w:rsidRPr="00D251E3">
              <w:rPr>
                <w:szCs w:val="28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D827" w14:textId="77777777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2025-2026 роки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4CB2" w14:textId="77777777" w:rsidR="00BC3990" w:rsidRPr="00D251E3" w:rsidRDefault="00BC3990" w:rsidP="00132F39">
            <w:pPr>
              <w:pStyle w:val="a3"/>
              <w:shd w:val="clear" w:color="auto" w:fill="FFFFFF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D251E3">
              <w:rPr>
                <w:szCs w:val="28"/>
                <w:lang w:val="uk-UA"/>
              </w:rPr>
              <w:t>Департамент з питань ветеранської політики</w:t>
            </w:r>
          </w:p>
        </w:tc>
      </w:tr>
    </w:tbl>
    <w:p w14:paraId="681A45A3" w14:textId="77777777" w:rsidR="00453A93" w:rsidRDefault="00453A93" w:rsidP="0064732E">
      <w:pPr>
        <w:jc w:val="both"/>
      </w:pPr>
    </w:p>
    <w:p w14:paraId="176E7F46" w14:textId="77777777" w:rsidR="002D5C06" w:rsidRPr="002D5C06" w:rsidRDefault="002D5C06" w:rsidP="0064732E">
      <w:pPr>
        <w:jc w:val="both"/>
      </w:pPr>
    </w:p>
    <w:p w14:paraId="52EE5F2C" w14:textId="77777777" w:rsidR="00453A93" w:rsidRDefault="00453A93" w:rsidP="0064732E">
      <w:pPr>
        <w:jc w:val="both"/>
        <w:rPr>
          <w:lang w:val="en-US"/>
        </w:rPr>
      </w:pPr>
    </w:p>
    <w:p w14:paraId="1FCEEC99" w14:textId="77777777" w:rsidR="00D251E3" w:rsidRDefault="00CA232E" w:rsidP="00D251E3">
      <w:pPr>
        <w:ind w:firstLine="426"/>
        <w:jc w:val="both"/>
      </w:pPr>
      <w:r>
        <w:t>Заступник міського голови</w:t>
      </w:r>
      <w:r w:rsidR="00D251E3">
        <w:t xml:space="preserve">, </w:t>
      </w:r>
    </w:p>
    <w:p w14:paraId="1DC5F679" w14:textId="179ACC38" w:rsidR="0064732E" w:rsidRPr="00CA232E" w:rsidRDefault="00D251E3" w:rsidP="00D251E3">
      <w:pPr>
        <w:ind w:firstLine="426"/>
        <w:jc w:val="both"/>
      </w:pPr>
      <w:r>
        <w:t>керуючий справами виконкому</w:t>
      </w:r>
      <w:r w:rsidR="00CA232E">
        <w:tab/>
      </w:r>
      <w:r w:rsidR="00CA232E">
        <w:tab/>
      </w:r>
      <w:r w:rsidR="00CA232E">
        <w:tab/>
      </w:r>
      <w:r w:rsidR="00CA232E">
        <w:tab/>
      </w:r>
      <w:r w:rsidR="00CA232E">
        <w:tab/>
      </w:r>
      <w:r w:rsidR="00CA232E">
        <w:tab/>
      </w:r>
      <w:r w:rsidR="00CA232E">
        <w:tab/>
      </w:r>
      <w:r w:rsidR="00CA232E">
        <w:tab/>
      </w:r>
      <w:r w:rsidR="00CA232E">
        <w:tab/>
      </w:r>
      <w:r w:rsidR="00CA232E">
        <w:tab/>
      </w:r>
      <w:r w:rsidR="00CA232E">
        <w:tab/>
      </w:r>
      <w:r w:rsidR="004535AE">
        <w:tab/>
      </w:r>
      <w:r w:rsidR="00CA232E">
        <w:tab/>
      </w:r>
      <w:r>
        <w:t>Юрій ВЕРБИЧ</w:t>
      </w:r>
    </w:p>
    <w:p w14:paraId="4E8D517A" w14:textId="77777777" w:rsidR="0064732E" w:rsidRDefault="0064732E" w:rsidP="00D251E3">
      <w:pPr>
        <w:ind w:firstLine="426"/>
        <w:jc w:val="both"/>
        <w:rPr>
          <w:lang w:val="ru-RU"/>
        </w:rPr>
      </w:pPr>
    </w:p>
    <w:p w14:paraId="1E7BA724" w14:textId="77777777" w:rsidR="004C75CC" w:rsidRPr="004C75CC" w:rsidRDefault="004C75CC" w:rsidP="00D251E3">
      <w:pPr>
        <w:ind w:firstLine="426"/>
        <w:jc w:val="both"/>
        <w:rPr>
          <w:sz w:val="16"/>
          <w:szCs w:val="16"/>
          <w:lang w:val="ru-RU"/>
        </w:rPr>
      </w:pPr>
    </w:p>
    <w:p w14:paraId="08C7C030" w14:textId="17F90958" w:rsidR="00C87029" w:rsidRDefault="0064732E" w:rsidP="00D251E3">
      <w:pPr>
        <w:ind w:firstLine="426"/>
        <w:jc w:val="both"/>
        <w:rPr>
          <w:sz w:val="24"/>
        </w:rPr>
      </w:pPr>
      <w:r w:rsidRPr="0064732E">
        <w:rPr>
          <w:sz w:val="24"/>
        </w:rPr>
        <w:t>Майборода 284</w:t>
      </w:r>
      <w:r w:rsidR="00D251E3">
        <w:rPr>
          <w:sz w:val="24"/>
        </w:rPr>
        <w:t> </w:t>
      </w:r>
      <w:r w:rsidRPr="0064732E">
        <w:rPr>
          <w:sz w:val="24"/>
        </w:rPr>
        <w:t>177</w:t>
      </w:r>
    </w:p>
    <w:p w14:paraId="4BCA02A1" w14:textId="77777777" w:rsidR="00D251E3" w:rsidRPr="0064732E" w:rsidRDefault="00D251E3" w:rsidP="00D251E3">
      <w:pPr>
        <w:ind w:firstLine="426"/>
        <w:jc w:val="both"/>
        <w:rPr>
          <w:sz w:val="24"/>
          <w:lang w:val="ru-RU"/>
        </w:rPr>
      </w:pPr>
    </w:p>
    <w:sectPr w:rsidR="00D251E3" w:rsidRPr="0064732E" w:rsidSect="00D251E3">
      <w:headerReference w:type="default" r:id="rId8"/>
      <w:pgSz w:w="16838" w:h="11906" w:orient="landscape"/>
      <w:pgMar w:top="1985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3AA9" w14:textId="77777777" w:rsidR="007956A8" w:rsidRDefault="007956A8" w:rsidP="00474EC8">
      <w:r>
        <w:separator/>
      </w:r>
    </w:p>
  </w:endnote>
  <w:endnote w:type="continuationSeparator" w:id="0">
    <w:p w14:paraId="4A5D0291" w14:textId="77777777" w:rsidR="007956A8" w:rsidRDefault="007956A8" w:rsidP="0047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F3D0" w14:textId="77777777" w:rsidR="007956A8" w:rsidRDefault="007956A8" w:rsidP="00474EC8">
      <w:r>
        <w:separator/>
      </w:r>
    </w:p>
  </w:footnote>
  <w:footnote w:type="continuationSeparator" w:id="0">
    <w:p w14:paraId="7C36419D" w14:textId="77777777" w:rsidR="007956A8" w:rsidRDefault="007956A8" w:rsidP="0047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183927"/>
      <w:docPartObj>
        <w:docPartGallery w:val="Page Numbers (Top of Page)"/>
        <w:docPartUnique/>
      </w:docPartObj>
    </w:sdtPr>
    <w:sdtContent>
      <w:p w14:paraId="062F3B75" w14:textId="77777777" w:rsidR="00474EC8" w:rsidRDefault="00474E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32E" w:rsidRPr="00CA232E">
          <w:rPr>
            <w:noProof/>
            <w:lang w:val="ru-RU"/>
          </w:rPr>
          <w:t>4</w:t>
        </w:r>
        <w:r>
          <w:fldChar w:fldCharType="end"/>
        </w:r>
      </w:p>
    </w:sdtContent>
  </w:sdt>
  <w:p w14:paraId="5D089EB1" w14:textId="77777777" w:rsidR="00474EC8" w:rsidRDefault="00474E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 w16cid:durableId="1648247396">
    <w:abstractNumId w:val="1"/>
  </w:num>
  <w:num w:numId="2" w16cid:durableId="178738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CA5"/>
    <w:rsid w:val="00002E1F"/>
    <w:rsid w:val="000030F3"/>
    <w:rsid w:val="0000738B"/>
    <w:rsid w:val="000538DB"/>
    <w:rsid w:val="00055F70"/>
    <w:rsid w:val="00066E9D"/>
    <w:rsid w:val="000778ED"/>
    <w:rsid w:val="00080F3E"/>
    <w:rsid w:val="00092061"/>
    <w:rsid w:val="000A1C37"/>
    <w:rsid w:val="000A2065"/>
    <w:rsid w:val="000B735F"/>
    <w:rsid w:val="000D111F"/>
    <w:rsid w:val="000D2BA5"/>
    <w:rsid w:val="000E7A88"/>
    <w:rsid w:val="000F7ACA"/>
    <w:rsid w:val="0010374F"/>
    <w:rsid w:val="0011383D"/>
    <w:rsid w:val="00132F39"/>
    <w:rsid w:val="00141A64"/>
    <w:rsid w:val="0014378B"/>
    <w:rsid w:val="0015587A"/>
    <w:rsid w:val="00160293"/>
    <w:rsid w:val="00172DBA"/>
    <w:rsid w:val="001754B2"/>
    <w:rsid w:val="00182008"/>
    <w:rsid w:val="001853FC"/>
    <w:rsid w:val="00193578"/>
    <w:rsid w:val="001C720A"/>
    <w:rsid w:val="001E23F4"/>
    <w:rsid w:val="00201FDE"/>
    <w:rsid w:val="00224201"/>
    <w:rsid w:val="00250920"/>
    <w:rsid w:val="0025561F"/>
    <w:rsid w:val="00257588"/>
    <w:rsid w:val="00260424"/>
    <w:rsid w:val="002648F6"/>
    <w:rsid w:val="00287852"/>
    <w:rsid w:val="002D5C06"/>
    <w:rsid w:val="002F100E"/>
    <w:rsid w:val="0030098E"/>
    <w:rsid w:val="00306DF6"/>
    <w:rsid w:val="00322432"/>
    <w:rsid w:val="00335E91"/>
    <w:rsid w:val="00336535"/>
    <w:rsid w:val="0034548E"/>
    <w:rsid w:val="00352108"/>
    <w:rsid w:val="00372649"/>
    <w:rsid w:val="003739AC"/>
    <w:rsid w:val="0039479D"/>
    <w:rsid w:val="003A45EF"/>
    <w:rsid w:val="003A679A"/>
    <w:rsid w:val="003D3E47"/>
    <w:rsid w:val="003F409B"/>
    <w:rsid w:val="0040397B"/>
    <w:rsid w:val="00430409"/>
    <w:rsid w:val="00446590"/>
    <w:rsid w:val="004535AE"/>
    <w:rsid w:val="00453A93"/>
    <w:rsid w:val="004619F8"/>
    <w:rsid w:val="0047061A"/>
    <w:rsid w:val="00471DAB"/>
    <w:rsid w:val="00474EC8"/>
    <w:rsid w:val="0049255F"/>
    <w:rsid w:val="004A3B76"/>
    <w:rsid w:val="004B581D"/>
    <w:rsid w:val="004C1FA1"/>
    <w:rsid w:val="004C75CC"/>
    <w:rsid w:val="004D0DB6"/>
    <w:rsid w:val="004E2E92"/>
    <w:rsid w:val="00527059"/>
    <w:rsid w:val="00553689"/>
    <w:rsid w:val="005771C3"/>
    <w:rsid w:val="0058193B"/>
    <w:rsid w:val="005B5106"/>
    <w:rsid w:val="005C2786"/>
    <w:rsid w:val="005E0ADE"/>
    <w:rsid w:val="005E2A92"/>
    <w:rsid w:val="005F1A31"/>
    <w:rsid w:val="006039FC"/>
    <w:rsid w:val="0063438F"/>
    <w:rsid w:val="006471EA"/>
    <w:rsid w:val="0064732E"/>
    <w:rsid w:val="00651CBD"/>
    <w:rsid w:val="006557D3"/>
    <w:rsid w:val="00662C64"/>
    <w:rsid w:val="006D29AA"/>
    <w:rsid w:val="00724F05"/>
    <w:rsid w:val="00742733"/>
    <w:rsid w:val="0074288D"/>
    <w:rsid w:val="00743464"/>
    <w:rsid w:val="00763B71"/>
    <w:rsid w:val="00766609"/>
    <w:rsid w:val="00773793"/>
    <w:rsid w:val="0078155E"/>
    <w:rsid w:val="007956A8"/>
    <w:rsid w:val="007C0457"/>
    <w:rsid w:val="007C5F24"/>
    <w:rsid w:val="007C7BE3"/>
    <w:rsid w:val="007D15DE"/>
    <w:rsid w:val="007D4E32"/>
    <w:rsid w:val="007E77B3"/>
    <w:rsid w:val="007F2D83"/>
    <w:rsid w:val="00812E66"/>
    <w:rsid w:val="008146B9"/>
    <w:rsid w:val="0083492A"/>
    <w:rsid w:val="00853098"/>
    <w:rsid w:val="00862D2C"/>
    <w:rsid w:val="00880840"/>
    <w:rsid w:val="008E5AC3"/>
    <w:rsid w:val="00902C89"/>
    <w:rsid w:val="009272D0"/>
    <w:rsid w:val="0094718A"/>
    <w:rsid w:val="00954413"/>
    <w:rsid w:val="009A78D9"/>
    <w:rsid w:val="009C4377"/>
    <w:rsid w:val="009D40B0"/>
    <w:rsid w:val="00A002A6"/>
    <w:rsid w:val="00A13D95"/>
    <w:rsid w:val="00A227B3"/>
    <w:rsid w:val="00A4456A"/>
    <w:rsid w:val="00A46712"/>
    <w:rsid w:val="00A719CD"/>
    <w:rsid w:val="00AB24A1"/>
    <w:rsid w:val="00AC52C9"/>
    <w:rsid w:val="00AD1283"/>
    <w:rsid w:val="00AE0F92"/>
    <w:rsid w:val="00B26E1C"/>
    <w:rsid w:val="00B3431F"/>
    <w:rsid w:val="00B46370"/>
    <w:rsid w:val="00B509F5"/>
    <w:rsid w:val="00B8174D"/>
    <w:rsid w:val="00B86A22"/>
    <w:rsid w:val="00B9031A"/>
    <w:rsid w:val="00BA7A14"/>
    <w:rsid w:val="00BC3990"/>
    <w:rsid w:val="00BC3E15"/>
    <w:rsid w:val="00BD56E4"/>
    <w:rsid w:val="00BE6E24"/>
    <w:rsid w:val="00C063EF"/>
    <w:rsid w:val="00C11376"/>
    <w:rsid w:val="00C14634"/>
    <w:rsid w:val="00C22DD1"/>
    <w:rsid w:val="00C51BDE"/>
    <w:rsid w:val="00C551D3"/>
    <w:rsid w:val="00C87029"/>
    <w:rsid w:val="00C94AE0"/>
    <w:rsid w:val="00CA232E"/>
    <w:rsid w:val="00CB4404"/>
    <w:rsid w:val="00CB6D04"/>
    <w:rsid w:val="00CC558F"/>
    <w:rsid w:val="00CE741C"/>
    <w:rsid w:val="00CF340A"/>
    <w:rsid w:val="00D251E3"/>
    <w:rsid w:val="00D40479"/>
    <w:rsid w:val="00D40917"/>
    <w:rsid w:val="00D62D15"/>
    <w:rsid w:val="00DB1B03"/>
    <w:rsid w:val="00DC07C9"/>
    <w:rsid w:val="00DC7073"/>
    <w:rsid w:val="00DE7455"/>
    <w:rsid w:val="00DF7A24"/>
    <w:rsid w:val="00E053BD"/>
    <w:rsid w:val="00E068E0"/>
    <w:rsid w:val="00E25CA5"/>
    <w:rsid w:val="00E830D1"/>
    <w:rsid w:val="00EE3B03"/>
    <w:rsid w:val="00F05E77"/>
    <w:rsid w:val="00F176DF"/>
    <w:rsid w:val="00F70F2E"/>
    <w:rsid w:val="00F94C1B"/>
    <w:rsid w:val="00FB45DD"/>
    <w:rsid w:val="00F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EA1A"/>
  <w15:docId w15:val="{BB0E29AA-4A20-4B4F-A5F8-92BF68C2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CA5"/>
    <w:pPr>
      <w:suppressAutoHyphens/>
      <w:spacing w:after="0"/>
      <w:ind w:firstLine="0"/>
    </w:pPr>
    <w:rPr>
      <w:rFonts w:eastAsia="Times New Roman" w:cs="Times New Roman"/>
      <w:bCs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40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25CA5"/>
    <w:pPr>
      <w:spacing w:after="140" w:line="288" w:lineRule="auto"/>
    </w:pPr>
    <w:rPr>
      <w:lang w:val="x-none"/>
    </w:rPr>
  </w:style>
  <w:style w:type="character" w:customStyle="1" w:styleId="a4">
    <w:name w:val="Основний текст Знак"/>
    <w:basedOn w:val="a0"/>
    <w:link w:val="a3"/>
    <w:rsid w:val="00E25CA5"/>
    <w:rPr>
      <w:rFonts w:eastAsia="Times New Roman" w:cs="Times New Roman"/>
      <w:bCs/>
      <w:szCs w:val="24"/>
      <w:lang w:val="x-none" w:eastAsia="zh-CN"/>
    </w:rPr>
  </w:style>
  <w:style w:type="paragraph" w:styleId="a5">
    <w:name w:val="No Spacing"/>
    <w:uiPriority w:val="99"/>
    <w:qFormat/>
    <w:rsid w:val="00E25CA5"/>
    <w:pPr>
      <w:suppressAutoHyphens/>
      <w:spacing w:after="0"/>
      <w:ind w:firstLine="0"/>
    </w:pPr>
    <w:rPr>
      <w:rFonts w:eastAsia="Times New Roman" w:cs="Times New Roman"/>
      <w:szCs w:val="28"/>
      <w:lang w:eastAsia="zh-CN"/>
    </w:rPr>
  </w:style>
  <w:style w:type="paragraph" w:styleId="a6">
    <w:name w:val="Normal (Web)"/>
    <w:basedOn w:val="a"/>
    <w:unhideWhenUsed/>
    <w:rsid w:val="0040397B"/>
    <w:pPr>
      <w:spacing w:before="280" w:after="280"/>
    </w:pPr>
    <w:rPr>
      <w:bCs w:val="0"/>
      <w:sz w:val="24"/>
    </w:rPr>
  </w:style>
  <w:style w:type="character" w:styleId="a7">
    <w:name w:val="Hyperlink"/>
    <w:basedOn w:val="a0"/>
    <w:uiPriority w:val="99"/>
    <w:semiHidden/>
    <w:unhideWhenUsed/>
    <w:rsid w:val="00E053BD"/>
    <w:rPr>
      <w:color w:val="0000FF"/>
      <w:u w:val="single"/>
    </w:rPr>
  </w:style>
  <w:style w:type="character" w:styleId="a8">
    <w:name w:val="Strong"/>
    <w:basedOn w:val="a0"/>
    <w:uiPriority w:val="22"/>
    <w:qFormat/>
    <w:rsid w:val="00CB440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27B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227B3"/>
    <w:rPr>
      <w:rFonts w:ascii="Tahoma" w:eastAsia="Times New Roman" w:hAnsi="Tahoma" w:cs="Tahoma"/>
      <w:bCs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474EC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474EC8"/>
    <w:rPr>
      <w:rFonts w:eastAsia="Times New Roman" w:cs="Times New Roman"/>
      <w:bCs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474EC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74EC8"/>
    <w:rPr>
      <w:rFonts w:eastAsia="Times New Roman" w:cs="Times New Roman"/>
      <w:bCs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40479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8BCE-4D3E-4953-A4A7-3574128E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4339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Ірина Нагурна</cp:lastModifiedBy>
  <cp:revision>9</cp:revision>
  <cp:lastPrinted>2022-07-18T11:38:00Z</cp:lastPrinted>
  <dcterms:created xsi:type="dcterms:W3CDTF">2025-07-06T07:29:00Z</dcterms:created>
  <dcterms:modified xsi:type="dcterms:W3CDTF">2025-08-05T07:59:00Z</dcterms:modified>
</cp:coreProperties>
</file>