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648D" w14:textId="307588FB" w:rsidR="00EB6849" w:rsidRDefault="00000000">
      <w:pPr>
        <w:ind w:left="-180" w:firstLine="888"/>
        <w:jc w:val="center"/>
        <w:rPr>
          <w:b/>
          <w:bCs/>
          <w:sz w:val="28"/>
          <w:szCs w:val="28"/>
        </w:rPr>
      </w:pPr>
      <w:r>
        <w:rPr>
          <w:sz w:val="27"/>
          <w:szCs w:val="27"/>
        </w:rPr>
        <w:t xml:space="preserve">Пояснювальна записка </w:t>
      </w:r>
    </w:p>
    <w:p w14:paraId="67823595" w14:textId="77777777" w:rsidR="00EB6849" w:rsidRDefault="00000000">
      <w:pPr>
        <w:ind w:left="-180" w:firstLine="888"/>
        <w:jc w:val="center"/>
        <w:rPr>
          <w:sz w:val="28"/>
          <w:szCs w:val="28"/>
        </w:rPr>
      </w:pPr>
      <w:r>
        <w:rPr>
          <w:sz w:val="27"/>
          <w:szCs w:val="27"/>
        </w:rPr>
        <w:t xml:space="preserve">до </w:t>
      </w:r>
      <w:proofErr w:type="spellStart"/>
      <w:r>
        <w:rPr>
          <w:sz w:val="27"/>
          <w:szCs w:val="27"/>
        </w:rPr>
        <w:t>проєкту</w:t>
      </w:r>
      <w:proofErr w:type="spellEnd"/>
      <w:r>
        <w:rPr>
          <w:sz w:val="27"/>
          <w:szCs w:val="27"/>
        </w:rPr>
        <w:t xml:space="preserve"> рішення виконавчого комітету Луцької міської ради </w:t>
      </w:r>
    </w:p>
    <w:p w14:paraId="094E9675" w14:textId="77777777" w:rsidR="00EB6849" w:rsidRDefault="00000000">
      <w:pPr>
        <w:ind w:left="-180" w:firstLine="888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“Про вартість проїзду в автобусах, що працюють на міських маршрутах у звичайному режимі руху” </w:t>
      </w:r>
    </w:p>
    <w:p w14:paraId="26EECD9D" w14:textId="77777777" w:rsidR="00EB6849" w:rsidRDefault="00EB6849">
      <w:pPr>
        <w:ind w:left="-180" w:firstLine="888"/>
        <w:jc w:val="center"/>
        <w:rPr>
          <w:bCs/>
          <w:sz w:val="27"/>
          <w:szCs w:val="27"/>
        </w:rPr>
      </w:pPr>
    </w:p>
    <w:p w14:paraId="3252C1F9" w14:textId="509B2376" w:rsidR="00EB6849" w:rsidRDefault="00976E22">
      <w:pPr>
        <w:ind w:firstLine="54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</w:t>
      </w:r>
      <w:r w:rsidR="00000000">
        <w:rPr>
          <w:sz w:val="27"/>
          <w:szCs w:val="27"/>
        </w:rPr>
        <w:t>роєкт</w:t>
      </w:r>
      <w:proofErr w:type="spellEnd"/>
      <w:r>
        <w:rPr>
          <w:sz w:val="27"/>
          <w:szCs w:val="27"/>
        </w:rPr>
        <w:t xml:space="preserve"> </w:t>
      </w:r>
      <w:r w:rsidR="00000000">
        <w:rPr>
          <w:sz w:val="27"/>
          <w:szCs w:val="27"/>
        </w:rPr>
        <w:t>рішення підготовлено у зв’язку зі зверненням суб’єктів господарювання, що здійснюють перевезення пасажирів автобусами на міських маршрутах загального користування: ТОВ “</w:t>
      </w:r>
      <w:proofErr w:type="spellStart"/>
      <w:r w:rsidR="00000000">
        <w:rPr>
          <w:sz w:val="27"/>
          <w:szCs w:val="27"/>
        </w:rPr>
        <w:t>Бест</w:t>
      </w:r>
      <w:proofErr w:type="spellEnd"/>
      <w:r w:rsidR="00000000">
        <w:rPr>
          <w:sz w:val="27"/>
          <w:szCs w:val="27"/>
        </w:rPr>
        <w:t xml:space="preserve"> </w:t>
      </w:r>
      <w:proofErr w:type="spellStart"/>
      <w:r w:rsidR="00000000">
        <w:rPr>
          <w:sz w:val="27"/>
          <w:szCs w:val="27"/>
        </w:rPr>
        <w:t>Ленад</w:t>
      </w:r>
      <w:proofErr w:type="spellEnd"/>
      <w:r w:rsidR="00000000">
        <w:rPr>
          <w:sz w:val="27"/>
          <w:szCs w:val="27"/>
        </w:rPr>
        <w:t xml:space="preserve"> Груп” (маршрути 3, 9, 32), ТзОВ ВТП “</w:t>
      </w:r>
      <w:proofErr w:type="spellStart"/>
      <w:r w:rsidR="00000000">
        <w:rPr>
          <w:sz w:val="27"/>
          <w:szCs w:val="27"/>
        </w:rPr>
        <w:t>Санрайз</w:t>
      </w:r>
      <w:proofErr w:type="spellEnd"/>
      <w:r w:rsidR="00000000">
        <w:rPr>
          <w:sz w:val="27"/>
          <w:szCs w:val="27"/>
        </w:rPr>
        <w:t xml:space="preserve">” ЛТД (2, 10, 12, 22), ТзОВ ВТП “ТРАНССІТІ” (1, 25, 26, 30, 31) </w:t>
      </w:r>
      <w:r w:rsidR="00000000">
        <w:rPr>
          <w:color w:val="000000"/>
          <w:sz w:val="27"/>
          <w:szCs w:val="27"/>
        </w:rPr>
        <w:t xml:space="preserve">та ФОП: </w:t>
      </w:r>
      <w:proofErr w:type="spellStart"/>
      <w:r w:rsidR="00000000">
        <w:rPr>
          <w:color w:val="000000"/>
          <w:sz w:val="27"/>
          <w:szCs w:val="27"/>
        </w:rPr>
        <w:t>Федік</w:t>
      </w:r>
      <w:proofErr w:type="spellEnd"/>
      <w:r w:rsidR="00000000">
        <w:rPr>
          <w:color w:val="000000"/>
          <w:sz w:val="27"/>
          <w:szCs w:val="27"/>
        </w:rPr>
        <w:t xml:space="preserve"> Л.Г. (маршрут № 28), Гонтар С.С. (маршрут № 7) щодо підвищення розміру тарифу та надали відповідні розрахунки.</w:t>
      </w:r>
    </w:p>
    <w:p w14:paraId="2BE8414E" w14:textId="52543EA2" w:rsidR="00EB6849" w:rsidRDefault="00000000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Проаналізувавши надані розрахунки встановлено, що вони підготовлені за Методикою розрахунку тарифів на послуги пасажирського автомобільного транспорту, затвердженою </w:t>
      </w:r>
      <w:r w:rsidR="00976E22">
        <w:rPr>
          <w:sz w:val="27"/>
          <w:szCs w:val="27"/>
        </w:rPr>
        <w:t>н</w:t>
      </w:r>
      <w:r>
        <w:rPr>
          <w:sz w:val="27"/>
          <w:szCs w:val="27"/>
        </w:rPr>
        <w:t>аказом Міністерства транспорту та зв’язку України від 17.11.2009 № 1175 (далі – Методика), яка є обов’язковою для застосування під час встановлення регульованого тарифу органами місцевого самоврядування.</w:t>
      </w:r>
    </w:p>
    <w:p w14:paraId="081E0AA2" w14:textId="28E54F27" w:rsidR="00EB6849" w:rsidRDefault="000000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Відповідно до п.</w:t>
      </w:r>
      <w:r w:rsidR="00976E22">
        <w:rPr>
          <w:sz w:val="27"/>
          <w:szCs w:val="27"/>
        </w:rPr>
        <w:t> </w:t>
      </w:r>
      <w:r>
        <w:rPr>
          <w:sz w:val="27"/>
          <w:szCs w:val="27"/>
        </w:rPr>
        <w:t xml:space="preserve">1.6 Методики розрахунку тарифів на послуги пасажирського автомобільного транспорту, затвердженої </w:t>
      </w:r>
      <w:r w:rsidR="00976E22">
        <w:rPr>
          <w:sz w:val="27"/>
          <w:szCs w:val="27"/>
        </w:rPr>
        <w:t>н</w:t>
      </w:r>
      <w:r>
        <w:rPr>
          <w:sz w:val="27"/>
          <w:szCs w:val="27"/>
        </w:rPr>
        <w:t xml:space="preserve">аказом Міністерства транспорту та зв’язку України від 17.11.2009 № 1175: «Перегляд рівня тарифів повинен </w:t>
      </w:r>
      <w:proofErr w:type="spellStart"/>
      <w:r>
        <w:rPr>
          <w:sz w:val="27"/>
          <w:szCs w:val="27"/>
        </w:rPr>
        <w:t>здійснюватись</w:t>
      </w:r>
      <w:proofErr w:type="spellEnd"/>
      <w:r>
        <w:rPr>
          <w:sz w:val="27"/>
          <w:szCs w:val="27"/>
        </w:rPr>
        <w:t xml:space="preserve"> у зв'язку зі зміною умов виробничої діяльності та реалізації Послуг, що не залежать від господарської діяльності Перевізника».</w:t>
      </w:r>
    </w:p>
    <w:p w14:paraId="038A8C4C" w14:textId="77777777" w:rsidR="00EB6849" w:rsidRDefault="00000000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За період дії рішення суттєво зросли складові собівартості надання послуг з перевезення пасажирів такі як, витрати на оплату праці (ріст мінімальної заробітної плати з 6 500 грн до 8 000 грн), вартість мастильних матеріалів, акумуляторів, шин та інших запчастин зросла у півтора-два рази та вартість страхування автотранспортних засобів.</w:t>
      </w:r>
    </w:p>
    <w:p w14:paraId="7534EFDC" w14:textId="77777777" w:rsidR="00EB6849" w:rsidRDefault="00000000">
      <w:pPr>
        <w:ind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Витрати на мастила, шини та акумулятори розраховані із норм визначених наказами Мінтрансу України від 20.05.2006 № 489, 488 та від 10.02.1998 № 43 та вартості </w:t>
      </w:r>
      <w:proofErr w:type="spellStart"/>
      <w:r>
        <w:rPr>
          <w:color w:val="000000"/>
          <w:sz w:val="27"/>
          <w:szCs w:val="27"/>
        </w:rPr>
        <w:t>закупівель</w:t>
      </w:r>
      <w:proofErr w:type="spellEnd"/>
      <w:r>
        <w:rPr>
          <w:color w:val="000000"/>
          <w:sz w:val="27"/>
          <w:szCs w:val="27"/>
        </w:rPr>
        <w:t xml:space="preserve"> згідно з підтвердними документами, наданими перевізниками.</w:t>
      </w:r>
    </w:p>
    <w:p w14:paraId="0AE2CA3B" w14:textId="77777777" w:rsidR="00EB6849" w:rsidRDefault="00000000">
      <w:pPr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Витрати на технічний огляд та усі види ремонтів автобусів враховано відповідно до чинних нормативів витрат на одне обслуговування та із зазначених перевізниками закупівельних цін на запасні частини та матеріали. </w:t>
      </w:r>
    </w:p>
    <w:p w14:paraId="3974DDED" w14:textId="77777777" w:rsidR="00EB6849" w:rsidRDefault="00000000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Розмір рентабельності в розрахунковому тарифі враховано на рівні 5 %. </w:t>
      </w:r>
    </w:p>
    <w:p w14:paraId="5372922E" w14:textId="77777777" w:rsidR="00EB6849" w:rsidRDefault="00000000">
      <w:pPr>
        <w:pStyle w:val="HTML"/>
        <w:shd w:val="clear" w:color="auto" w:fill="FFFFFF"/>
        <w:ind w:firstLine="540"/>
        <w:jc w:val="both"/>
        <w:textAlignment w:val="baseline"/>
        <w:rPr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Планову кількість перевезених пасажирів на маршрутах розраховано на підставі фактичних показників за даними системи “СІТІ КАРД”. </w:t>
      </w:r>
    </w:p>
    <w:p w14:paraId="6D5EDAAE" w14:textId="706D6DE2" w:rsidR="00EB6849" w:rsidRDefault="00000000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Таким чином, розрахунковий тариф на перевезення пасажирів автобусами на маршрутах загального користування у звичайному режимі руху складає – 18,36</w:t>
      </w:r>
      <w:r w:rsidR="00976E22">
        <w:rPr>
          <w:sz w:val="27"/>
          <w:szCs w:val="27"/>
        </w:rPr>
        <w:t> </w:t>
      </w:r>
      <w:r>
        <w:rPr>
          <w:sz w:val="27"/>
          <w:szCs w:val="27"/>
        </w:rPr>
        <w:t>грн. Структура тарифу, що розрахована на 1 автобус на міських маршрутах, наведена у додатку.</w:t>
      </w:r>
    </w:p>
    <w:p w14:paraId="6AF83B98" w14:textId="77777777" w:rsidR="00EB6849" w:rsidRDefault="00EB6849">
      <w:pPr>
        <w:keepNext/>
        <w:ind w:hanging="57"/>
        <w:jc w:val="both"/>
        <w:rPr>
          <w:sz w:val="27"/>
          <w:szCs w:val="27"/>
        </w:rPr>
      </w:pPr>
    </w:p>
    <w:p w14:paraId="5013361F" w14:textId="77777777" w:rsidR="00EB6849" w:rsidRDefault="00EB6849">
      <w:pPr>
        <w:ind w:hanging="57"/>
        <w:jc w:val="both"/>
        <w:rPr>
          <w:sz w:val="27"/>
          <w:szCs w:val="27"/>
        </w:rPr>
      </w:pPr>
    </w:p>
    <w:p w14:paraId="0C101F80" w14:textId="77777777" w:rsidR="00EB6849" w:rsidRDefault="00000000">
      <w:pPr>
        <w:numPr>
          <w:ilvl w:val="3"/>
          <w:numId w:val="2"/>
        </w:numPr>
        <w:ind w:left="0" w:hanging="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 департаменту </w:t>
      </w:r>
    </w:p>
    <w:p w14:paraId="61953BFA" w14:textId="77777777" w:rsidR="00EB6849" w:rsidRDefault="00000000">
      <w:pPr>
        <w:numPr>
          <w:ilvl w:val="3"/>
          <w:numId w:val="2"/>
        </w:numPr>
        <w:ind w:left="0" w:hanging="57"/>
        <w:jc w:val="both"/>
        <w:rPr>
          <w:sz w:val="27"/>
          <w:szCs w:val="27"/>
        </w:rPr>
      </w:pPr>
      <w:r>
        <w:rPr>
          <w:sz w:val="27"/>
          <w:szCs w:val="27"/>
        </w:rPr>
        <w:t>економічної політики                                                                        Борис СМАЛЬ</w:t>
      </w:r>
    </w:p>
    <w:sectPr w:rsidR="00EB6849" w:rsidSect="00976E22">
      <w:headerReference w:type="default" r:id="rId7"/>
      <w:footerReference w:type="default" r:id="rId8"/>
      <w:pgSz w:w="11906" w:h="16838"/>
      <w:pgMar w:top="567" w:right="567" w:bottom="1134" w:left="1985" w:header="510" w:footer="141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D7AC" w14:textId="77777777" w:rsidR="00FB0304" w:rsidRDefault="00FB0304">
      <w:r>
        <w:separator/>
      </w:r>
    </w:p>
  </w:endnote>
  <w:endnote w:type="continuationSeparator" w:id="0">
    <w:p w14:paraId="54214058" w14:textId="77777777" w:rsidR="00FB0304" w:rsidRDefault="00FB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9F8C" w14:textId="77777777" w:rsidR="00EB6849" w:rsidRDefault="00EB68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FDE1" w14:textId="77777777" w:rsidR="00FB0304" w:rsidRDefault="00FB0304">
      <w:r>
        <w:separator/>
      </w:r>
    </w:p>
  </w:footnote>
  <w:footnote w:type="continuationSeparator" w:id="0">
    <w:p w14:paraId="5E5CC196" w14:textId="77777777" w:rsidR="00FB0304" w:rsidRDefault="00FB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4014" w14:textId="77777777" w:rsidR="00EB6849" w:rsidRDefault="00EB68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6B9"/>
    <w:multiLevelType w:val="multilevel"/>
    <w:tmpl w:val="97E4944C"/>
    <w:lvl w:ilvl="0">
      <w:start w:val="1"/>
      <w:numFmt w:val="none"/>
      <w:pStyle w:val="1"/>
      <w:suff w:val="nothing"/>
      <w:lvlText w:val=""/>
      <w:lvlJc w:val="left"/>
      <w:pPr>
        <w:ind w:left="108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108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108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F9740D"/>
    <w:multiLevelType w:val="multilevel"/>
    <w:tmpl w:val="A9D86348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  <w:rPr>
        <w:rFonts w:cs="Times New Roman"/>
        <w:b w:val="0"/>
        <w:bCs w:val="0"/>
        <w:i w:val="0"/>
        <w:iCs w:val="0"/>
        <w:sz w:val="27"/>
        <w:szCs w:val="28"/>
      </w:r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num w:numId="1" w16cid:durableId="14772232">
    <w:abstractNumId w:val="0"/>
  </w:num>
  <w:num w:numId="2" w16cid:durableId="95590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849"/>
    <w:rsid w:val="00976E22"/>
    <w:rsid w:val="009F0988"/>
    <w:rsid w:val="00EB6849"/>
    <w:rsid w:val="00F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8152"/>
  <w15:docId w15:val="{31226072-A7DA-4E75-8B35-563CFA5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uk-UA" w:bidi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1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Номер сторінки1"/>
    <w:basedOn w:val="a2"/>
    <w:qFormat/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sz w:val="28"/>
      <w:szCs w:val="28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sz w:val="27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next w:val="a"/>
    <w:qFormat/>
    <w:pPr>
      <w:jc w:val="center"/>
    </w:pPr>
    <w:rPr>
      <w:b/>
      <w:bCs/>
      <w:spacing w:val="20"/>
      <w:sz w:val="32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Указатель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tjbmf">
    <w:name w:val="tj bmf"/>
    <w:basedOn w:val="a"/>
    <w:qFormat/>
    <w:pPr>
      <w:spacing w:before="280" w:after="280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11">
    <w:name w:val="Знак1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1707</Words>
  <Characters>974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Волинського обласного територіального відділення Антимонопольного комітету України </dc:title>
  <dc:subject/>
  <dc:creator>kulyk</dc:creator>
  <dc:description/>
  <cp:lastModifiedBy>Ірина Нагурна</cp:lastModifiedBy>
  <cp:revision>90</cp:revision>
  <cp:lastPrinted>1995-11-21T17:41:00Z</cp:lastPrinted>
  <dcterms:created xsi:type="dcterms:W3CDTF">2017-02-13T13:43:00Z</dcterms:created>
  <dcterms:modified xsi:type="dcterms:W3CDTF">2025-08-13T07:36:00Z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