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47723" w14:textId="77777777" w:rsidR="00165F97" w:rsidRDefault="006F7FA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w:drawing>
          <wp:anchor distT="0" distB="0" distL="0" distR="0" simplePos="0" relativeHeight="2" behindDoc="0" locked="0" layoutInCell="0" allowOverlap="1" wp14:anchorId="4EAF25F7" wp14:editId="30505444">
            <wp:simplePos x="0" y="0"/>
            <wp:positionH relativeFrom="column">
              <wp:posOffset>2585720</wp:posOffset>
            </wp:positionH>
            <wp:positionV relativeFrom="paragraph">
              <wp:posOffset>-114300</wp:posOffset>
            </wp:positionV>
            <wp:extent cx="728980" cy="751840"/>
            <wp:effectExtent l="0" t="0" r="0" b="0"/>
            <wp:wrapSquare wrapText="larges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14BD7EE3" wp14:editId="44B9773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54685" cy="654685"/>
                <wp:effectExtent l="0" t="0" r="0" b="0"/>
                <wp:wrapNone/>
                <wp:docPr id="2" name="Прямоугольник 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120" cy="654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2274B28" id="Прямоугольник 4" o:spid="_x0000_s1026" style="position:absolute;margin-left:0;margin-top:.05pt;width:51.55pt;height:51.55pt;z-index:3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KXwoAEAAKcDAAAOAAAAZHJzL2Uyb0RvYy54bWysU8Fu2zAMvQ/YPwi6L06CrhiMOD2saC/F&#10;NqzbBygyFQuQRIFS4+TvR8mps7WnFrvIEsn3yEfSm5ujd+IAlCyGTq4WSykgaOxt2Hfy96+7T1+k&#10;SFmFXjkM0MkTJHmz/fhhM8YW1jig64EEk4TUjrGTQ86xbZqkB/AqLTBCYKdB8irzk/ZNT2pkdu+a&#10;9XJ53YxIfSTUkBJbbyen3FZ+Y0Dn78YkyMJ1kmvL9aR67srZbDeq3ZOKg9XnMtQ7qvDKBk46U92q&#10;rMQT2VdU3mrChCYvNPoGjbEaqgZWs1q+UPM4qAhVCzcnxblN6f/R6m+Hx/iDuA1jTG3ia1FxNOTL&#10;l+sTx9qs09wsOGah2Xj9+Wq15pZqdp3vzNJcwJFSvgf0olw6STyL2iJ1eEh5Cn0OKbkC3lnn6jxc&#10;EGPJ94+ZmV3gBJc66y2fHJQ4F36CEbav5RZD0rTffXUkpmnzOnKxzzOvZAwogYbTvhF7hhQ01CV7&#10;I34G1fwY8oz3NiCVrZx0TuqK0B32pzqn6uBtqL0+b25Zt7/fFX75v7Z/AAAA//8DAFBLAwQUAAYA&#10;CAAAACEAwMGhwdkAAAAFAQAADwAAAGRycy9kb3ducmV2LnhtbEyPQU+DQBCF7yb+h82YeCF2KU1M&#10;gyyNacV4LW3idctOAWVnCbul9N87eNHbm3mTN9/LNpPtxIiDbx0pWC5iEEiVMy3VCo6H4mkNwgdN&#10;RneOUMENPWzy+7tMp8ZdaY9jGWrBIeRTraAJoU+l9FWDVvuF65HYO7vB6sDjUEsz6CuH204mcfws&#10;rW6JPzS6x22D1Xd5sQo+lsn5y9yKzyKJdlH5/rbaRyMp9fgwvb6ACDiFv2OY8RkdcmY6uQsZLzoF&#10;XCTMWzF78YrF6VckIPNM/qfPfwAAAP//AwBQSwECLQAUAAYACAAAACEAtoM4kv4AAADhAQAAEwAA&#10;AAAAAAAAAAAAAAAAAAAAW0NvbnRlbnRfVHlwZXNdLnhtbFBLAQItABQABgAIAAAAIQA4/SH/1gAA&#10;AJQBAAALAAAAAAAAAAAAAAAAAC8BAABfcmVscy8ucmVsc1BLAQItABQABgAIAAAAIQCk5KXwoAEA&#10;AKcDAAAOAAAAAAAAAAAAAAAAAC4CAABkcnMvZTJvRG9jLnhtbFBLAQItABQABgAIAAAAIQDAwaHB&#10;2QAAAAUBAAAPAAAAAAAAAAAAAAAAAPoDAABkcnMvZG93bnJldi54bWxQSwUGAAAAAAQABADzAAAA&#10;AAUAAAAA&#10;" o:allowincell="f" filled="f" stroked="f" strokeweight="0"/>
            </w:pict>
          </mc:Fallback>
        </mc:AlternateContent>
      </w:r>
    </w:p>
    <w:p w14:paraId="3D7B3EA6" w14:textId="77777777" w:rsidR="00165F97" w:rsidRDefault="00165F9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C1F4457" w14:textId="77777777" w:rsidR="00165F97" w:rsidRDefault="006F7FA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68D95E0" w14:textId="77777777" w:rsidR="00165F97" w:rsidRDefault="00165F97">
      <w:pPr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50BB64CD" w14:textId="77777777" w:rsidR="00165F97" w:rsidRDefault="006F7F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016EFAE" w14:textId="77777777" w:rsidR="006F7FA4" w:rsidRPr="006F7FA4" w:rsidRDefault="006F7FA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F5AC91" w14:textId="77777777" w:rsidR="00165F97" w:rsidRDefault="006F7FA4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DEA2605" w14:textId="77777777" w:rsidR="00165F97" w:rsidRDefault="00165F97">
      <w:pPr>
        <w:spacing w:line="360" w:lineRule="auto"/>
        <w:jc w:val="both"/>
        <w:rPr>
          <w:rFonts w:ascii="Times New Roman" w:eastAsia="Times New Roman" w:hAnsi="Times New Roman" w:cs="Times New Roman"/>
          <w:sz w:val="8"/>
          <w:szCs w:val="8"/>
          <w:lang w:bidi="ar-SA"/>
        </w:rPr>
      </w:pPr>
    </w:p>
    <w:p w14:paraId="2AC16483" w14:textId="77777777" w:rsidR="00165F97" w:rsidRDefault="00165F97">
      <w:pPr>
        <w:ind w:right="4592"/>
        <w:rPr>
          <w:rFonts w:ascii="Times New Roman" w:hAnsi="Times New Roman" w:cs="Times New Roman"/>
          <w:sz w:val="28"/>
          <w:szCs w:val="28"/>
        </w:rPr>
      </w:pPr>
    </w:p>
    <w:p w14:paraId="5839AF22" w14:textId="77777777" w:rsidR="00165F97" w:rsidRDefault="006F7FA4">
      <w:pPr>
        <w:ind w:right="481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 відшкодування видатків, </w:t>
      </w:r>
    </w:p>
    <w:p w14:paraId="3800985F" w14:textId="77777777" w:rsidR="00165F97" w:rsidRDefault="006F7FA4">
      <w:pPr>
        <w:ind w:right="481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пов'язаних з похованням</w:t>
      </w:r>
    </w:p>
    <w:p w14:paraId="09E2595E" w14:textId="77777777" w:rsidR="00165F97" w:rsidRDefault="006F7FA4">
      <w:pPr>
        <w:ind w:right="481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Пузирнікова І.О., Лебедевича О.Л.,</w:t>
      </w:r>
    </w:p>
    <w:p w14:paraId="4B8B315B" w14:textId="77777777" w:rsidR="00165F97" w:rsidRDefault="006F7FA4">
      <w:pPr>
        <w:ind w:right="481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Павловича Д.Л., Романчука Б.Б., </w:t>
      </w:r>
    </w:p>
    <w:p w14:paraId="35F15177" w14:textId="38FD717D" w:rsidR="00165F97" w:rsidRDefault="006F7FA4">
      <w:pPr>
        <w:ind w:right="481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Токарчука А.М., Бондар</w:t>
      </w:r>
      <w:r w:rsidR="00F4445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О.А.,</w:t>
      </w:r>
    </w:p>
    <w:p w14:paraId="05CF212B" w14:textId="77777777" w:rsidR="00165F97" w:rsidRDefault="006F7FA4">
      <w:pPr>
        <w:ind w:right="481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Кузьміна В.С., Козинця О.Л.,</w:t>
      </w:r>
    </w:p>
    <w:p w14:paraId="7638276A" w14:textId="77777777" w:rsidR="00165F97" w:rsidRDefault="006F7FA4">
      <w:pPr>
        <w:ind w:right="481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Нагорного М.В., Шепеля А.О.</w:t>
      </w:r>
    </w:p>
    <w:p w14:paraId="634D0192" w14:textId="77777777" w:rsidR="00165F97" w:rsidRDefault="00165F97">
      <w:pPr>
        <w:ind w:right="4818"/>
        <w:jc w:val="both"/>
        <w:rPr>
          <w:sz w:val="28"/>
          <w:szCs w:val="28"/>
        </w:rPr>
      </w:pPr>
    </w:p>
    <w:p w14:paraId="1C4225D1" w14:textId="4405EF39" w:rsidR="00165F97" w:rsidRDefault="006F7FA4">
      <w:pPr>
        <w:ind w:right="-2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Відповідно до статті 42, пункту 8 статті 59 Закону України «Про місцеве самоврядування в Україні», рішення Луцької міської ради від 29.11.2023 № 53/75 «Про внесення змін до Програми соціального захисту населення Луцької міської територіальної громади на 2023–2025 роки», для відшкодування видатків, пов'язаних з похованням загиблих військовослужбовців Пузирнікова Іллі Олеговича, Лебедевича Олександра Леонідовича, Павловича Дмитра Леонідовича, Романчука Богдана Богдановича, Токарчука Антона Миколайовича, Бондар</w:t>
      </w:r>
      <w:r w:rsidR="00F4445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Олексія Анатолійовича, Кузьміна Владислава Сергійовича, Козинця Олександра Леонтійовича, Нагорного Максима Володимировича, Шепеля Анатолія Олександровича</w:t>
      </w:r>
      <w:r>
        <w:rPr>
          <w:rStyle w:val="11"/>
          <w:rFonts w:ascii="Times New Roman" w:hAnsi="Times New Roman" w:cs="Times New Roman"/>
          <w:i w:val="0"/>
          <w:color w:val="000000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B18C5B" w14:textId="77777777" w:rsidR="00165F97" w:rsidRDefault="00165F97">
      <w:pPr>
        <w:ind w:right="-2" w:firstLine="567"/>
        <w:jc w:val="both"/>
        <w:rPr>
          <w:sz w:val="12"/>
          <w:szCs w:val="12"/>
        </w:rPr>
      </w:pPr>
    </w:p>
    <w:p w14:paraId="26625933" w14:textId="519691B9" w:rsidR="00165F97" w:rsidRDefault="006F7FA4">
      <w:pPr>
        <w:ind w:right="-2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 Затвердити кошториси видатків, пов’язаних із похованням загиблих військовослужбовців Пузирнікова Іллі Олеговича, Лебедевича Олександра Леонідовича, Павловича Дмитра Леонідовича, Романчука Богдана Богдановича, Токарчука Антона Миколайовича, Бондар</w:t>
      </w:r>
      <w:r w:rsidR="00F4445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Олексія Анатолійовича, Кузьміна Владислава Сергійовича, Козинця Олександра Леонтійовича, Нагорного Максима Володимировича, Шепеля Анатолія Олександровича, згідно з додатками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1–10 відповідно.</w:t>
      </w:r>
    </w:p>
    <w:p w14:paraId="2604C0B6" w14:textId="77777777" w:rsidR="00165F97" w:rsidRDefault="006F7FA4">
      <w:pPr>
        <w:ind w:right="-2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Відділу обліку та звітності здійснити перерахунок коштів згідно з кошторисами видатків, затвердженими пунктом 1 цього розпорядження, відповідно до наданих рахунків, видаткових накладних та актів виконаних робіт.</w:t>
      </w:r>
    </w:p>
    <w:p w14:paraId="1F61CF06" w14:textId="77777777" w:rsidR="00165F97" w:rsidRDefault="006F7FA4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голови, керуючого справами виконкому Юрія Вербича.</w:t>
      </w:r>
    </w:p>
    <w:p w14:paraId="064FE8E8" w14:textId="77777777" w:rsidR="00165F97" w:rsidRDefault="00165F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A6C9F3" w14:textId="77777777" w:rsidR="00165F97" w:rsidRDefault="006F7FA4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39E3590" w14:textId="77777777" w:rsidR="00165F97" w:rsidRDefault="00165F97">
      <w:pPr>
        <w:jc w:val="both"/>
        <w:rPr>
          <w:sz w:val="28"/>
          <w:szCs w:val="28"/>
        </w:rPr>
      </w:pPr>
    </w:p>
    <w:p w14:paraId="37799753" w14:textId="77777777" w:rsidR="00165F97" w:rsidRDefault="006F7FA4">
      <w:pPr>
        <w:tabs>
          <w:tab w:val="left" w:pos="3420"/>
          <w:tab w:val="left" w:pos="3630"/>
        </w:tabs>
        <w:ind w:right="5726"/>
        <w:jc w:val="both"/>
      </w:pPr>
      <w:r>
        <w:rPr>
          <w:rFonts w:ascii="Times New Roman" w:hAnsi="Times New Roman" w:cs="Times New Roman"/>
          <w:lang w:eastAsia="ar-SA"/>
        </w:rPr>
        <w:t>Махецький 741 081</w:t>
      </w:r>
    </w:p>
    <w:sectPr w:rsidR="00165F97">
      <w:headerReference w:type="default" r:id="rId7"/>
      <w:footerReference w:type="first" r:id="rId8"/>
      <w:pgSz w:w="11906" w:h="16838"/>
      <w:pgMar w:top="765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B0D19" w14:textId="77777777" w:rsidR="00453D5E" w:rsidRDefault="00453D5E">
      <w:r>
        <w:separator/>
      </w:r>
    </w:p>
  </w:endnote>
  <w:endnote w:type="continuationSeparator" w:id="0">
    <w:p w14:paraId="63972EB3" w14:textId="77777777" w:rsidR="00453D5E" w:rsidRDefault="00453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01B22" w14:textId="77777777" w:rsidR="00165F97" w:rsidRDefault="00165F97">
    <w:pPr>
      <w:pStyle w:val="af0"/>
    </w:pPr>
  </w:p>
  <w:p w14:paraId="1A3DE4DC" w14:textId="77777777" w:rsidR="00165F97" w:rsidRDefault="00165F9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49A93" w14:textId="77777777" w:rsidR="00453D5E" w:rsidRDefault="00453D5E">
      <w:r>
        <w:separator/>
      </w:r>
    </w:p>
  </w:footnote>
  <w:footnote w:type="continuationSeparator" w:id="0">
    <w:p w14:paraId="04416B08" w14:textId="77777777" w:rsidR="00453D5E" w:rsidRDefault="00453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E6B21" w14:textId="77777777" w:rsidR="00165F97" w:rsidRDefault="006F7FA4">
    <w:pPr>
      <w:pStyle w:val="af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14:paraId="0C70C3A2" w14:textId="77777777" w:rsidR="00165F97" w:rsidRDefault="00165F97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F97"/>
    <w:rsid w:val="000D1083"/>
    <w:rsid w:val="00165F97"/>
    <w:rsid w:val="00453D5E"/>
    <w:rsid w:val="005B533D"/>
    <w:rsid w:val="006F7FA4"/>
    <w:rsid w:val="00F4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6828D"/>
  <w15:docId w15:val="{C6A05626-8ED7-472F-A2F3-341AC7DF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qFormat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qFormat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qFormat/>
    <w:rPr>
      <w:rFonts w:cs="Mangal"/>
      <w:sz w:val="21"/>
      <w:szCs w:val="21"/>
    </w:rPr>
  </w:style>
  <w:style w:type="character" w:customStyle="1" w:styleId="FontStyle13">
    <w:name w:val="Font Style13"/>
    <w:qFormat/>
    <w:rPr>
      <w:rFonts w:ascii="Times New Roman" w:hAnsi="Times New Roman"/>
      <w:sz w:val="26"/>
    </w:rPr>
  </w:style>
  <w:style w:type="character" w:customStyle="1" w:styleId="a6">
    <w:name w:val="Виділення жирним"/>
    <w:qFormat/>
    <w:rPr>
      <w:b/>
    </w:rPr>
  </w:style>
  <w:style w:type="character" w:customStyle="1" w:styleId="a7">
    <w:name w:val="Нижний колонтитул Знак"/>
    <w:basedOn w:val="a0"/>
    <w:qFormat/>
    <w:rPr>
      <w:rFonts w:cs="Mangal"/>
      <w:kern w:val="2"/>
      <w:sz w:val="24"/>
      <w:szCs w:val="21"/>
      <w:lang w:eastAsia="zh-CN" w:bidi="hi-IN"/>
    </w:rPr>
  </w:style>
  <w:style w:type="character" w:customStyle="1" w:styleId="a8">
    <w:name w:val="Текст выноски Знак"/>
    <w:basedOn w:val="a0"/>
    <w:qFormat/>
    <w:rPr>
      <w:rFonts w:ascii="Tahoma" w:hAnsi="Tahoma" w:cs="Mangal"/>
      <w:kern w:val="2"/>
      <w:sz w:val="16"/>
      <w:szCs w:val="14"/>
      <w:lang w:eastAsia="zh-CN" w:bidi="hi-IN"/>
    </w:rPr>
  </w:style>
  <w:style w:type="character" w:customStyle="1" w:styleId="11">
    <w:name w:val="Виділення1"/>
    <w:qFormat/>
    <w:rPr>
      <w:i/>
      <w:iCs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qFormat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2">
    <w:name w:val="Balloon Text"/>
    <w:basedOn w:val="a"/>
    <w:qFormat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1199</Words>
  <Characters>684</Characters>
  <Application>Microsoft Office Word</Application>
  <DocSecurity>0</DocSecurity>
  <Lines>5</Lines>
  <Paragraphs>3</Paragraphs>
  <ScaleCrop>false</ScaleCrop>
  <Company>*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56</cp:revision>
  <cp:lastPrinted>2025-02-05T17:12:00Z</cp:lastPrinted>
  <dcterms:created xsi:type="dcterms:W3CDTF">2024-07-10T06:55:00Z</dcterms:created>
  <dcterms:modified xsi:type="dcterms:W3CDTF">2025-08-21T09:43:00Z</dcterms:modified>
  <dc:language>uk-UA</dc:language>
</cp:coreProperties>
</file>