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/>
      </w:pPr>
      <w:r>
        <w:rPr>
          <w:rFonts w:ascii="Times New Roman" w:hAnsi="Times New Roman"/>
          <w:color w:val="000000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Додаток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туризму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Луцької міської територіальної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>громади на 2024–2025 роки</w:t>
      </w:r>
    </w:p>
    <w:p>
      <w:pPr>
        <w:pStyle w:val="Normal"/>
        <w:jc w:val="center"/>
        <w:rPr>
          <w:b/>
          <w:bCs/>
          <w:highlight w:val="darkGreen"/>
        </w:rPr>
      </w:pPr>
      <w:r>
        <w:rPr>
          <w:b/>
          <w:bCs/>
          <w:highlight w:val="darkGreen"/>
        </w:rPr>
      </w:r>
    </w:p>
    <w:p>
      <w:pPr>
        <w:pStyle w:val="Normal"/>
        <w:jc w:val="center"/>
        <w:rPr>
          <w:b/>
          <w:bCs/>
          <w:highlight w:val="darkGree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3950" w:type="dxa"/>
        <w:jc w:val="left"/>
        <w:tblInd w:w="69" w:type="dxa"/>
        <w:tblLayout w:type="fixed"/>
        <w:tblCellMar>
          <w:top w:w="0" w:type="dxa"/>
          <w:left w:w="7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1840"/>
        <w:gridCol w:w="7"/>
        <w:gridCol w:w="2346"/>
        <w:gridCol w:w="25"/>
        <w:gridCol w:w="1433"/>
        <w:gridCol w:w="40"/>
        <w:gridCol w:w="2073"/>
        <w:gridCol w:w="3"/>
        <w:gridCol w:w="14"/>
        <w:gridCol w:w="1738"/>
        <w:gridCol w:w="1021"/>
        <w:gridCol w:w="730"/>
        <w:gridCol w:w="2112"/>
      </w:tblGrid>
      <w:tr>
        <w:trPr/>
        <w:tc>
          <w:tcPr>
            <w:tcW w:w="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lang w:eastAsia="uk-UA"/>
              </w:rPr>
              <w:t>з/п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завдання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заходів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Терміни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виконання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Джерела фінансування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Орієнтовні обсяги фінансування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(тис. грн)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b/>
                <w:bCs/>
              </w:rPr>
              <w:t>Результативні показники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1.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0" w:right="-9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Отримання статистичних даних, які відображають стан галузі у Луцькій міській територіальній громаді: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1.2. Створення Стратегії туристичного розвитку Луцька на 2026–2030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Визначеність шляху розвитку Луцької міської територіальної громади  як туристичної дестинації, забезпечення системного розвитку туризму як її важливої стратегічної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1.3. Проведення аудиту об'єктів туристичної сфери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Отримання достовірних актуальних даних про кількість об'єктів туристичного інтересу, їхній стан, та доступність для маломобільних груп населення; оновлений перелік закладів </w:t>
            </w:r>
            <w:r>
              <w:rPr>
                <w:rFonts w:ascii="Times New Roman" w:hAnsi="Times New Roman"/>
                <w:lang w:val="en-US"/>
              </w:rPr>
              <w:t>HORECA,</w:t>
            </w:r>
            <w:r>
              <w:rPr>
                <w:rFonts w:ascii="Times New Roman" w:hAnsi="Times New Roman"/>
              </w:rPr>
              <w:t xml:space="preserve"> моніторинг закладів розміщення, що сплачують туристичний збір,   туристичних агентств, що займаються внутрішнім туризмом тощо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0" w:right="-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1.4. Заходи з впорядкування туристично-екскурсійної діяльності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ind w:hanging="0" w:left="-250" w:right="-1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Затвердження єдиних правил ведення екскурсійної діяльності, видача ідентифікаційної професійної картки екскурсовода/гіда-перекладача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0" w:right="-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1.5. Створення рекомендацій для представників сфери гостинності та балансоутримувачів туристичних об'єктів  щодо покращення рівня доступності для маломобільних груп туристів та мешканців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ind w:hanging="0" w:left="-250" w:right="-1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Впровадження рекомендацій національної стратегії зі створення безбар'єрного простору у туристичну сферу громади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2.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0" w:right="-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Маркетинг та промоція Луцької міської територіальної громади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2.1. Цифрове просування дестинації із використанням таргетованої реклами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Збільшення видимості Луцької міської територіальної громади як туристичної дестинації на онлайн-ресурсах та в медійному просторі цільових аудиторій.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2.2. Створення та купівля якісного фото та відеоконтенту як ефективного способу промоції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Поширення промоційних фото та відеоматеріалів з позитивною інформацією про громаду, події, особистості, пов'язані з нею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2.3. Розробка, дизайн, виготовлення та придбання промоційної поліграфічної та сувенірної продукції українською та іноземними мовами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Підтримка єдиного стилю сувенірної та поліграфічної продукції, що сприятиме популяризації та впізнаваності бренду міста; друк туристичної карти-схеми Луцької територіальної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2.4. Організація та проведення престурів,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управління інформаційної роботи,  КП «Центр розвитку туризму», музеї міста,  Адміністрація державного історико-культурного заповідника у м. Луцьку (за згодою), заклади HoReCa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та поширення промоційних повідомлень в інформаційному просторі України та закордоном (ЗМІ, інтернет ресурси);</w:t>
            </w:r>
          </w:p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нових туристичних потоків та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2.5. Організація, проведення,  координація і участь у подіях (туристичних виставках, форумах, презентаціях, конференціях, круглих столах, майстер-класах, лекціях тощо) в Україні і за кордоном, спрямованих на поширення знань про громаду, її історико-культурну спадщину, туристичний потенціал тощо.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Оплата проїзду та відрядних витрат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сприятливого простору для пошуку партнерів, обміну досвідом та налагодження співпраці у туристичній сфері.</w:t>
            </w:r>
          </w:p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Формування позитивного іміджу громади у туристів, туропер</w:t>
            </w:r>
            <w:r>
              <w:rPr>
                <w:rFonts w:ascii="Times New Roman" w:hAnsi="Times New Roman"/>
                <w:color w:val="000000"/>
                <w:lang w:val="en-US"/>
              </w:rPr>
              <w:t>аторів</w:t>
            </w:r>
            <w:r>
              <w:rPr>
                <w:rFonts w:ascii="Times New Roman" w:hAnsi="Times New Roman"/>
                <w:color w:val="000000"/>
              </w:rPr>
              <w:t xml:space="preserve"> та турагентів, а також поширення інформації про її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2.6. Школа луцькознавства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департамент молоді і спорту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40,00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Виховання патріотизму, поширення знань про Луцьку міську територіальну громаду, виховання свідомих лучан,затвердження положення   «Про амбасадорів Луцька»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2.7. Підтримка і розвиток проєкту «Луцький кликун»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135,00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/>
            </w:pPr>
            <w:r>
              <w:rPr>
                <w:rFonts w:ascii="Times New Roman" w:hAnsi="Times New Roman"/>
                <w:color w:val="000000"/>
              </w:rPr>
              <w:t>Популяризація образу міського героя – луцького клик</w:t>
            </w:r>
            <w:r>
              <w:rPr>
                <w:rFonts w:ascii="Times New Roman" w:hAnsi="Times New Roman"/>
                <w:color w:val="000000"/>
                <w:lang w:val="uk-UA" w:eastAsia="zh-CN" w:bidi="hi-IN"/>
              </w:rPr>
              <w:t>уна. Оплата праці луцького кликуна. Проведення Дня кликуна, виготовлення нового вз</w:t>
            </w:r>
            <w:r>
              <w:rPr>
                <w:rFonts w:ascii="Times New Roman" w:hAnsi="Times New Roman"/>
                <w:color w:val="000000"/>
              </w:rPr>
              <w:t>уття, ремонт костюму. Встановлення нових скульптур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 xml:space="preserve">2.8.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uk-UA"/>
              </w:rPr>
              <w:t>Розвиток Луцька як місця проведення креативних резиденцій за участю письменників, скульпторів, композиторів, музикантів, художників, архітекторів, науковців, дослідників тощо. Забезпечення перебування учасників резиденцій у місті (проживання, харчування, презентаційні витрати).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заклади HoReCa (за згодою) та ін.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pacing w:lineRule="auto" w:line="240"/>
              <w:ind w:hanging="0" w:left="-46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Сприяння поширенню позитивної інформації про 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Луцьку міську територіальну  громаду у творах сучасних популярних 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lang w:eastAsia="uk-UA"/>
              </w:rPr>
              <w:t>авторів.</w:t>
            </w:r>
            <w:r>
              <w:rPr>
                <w:rFonts w:ascii="Times New Roman" w:hAnsi="Times New Roman"/>
                <w:b/>
                <w:bCs/>
                <w:strike/>
                <w:color w:val="000000"/>
                <w:lang w:eastAsia="uk-U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</w:rPr>
              <w:t>Сприяння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поширенню позитивної інформації про місто і громаду,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left"/>
              <w:rPr>
                <w:color w:val="CE18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творче переосмислення міських просторів і перетворення їх на популярні туристичні маршрути.</w:t>
            </w:r>
          </w:p>
          <w:p>
            <w:pPr>
              <w:pStyle w:val="Normal"/>
              <w:spacing w:lineRule="auto" w:line="240" w:before="0" w:after="0"/>
              <w:ind w:hanging="0" w:left="0" w:right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Створення нових мистецьких творів (книги, музичні твори, художні полотна, скульптури, виставки  тощо) про Луцьк та громаду, а також наукових розвідок і досліджень.</w:t>
            </w:r>
          </w:p>
          <w:p>
            <w:pPr>
              <w:pStyle w:val="Normal"/>
              <w:widowControl w:val="false"/>
              <w:suppressLineNumbers/>
              <w:spacing w:lineRule="auto" w:line="240"/>
              <w:ind w:hanging="0" w:left="-46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Продовження реалізації проєкту Луцька літературна резиденція </w:t>
            </w:r>
            <w:r>
              <w:rPr>
                <w:rStyle w:val="Emphasis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Місто натхнення</w:t>
            </w:r>
            <w:r>
              <w:rPr>
                <w:rStyle w:val="Emphasis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2.9. Проведення заходу «Артпроменад “Так звучить Луцьк”»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культури, Волинська обласна філармонія, Волинський коледж культури і мистецтв імені І.Ф. Стравінського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Популяризація туристичного потенціалу Луцька,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2.10. Відзначення Дня туризму (проведення інтелектуальних ігор для закладів освіти громади,  інших тематичних заходів, нагородження представників туристичного активу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громадські організації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Консолідація представників туристичного ринку, популяризація туристичного потенціалу громади, поширення знань про неї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580" w:leader="none"/>
              </w:tabs>
              <w:suppressAutoHyphens w:val="false"/>
              <w:snapToGrid w:val="false"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2.11. Підтримка громадських ініціатив, спрямованих на підвищення туристичної привабливості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Участь громади у розвитку туристичної галузі. Створення у мешканців відчуття співучасті та відповідальності за розвиток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0" w:right="-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Розвиток туристичної інфраструктури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3.1. Оновлення та вдосконалення системи туристичного ознакування. 3D сканування пам’яток архітектури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сприятливих умов для орієнтування  в межах Луцької міської територіальної громади (оновлення існуючої системи туристичного ознакування згідно з розробленою концепцією, встановлення нових туристичних знаків, вказівників, інформаційних таблиць)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3.2. Долучення до всеукраїнського проєкту «Стріткод»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hd w:val="clear" w:color="auto" w:fill="FFFFFF"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Посилення  історичної просвіти, популяризація історії, декомунізація історичної свідомості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3.3. Підвищення рівня доступності туристичних об’єктів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профільні громадські організації, фонди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hd w:val="clear" w:color="auto" w:fill="FFFFFF"/>
              <w:ind w:hanging="0" w:left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об’ємних макетів туристичних об’єктів для незрячих і слабозорих, забезпечення сервісів на туристичних об’єктах для нечуючих та незрячих (аудіогіди, написи шрифтом Брайля)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hanging="0" w:left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Співпраця з експертами з доступності, представниками туристичного середовища, людьми з інвалідністю, втілення нових ініціатив.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джерел,</w:t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Грантові кошти (УКФ, ЄС,</w:t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ООН)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3.4. Розвиток болотно-водних ландшафтів у контексті зелено-блакитної міської інфраструктури та популяризація екологічних туристичних маршрутів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відділ екології, КП «Парки і сквери м. Луцька», профільні громадські організації, фонди, окремі фахівці тощо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hd w:val="clear" w:color="auto" w:fill="FFFFFF"/>
              <w:ind w:hanging="0" w:left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ознакування, облаштування нових туристичних маршрутів по зелених зонах територіальної громади (Кічкарівські ставки, Гнідавське болото, річка Стир тощо)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bidi="ar-SA"/>
              </w:rPr>
              <w:t>.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hanging="0" w:left="0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trike w:val="false"/>
                <w:dstrike w:val="false"/>
                <w:color w:val="000000"/>
                <w:lang w:bidi="ar-SA"/>
              </w:rPr>
              <w:t>С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bidi="ar-SA"/>
              </w:rPr>
              <w:t>творення ескізних пропозицій, концепцій розвитку рекреаційних зон.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250,00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3.5. Розвиток зеленого туризму в Луцькій міській територіальній громаді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старости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Проведення інформаційно-просвітницької роботи щодо створення зелених садиб у громаді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0" w:right="-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Підвищення професійного рівня працівників  сфери гостинності;</w:t>
            </w:r>
          </w:p>
          <w:p>
            <w:pPr>
              <w:pStyle w:val="Normal"/>
              <w:widowControl w:val="false"/>
              <w:suppressLineNumbers/>
              <w:ind w:hanging="0" w:left="0" w:right="-56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поліпшення якості комунікацій у сфері туризму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4.1. Проведення заходів з підготовки, перепідготовки та підвищення кваліфікації  гідів.</w:t>
            </w:r>
          </w:p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функціонування школи гідів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вищі навчальні заклади міста, Луцький центр зайнятості (за згодою), профільні громадські організації,  окремі фахівці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Підготовка кваліфікованих гідів, підвищення якості надання екскурсійних послуг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4.2. Проведення зустрічей, семінарів, майстер-класів для представників готельного та ресторанного бізнесу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економічної політики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Сприяння підвищенню рівня обслуговування туристів у закладах харчування, проживання тощо; створення нових туристичних продуктів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; </w:t>
            </w:r>
            <w:r>
              <w:rPr>
                <w:rFonts w:ascii="Times New Roman" w:hAnsi="Times New Roman"/>
                <w:color w:val="000000"/>
              </w:rPr>
              <w:t>підвищення свідомості  представників суб'єктів сфери гостинності щодо важливості створення фізичної безбар'єрності простору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4.3. Співпраця з  Адміністрацією державного історико-культурного заповідника у м. Луцьку, музеями, навчальними закладами Луцької міської територіальної громади, ГС «Туристичний альянс Луцька»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діалогу з представниками туристичного ринку, створення нових туристичних продуктів; залучення науковців та студентів ВНЗ до розвитку туристичної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0" w:right="-198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4.4. Координація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hanging="0" w:left="0" w:right="-198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 xml:space="preserve"> </w:t>
            </w:r>
            <w:r>
              <w:rPr>
                <w:lang w:eastAsia="uk-UA"/>
              </w:rPr>
              <w:t>роботи з</w:t>
            </w: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туризму». Проведення заходів з дослідження міського простору для різних цільових категорій. Проведення презентацій, виставок, пов'язаних із історією, культурою та розвитком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hanging="0" w:left="0" w:right="-19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730,00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Розробка туристичних маршрутів та продукції спільно з Центром туристичної інформації та послуг.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hanging="0" w:left="11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роведення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тематичних </w:t>
            </w:r>
            <w:r>
              <w:rPr>
                <w:rFonts w:ascii="Times New Roman" w:hAnsi="Times New Roman"/>
                <w:color w:val="000000"/>
                <w:lang w:eastAsia="ru-RU"/>
              </w:rPr>
              <w:t>лекцій,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 спрямованих на поширення знань про місто, його історико-культурну спадщину, локальну та національну ідентичність в Музейному просторі </w:t>
            </w:r>
            <w:r>
              <w:rPr>
                <w:rFonts w:ascii="Times New Roman" w:hAnsi="Times New Roman"/>
                <w:color w:val="000000"/>
                <w:lang w:eastAsia="uk-UA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Окольний замок</w:t>
            </w:r>
            <w:r>
              <w:rPr>
                <w:rFonts w:ascii="Times New Roman" w:hAnsi="Times New Roman"/>
                <w:color w:val="000000"/>
                <w:lang w:eastAsia="uk-UA"/>
              </w:rPr>
              <w:t>».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hanging="0" w:left="11" w:right="-9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Поширення інформації про брендоутворюючу подію З'їзд європейських монархів.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ind w:hanging="0" w:left="-18" w:right="-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4.5. Розширення співпраці з містами-побратимами і партнерськими регіонами щодо реалізації туристичних проєктів та обмінів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uppressAutoHyphens w:val="false"/>
              <w:ind w:hanging="0" w:left="-250" w:right="-1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комунікації з містами-побратимами та партнерськими регіонами, визначення напрямків співпраці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Інші проєкти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hanging="0" w:left="11" w:right="-9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діяльності,    громадські організації, фонди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4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Залучення додаткових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hanging="0" w:left="-18" w:right="-9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ind w:hanging="0" w:left="-108" w:right="-131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suppressLineNumbers/>
              <w:snapToGrid w:val="false"/>
              <w:ind w:hanging="0" w:left="-4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87" w:hRule="atLeast"/>
        </w:trPr>
        <w:tc>
          <w:tcPr>
            <w:tcW w:w="8330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Всього за роками:</w:t>
            </w:r>
          </w:p>
        </w:tc>
        <w:tc>
          <w:tcPr>
            <w:tcW w:w="277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LineNumbers/>
              <w:suppressAutoHyphens w:val="false"/>
              <w:ind w:hanging="0" w:left="-40"/>
              <w:jc w:val="center"/>
              <w:rPr>
                <w:rFonts w:ascii="Times New Roman" w:hAnsi="Times New Roman"/>
                <w:b/>
                <w:color w:val="000000"/>
                <w:lang w:eastAsia="uk-UA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eastAsia="uk-UA"/>
              </w:rPr>
              <w:t>Кошти бюджету громади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Кошти інших джерел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2024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3530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850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2025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1845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1190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Cs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РАЗОМ: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6"/>
                <w:szCs w:val="26"/>
                <w:lang w:val="en-US" w:bidi="ar-SA"/>
              </w:rPr>
              <w:t>5375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val="en-US" w:eastAsia="uk-UA"/>
              </w:rPr>
              <w:t>2040</w:t>
            </w: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</w:r>
    </w:p>
    <w:p>
      <w:pPr>
        <w:pStyle w:val="Normal"/>
        <w:ind w:hanging="0" w:left="142"/>
        <w:jc w:val="both"/>
        <w:rPr/>
      </w:pPr>
      <w:r>
        <w:rPr>
          <w:rFonts w:ascii="Times New Roman" w:hAnsi="Times New Roman"/>
          <w:color w:val="000000"/>
          <w:lang w:eastAsia="uk-UA"/>
        </w:rPr>
        <w:t>Каліш</w:t>
      </w:r>
      <w:r>
        <w:rPr>
          <w:rFonts w:ascii="Times New Roman" w:hAnsi="Times New Roman"/>
          <w:color w:val="000000"/>
          <w:lang w:eastAsia="uk-UA"/>
        </w:rPr>
        <w:t xml:space="preserve"> 777 9</w:t>
      </w:r>
      <w:r>
        <w:rPr>
          <w:rFonts w:ascii="Times New Roman" w:hAnsi="Times New Roman"/>
          <w:color w:val="000000"/>
          <w:lang w:eastAsia="uk-UA"/>
        </w:rPr>
        <w:t>56</w:t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701" w:right="567" w:gutter="0" w:header="680" w:top="1134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ind w:hanging="0" w:left="11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7073de"/>
    <w:rPr>
      <w:color w:val="00000A"/>
      <w:sz w:val="24"/>
      <w:szCs w:val="21"/>
    </w:rPr>
  </w:style>
  <w:style w:type="character" w:styleId="Emphasis">
    <w:name w:val="Emphasis"/>
    <w:qFormat/>
    <w:rPr>
      <w:i/>
      <w:iCs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Style17" w:customStyle="1">
    <w:name w:val="Вміст таблиці"/>
    <w:basedOn w:val="Normal"/>
    <w:qFormat/>
    <w:pPr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0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Footer">
    <w:name w:val="Footer"/>
    <w:basedOn w:val="Normal"/>
    <w:uiPriority w:val="99"/>
    <w:unhideWhenUsed/>
    <w:rsid w:val="007073de"/>
    <w:pPr>
      <w:tabs>
        <w:tab w:val="clear" w:pos="709"/>
        <w:tab w:val="center" w:pos="4819" w:leader="none"/>
        <w:tab w:val="right" w:pos="9639" w:leader="none"/>
      </w:tabs>
    </w:pPr>
    <w:rPr>
      <w:szCs w:val="21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Application>LibreOffice/24.2.5.2$Windows_X86_64 LibreOffice_project/bffef4ea93e59bebbeaf7f431bb02b1a39ee8a59</Application>
  <AppVersion>15.0000</AppVersion>
  <Pages>14</Pages>
  <Words>1638</Words>
  <Characters>11868</Characters>
  <CharactersWithSpaces>13373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2023-11-28T10:08:00Z</dcterms:created>
  <dc:creator>Ірина Демидюк</dc:creator>
  <dc:description/>
  <dc:language>uk-UA</dc:language>
  <cp:lastModifiedBy/>
  <cp:lastPrinted>2024-05-08T10:08:04Z</cp:lastPrinted>
  <dcterms:modified xsi:type="dcterms:W3CDTF">2025-09-02T16:38:13Z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