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/>
        <w:suppressAutoHyphens w:val="true"/>
        <w:bidi w:val="0"/>
        <w:spacing w:lineRule="auto" w:line="240" w:before="0" w:after="0"/>
        <w:ind w:hanging="0" w:left="5726" w:right="0"/>
        <w:rPr/>
      </w:pPr>
      <w:r>
        <w:rPr>
          <w:rFonts w:eastAsia="Times New Roman"/>
          <w:color w:val="000000"/>
          <w:sz w:val="28"/>
          <w:szCs w:val="28"/>
          <w:lang w:val="uk-UA"/>
        </w:rPr>
        <w:t>Додаток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5726" w:right="0"/>
        <w:rPr/>
      </w:pPr>
      <w:r>
        <w:rPr>
          <w:rFonts w:eastAsia="Times New Roman"/>
          <w:color w:val="000000"/>
          <w:sz w:val="28"/>
          <w:szCs w:val="28"/>
          <w:lang w:val="uk-UA"/>
        </w:rPr>
        <w:t>до рішення міської ради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5726" w:right="0"/>
        <w:rPr/>
      </w:pPr>
      <w:r>
        <w:rPr>
          <w:rFonts w:eastAsia="Times New Roman"/>
          <w:color w:val="000000"/>
          <w:sz w:val="28"/>
          <w:szCs w:val="28"/>
          <w:lang w:val="uk-UA"/>
        </w:rPr>
        <w:t>________</w:t>
        <w:softHyphen/>
        <w:t>______ № ______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5726" w:right="0"/>
        <w:jc w:val="center"/>
        <w:rPr>
          <w:rFonts w:eastAsia="Times New Roman"/>
          <w:b/>
          <w:color w:val="000000"/>
          <w:sz w:val="28"/>
          <w:szCs w:val="28"/>
          <w:lang w:val="uk-UA"/>
        </w:rPr>
      </w:pPr>
      <w:r>
        <w:rPr>
          <w:rFonts w:eastAsia="Times New Roman"/>
          <w:b/>
          <w:color w:val="000000"/>
          <w:sz w:val="28"/>
          <w:szCs w:val="28"/>
          <w:lang w:val="uk-UA"/>
        </w:rPr>
      </w:r>
    </w:p>
    <w:p>
      <w:pPr>
        <w:pStyle w:val="Normal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119" w:leader="none"/>
          <w:tab w:val="center" w:pos="4677" w:leader="none"/>
        </w:tabs>
        <w:ind w:hanging="0"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ПАСПОРТ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905" w:leader="none"/>
          <w:tab w:val="center" w:pos="4677" w:leader="none"/>
        </w:tabs>
        <w:ind w:hanging="0"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Програми розвитку </w:t>
      </w:r>
      <w:r>
        <w:rPr>
          <w:b/>
          <w:bCs/>
          <w:sz w:val="28"/>
          <w:szCs w:val="28"/>
          <w:lang w:val="uk-UA"/>
        </w:rPr>
        <w:t>комунальної</w:t>
      </w:r>
      <w:r>
        <w:rPr>
          <w:b/>
          <w:bCs/>
          <w:color w:val="FF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>інфраструктури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905" w:leader="none"/>
          <w:tab w:val="center" w:pos="4677" w:leader="none"/>
        </w:tabs>
        <w:ind w:hanging="0" w:left="0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Луцької міської територіальної громади на 2023–2028 роки</w:t>
      </w:r>
    </w:p>
    <w:p>
      <w:pPr>
        <w:pStyle w:val="Normal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119" w:leader="none"/>
          <w:tab w:val="center" w:pos="4677" w:leader="none"/>
        </w:tabs>
        <w:ind w:hanging="0" w:left="0"/>
        <w:jc w:val="center"/>
        <w:outlineLvl w:val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</w:p>
    <w:tbl>
      <w:tblPr>
        <w:tblW w:w="9780" w:type="dxa"/>
        <w:jc w:val="left"/>
        <w:tblInd w:w="-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82"/>
        <w:gridCol w:w="4263"/>
        <w:gridCol w:w="4935"/>
      </w:tblGrid>
      <w:tr>
        <w:trPr>
          <w:trHeight w:val="835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1.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color w:val="000000"/>
                <w:spacing w:val="-4"/>
                <w:sz w:val="28"/>
                <w:szCs w:val="28"/>
                <w:lang w:val="uk-UA"/>
              </w:rPr>
              <w:t>Ініціатори розроблення Програми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905" w:leader="none"/>
                <w:tab w:val="center" w:pos="4677" w:leader="none"/>
              </w:tabs>
              <w:ind w:hanging="0" w:left="0"/>
              <w:jc w:val="center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Департамент економічної політики</w:t>
            </w:r>
          </w:p>
        </w:tc>
      </w:tr>
      <w:tr>
        <w:trPr>
          <w:trHeight w:val="846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Розробник Програми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905" w:leader="none"/>
                <w:tab w:val="center" w:pos="4677" w:leader="none"/>
              </w:tabs>
              <w:ind w:hanging="0" w:left="0"/>
              <w:jc w:val="center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Департамент економічної політики</w:t>
            </w:r>
          </w:p>
        </w:tc>
      </w:tr>
      <w:tr>
        <w:trPr>
          <w:trHeight w:val="987" w:hRule="atLeast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3.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Співрозробник Програми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905" w:leader="none"/>
                <w:tab w:val="center" w:pos="4677" w:leader="none"/>
              </w:tabs>
              <w:ind w:hanging="0" w:left="0"/>
              <w:jc w:val="center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Департамент житлово-комунального господарства</w:t>
            </w:r>
          </w:p>
        </w:tc>
      </w:tr>
      <w:tr>
        <w:trPr>
          <w:trHeight w:val="831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4.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Відповідальні виконавці Програми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905" w:leader="none"/>
                <w:tab w:val="center" w:pos="4677" w:leader="none"/>
              </w:tabs>
              <w:ind w:hanging="0" w:left="0"/>
              <w:jc w:val="center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Комунальні підприємства,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905" w:leader="none"/>
                <w:tab w:val="center" w:pos="4677" w:leader="none"/>
              </w:tabs>
              <w:ind w:hanging="0" w:left="0"/>
              <w:jc w:val="center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виконавчі органи міської ради</w:t>
            </w:r>
          </w:p>
        </w:tc>
      </w:tr>
      <w:tr>
        <w:trPr>
          <w:trHeight w:val="844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5.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2023–2028 роки</w:t>
            </w:r>
          </w:p>
        </w:tc>
      </w:tr>
      <w:tr>
        <w:trPr>
          <w:trHeight w:val="114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6.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36 000,0 тис. грн</w:t>
            </w:r>
          </w:p>
        </w:tc>
      </w:tr>
      <w:tr>
        <w:trPr>
          <w:trHeight w:val="455" w:hRule="atLeast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625"/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у тому числі:</w:t>
            </w:r>
          </w:p>
        </w:tc>
      </w:tr>
      <w:tr>
        <w:trPr>
          <w:trHeight w:val="701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99"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6.1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коштів бюджету громади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160"/>
              <w:ind w:left="-106"/>
              <w:contextualSpacing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30 000,0 тис. грн</w:t>
            </w:r>
          </w:p>
        </w:tc>
      </w:tr>
      <w:tr>
        <w:trPr>
          <w:trHeight w:val="701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6.2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коштів інших джерел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6 000,0 тис. грн</w:t>
            </w:r>
          </w:p>
        </w:tc>
      </w:tr>
    </w:tbl>
    <w:p>
      <w:pPr>
        <w:pStyle w:val="Normal"/>
        <w:spacing w:lineRule="auto" w:line="240"/>
        <w:ind w:right="0"/>
        <w:jc w:val="both"/>
        <w:rPr>
          <w:rFonts w:ascii="Times New Roman" w:hAnsi="Times New Roman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9355" w:leader="none"/>
        </w:tabs>
        <w:spacing w:lineRule="auto" w:line="240"/>
        <w:ind w:right="0"/>
        <w:jc w:val="both"/>
        <w:rPr>
          <w:rFonts w:ascii="Times New Roman" w:hAnsi="Times New Roman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/>
        <w:ind w:right="0"/>
        <w:jc w:val="both"/>
        <w:rPr>
          <w:rFonts w:ascii="Times New Roman" w:hAnsi="Times New Roman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/>
        <w:ind w:right="0"/>
        <w:jc w:val="both"/>
        <w:rPr>
          <w:rFonts w:ascii="Times New Roman" w:hAnsi="Times New Roman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Секретар міської ради</w:t>
        <w:tab/>
        <w:tab/>
        <w:tab/>
        <w:tab/>
        <w:tab/>
        <w:t xml:space="preserve">              Юрій БЕЗПЯТКО</w:t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/>
        <w:ind w:right="0"/>
        <w:jc w:val="both"/>
        <w:rPr>
          <w:rFonts w:ascii="Times New Roman" w:hAnsi="Times New Roman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/>
        <w:ind w:right="0"/>
        <w:jc w:val="both"/>
        <w:rPr>
          <w:rFonts w:ascii="Times New Roman" w:hAnsi="Times New Roman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</w:rPr>
      </w:pPr>
      <w:r>
        <w:rPr>
          <w:color w:val="000000"/>
          <w:sz w:val="24"/>
        </w:rPr>
        <w:t>Смаль 777 955</w:t>
      </w:r>
      <w:r>
        <w:br w:type="page"/>
      </w:r>
    </w:p>
    <w:p>
      <w:pPr>
        <w:pStyle w:val="Normal"/>
        <w:spacing w:before="0" w:after="0"/>
        <w:ind w:left="5670"/>
        <w:jc w:val="left"/>
        <w:rPr/>
      </w:pPr>
      <w:r>
        <w:rPr>
          <w:sz w:val="28"/>
          <w:szCs w:val="28"/>
          <w:lang w:val="uk-UA"/>
        </w:rPr>
        <w:t>Додаток 1</w:t>
      </w:r>
    </w:p>
    <w:p>
      <w:pPr>
        <w:pStyle w:val="Normal"/>
        <w:ind w:left="5670"/>
        <w:jc w:val="left"/>
        <w:rPr/>
      </w:pPr>
      <w:r>
        <w:rPr>
          <w:sz w:val="28"/>
          <w:szCs w:val="28"/>
          <w:lang w:val="uk-UA"/>
        </w:rPr>
        <w:t>до Програми розвитку комунальної інфраструктури Луцької міської територіальної громади на 2023</w:t>
      </w:r>
      <w:r>
        <w:rPr>
          <w:rFonts w:eastAsia="Times New Roman" w:cs="Times New Roman"/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>2028 роки</w:t>
      </w:r>
    </w:p>
    <w:p>
      <w:pPr>
        <w:pStyle w:val="Normal"/>
        <w:shd w:val="clear" w:color="auto" w:fill="FFFFFF"/>
        <w:ind w:firstLine="720" w:right="150"/>
        <w:jc w:val="center"/>
        <w:rPr>
          <w:b/>
          <w:lang w:val="uk-UA"/>
        </w:rPr>
      </w:pPr>
      <w:r>
        <w:rPr>
          <w:b/>
          <w:lang w:val="uk-UA"/>
        </w:rPr>
      </w:r>
    </w:p>
    <w:p>
      <w:pPr>
        <w:pStyle w:val="Normal"/>
        <w:shd w:val="clear" w:color="auto" w:fill="FFFFFF"/>
        <w:ind w:firstLine="720" w:right="150"/>
        <w:jc w:val="center"/>
        <w:rPr>
          <w:b/>
          <w:lang w:val="uk-UA"/>
        </w:rPr>
      </w:pPr>
      <w:r>
        <w:rPr>
          <w:b/>
          <w:lang w:val="uk-UA"/>
        </w:rPr>
      </w:r>
    </w:p>
    <w:p>
      <w:pPr>
        <w:pStyle w:val="Normal"/>
        <w:shd w:val="clear" w:color="auto" w:fill="FFFFFF"/>
        <w:ind w:firstLine="720" w:right="15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Ресурсне забезпечення</w:t>
      </w:r>
    </w:p>
    <w:p>
      <w:pPr>
        <w:pStyle w:val="Normal"/>
        <w:shd w:val="clear" w:color="auto" w:fill="FFFFFF"/>
        <w:ind w:firstLine="720" w:right="15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Програми розвитку комунальної інфраструктури</w:t>
      </w:r>
    </w:p>
    <w:p>
      <w:pPr>
        <w:pStyle w:val="Normal"/>
        <w:shd w:val="clear" w:color="auto" w:fill="FFFFFF"/>
        <w:ind w:firstLine="720" w:right="15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Луцької міської територіальної громади на 2023–2028 роки</w:t>
      </w:r>
    </w:p>
    <w:p>
      <w:pPr>
        <w:pStyle w:val="Normal"/>
        <w:rPr>
          <w:b/>
          <w:bCs/>
          <w:lang w:val="uk-UA"/>
        </w:rPr>
      </w:pPr>
      <w:r>
        <w:rPr>
          <w:b/>
          <w:bCs/>
          <w:lang w:val="uk-UA"/>
        </w:rPr>
      </w:r>
    </w:p>
    <w:tbl>
      <w:tblPr>
        <w:tblW w:w="9616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0" w:firstColumn="1" w:lastColumn="0" w:noHBand="0" w:val="00a0"/>
      </w:tblPr>
      <w:tblGrid>
        <w:gridCol w:w="2639"/>
        <w:gridCol w:w="870"/>
        <w:gridCol w:w="855"/>
        <w:gridCol w:w="857"/>
        <w:gridCol w:w="839"/>
        <w:gridCol w:w="856"/>
        <w:gridCol w:w="855"/>
        <w:gridCol w:w="1843"/>
      </w:tblGrid>
      <w:tr>
        <w:trPr>
          <w:trHeight w:val="660" w:hRule="atLeast"/>
        </w:trPr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Обсяг коштів, які планується залучити на виконання Програми, тис. грн</w:t>
            </w:r>
          </w:p>
        </w:tc>
        <w:tc>
          <w:tcPr>
            <w:tcW w:w="51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Роки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Загальний обсяг фінансування,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тис. грн</w:t>
            </w:r>
          </w:p>
        </w:tc>
      </w:tr>
      <w:tr>
        <w:trPr>
          <w:trHeight w:val="770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snapToGrid w:val="false"/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2023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2024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2025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2026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2027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2028</w:t>
            </w:r>
          </w:p>
        </w:tc>
        <w:tc>
          <w:tcPr>
            <w:tcW w:w="18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snapToGrid w:val="false"/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</w:r>
          </w:p>
        </w:tc>
      </w:tr>
      <w:tr>
        <w:trPr>
          <w:trHeight w:val="963" w:hRule="atLeast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6"/>
                <w:szCs w:val="26"/>
                <w:lang w:val="uk-UA"/>
              </w:rPr>
              <w:t>Обсяг фінансових ресурсів всього,</w:t>
            </w:r>
            <w:r>
              <w:rPr>
                <w:rFonts w:eastAsia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у тому числі: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6 000,0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6 000,0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6 000,0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6 000,0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6 000,0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6 000,0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36 000,0</w:t>
            </w:r>
          </w:p>
        </w:tc>
      </w:tr>
      <w:tr>
        <w:trPr>
          <w:trHeight w:val="963" w:hRule="atLeast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jc w:val="left"/>
              <w:rPr/>
            </w:pPr>
            <w:r>
              <w:rPr>
                <w:sz w:val="26"/>
                <w:szCs w:val="26"/>
                <w:lang w:val="uk-UA"/>
              </w:rPr>
              <w:t>коштів бюджету громади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5 000,0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5 000,0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5 000,0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5 000,0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5 000,0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5 000,0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30 000,0</w:t>
            </w:r>
          </w:p>
        </w:tc>
      </w:tr>
      <w:tr>
        <w:trPr>
          <w:trHeight w:val="804" w:hRule="atLeast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jc w:val="left"/>
              <w:rPr/>
            </w:pPr>
            <w:r>
              <w:rPr>
                <w:sz w:val="26"/>
                <w:szCs w:val="26"/>
                <w:lang w:val="uk-UA"/>
              </w:rPr>
              <w:t>коштів інших джерел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1 000,0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1 000,0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1 000,0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1 000,0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1 000,0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1 000,0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6 000,0</w:t>
            </w:r>
          </w:p>
        </w:tc>
      </w:tr>
    </w:tbl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  <w:t>Смаль 777 955</w:t>
      </w:r>
    </w:p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701" w:right="567" w:gutter="0" w:header="709" w:top="766" w:footer="1134" w:bottom="2126"/>
          <w:pgNumType w:fmt="decimal"/>
          <w:formProt w:val="false"/>
          <w:titlePg/>
          <w:textDirection w:val="lrTb"/>
          <w:docGrid w:type="default" w:linePitch="360" w:charSpace="0"/>
        </w:sect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ind w:left="11057"/>
        <w:jc w:val="left"/>
        <w:rPr/>
      </w:pPr>
      <w:r>
        <w:rPr>
          <w:sz w:val="28"/>
          <w:szCs w:val="28"/>
          <w:lang w:val="uk-UA"/>
        </w:rPr>
        <w:t>Додаток 2</w:t>
      </w:r>
    </w:p>
    <w:p>
      <w:pPr>
        <w:pStyle w:val="Normal"/>
        <w:tabs>
          <w:tab w:val="clear" w:pos="708"/>
          <w:tab w:val="left" w:pos="12780" w:leader="none"/>
        </w:tabs>
        <w:ind w:left="1105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Програми розвитку комунальної інфраструктури Луцької міської територіальної громади на 2023</w:t>
      </w:r>
      <w:r>
        <w:rPr>
          <w:rFonts w:eastAsia="Times New Roman" w:cs="Times New Roman"/>
          <w:sz w:val="28"/>
          <w:szCs w:val="28"/>
          <w:lang w:val="uk-UA"/>
        </w:rPr>
        <w:t>–</w:t>
      </w:r>
      <w:bookmarkStart w:id="0" w:name="_GoBack"/>
      <w:bookmarkEnd w:id="0"/>
      <w:r>
        <w:rPr>
          <w:rFonts w:eastAsia="Times New Roman" w:cs="Times New Roman"/>
          <w:sz w:val="28"/>
          <w:szCs w:val="28"/>
          <w:lang w:val="uk-UA"/>
        </w:rPr>
        <w:t>2028 </w:t>
      </w:r>
      <w:r>
        <w:rPr>
          <w:sz w:val="28"/>
          <w:szCs w:val="28"/>
          <w:lang w:val="uk-UA"/>
        </w:rPr>
        <w:t>роки</w:t>
      </w:r>
    </w:p>
    <w:p>
      <w:pPr>
        <w:pStyle w:val="Normal"/>
        <w:tabs>
          <w:tab w:val="clear" w:pos="708"/>
          <w:tab w:val="left" w:pos="12780" w:leader="none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Перелік завдань, заходів та результативні показники</w:t>
      </w:r>
    </w:p>
    <w:p>
      <w:pPr>
        <w:pStyle w:val="Normal"/>
        <w:tabs>
          <w:tab w:val="clear" w:pos="708"/>
          <w:tab w:val="left" w:pos="12780" w:leader="none"/>
        </w:tabs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Програми розвитку комунальної інфраструктури</w:t>
      </w:r>
    </w:p>
    <w:p>
      <w:pPr>
        <w:pStyle w:val="Normal"/>
        <w:tabs>
          <w:tab w:val="clear" w:pos="708"/>
          <w:tab w:val="left" w:pos="12780" w:leader="none"/>
        </w:tabs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Луцької міської територіальної громади на 2023–2028 роки</w:t>
      </w:r>
    </w:p>
    <w:p>
      <w:pPr>
        <w:pStyle w:val="Normal"/>
        <w:tabs>
          <w:tab w:val="clear" w:pos="708"/>
          <w:tab w:val="left" w:pos="12780" w:leader="none"/>
        </w:tabs>
        <w:jc w:val="center"/>
        <w:rPr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tbl>
      <w:tblPr>
        <w:tblW w:w="1541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5"/>
        <w:gridCol w:w="2369"/>
        <w:gridCol w:w="3466"/>
        <w:gridCol w:w="1710"/>
        <w:gridCol w:w="1471"/>
        <w:gridCol w:w="1190"/>
        <w:gridCol w:w="401"/>
        <w:gridCol w:w="1083"/>
        <w:gridCol w:w="3111"/>
      </w:tblGrid>
      <w:tr>
        <w:trPr>
          <w:trHeight w:val="390" w:hRule="atLeast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 xml:space="preserve">№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з/п</w:t>
            </w:r>
          </w:p>
        </w:tc>
        <w:tc>
          <w:tcPr>
            <w:tcW w:w="2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Завдання</w:t>
            </w:r>
          </w:p>
        </w:tc>
        <w:tc>
          <w:tcPr>
            <w:tcW w:w="3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Заходи</w:t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Виконавці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Термін виконання, роки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Фінансування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Результативні показники</w:t>
            </w:r>
          </w:p>
        </w:tc>
      </w:tr>
      <w:tr>
        <w:trPr>
          <w:trHeight w:val="560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Джерела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Обсяги, тис. грн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/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1.</w:t>
            </w:r>
          </w:p>
        </w:tc>
        <w:tc>
          <w:tcPr>
            <w:tcW w:w="2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Забезпечення ефективного функціонування комунальних підприємств громади</w:t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Розробка інвестиційних проєктів та програм спрямованих на переоснащення, відновлення або реконструкцію виробничих потужностей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політики, комунальні підприємства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Оновлення матеріально-технічної бази, впровадження енергозберігаючих технологій, підвищення якості та надійності роботи виробничих потужностей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Сприяння та залучення до участі у проєктах міжнародної технічної допомоги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політики, комунальні підприємства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Активізація інвестиційної діяльності, покращення фінансового становища, розширення видів діяльності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Забезпечення належного контролю за проведенням  поточних ремонтів об'єктів комунальної власності Луцької міської територіальної громади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політики, департамент житлово-комунального господарства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Проведення якісного поточного ремонту об'єктів комунальної інфраструктури, ефективне використання комунального майна, продовження терміну його корисної експлуатації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Надання поворотної фінансової допомоги</w:t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Виконавчі органи, комунальні підприємства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</w:t>
            </w:r>
          </w:p>
        </w:tc>
        <w:tc>
          <w:tcPr>
            <w:tcW w:w="1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кошти бюджету громади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5 000,0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Покращення платоспроможності, стабілізація фінансового становища, зниження рівня збитковості, мінімізація кредиторської заборгованості</w:t>
            </w:r>
          </w:p>
        </w:tc>
      </w:tr>
      <w:tr>
        <w:trPr>
          <w:trHeight w:val="409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інші кошти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1 000,0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2024</w:t>
            </w:r>
          </w:p>
        </w:tc>
        <w:tc>
          <w:tcPr>
            <w:tcW w:w="1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кошти бюджету громади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5 000,0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457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інші кошти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1 000,0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2025</w:t>
            </w:r>
          </w:p>
        </w:tc>
        <w:tc>
          <w:tcPr>
            <w:tcW w:w="1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кошти бюджету громади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5 000,0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457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інші кошти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1 000,0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/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2026</w:t>
            </w:r>
          </w:p>
        </w:tc>
        <w:tc>
          <w:tcPr>
            <w:tcW w:w="15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кошти бюджету громади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569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5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інші кошти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/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2027</w:t>
            </w:r>
          </w:p>
        </w:tc>
        <w:tc>
          <w:tcPr>
            <w:tcW w:w="15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кошти бюджету громади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51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5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інші кошти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/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2028</w:t>
            </w:r>
          </w:p>
        </w:tc>
        <w:tc>
          <w:tcPr>
            <w:tcW w:w="15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кошти бюджету громади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502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5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інші кошти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657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Надання консультацій з питань придбання матеріалів та обладнання для проведення робіт в сфері комунальної інфраструктури</w:t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політики, департамент житлово-комунального господарства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Дотримання нормативів, норм, стандартів, порядків і правил при реалізації товарів, виконанн</w:t>
            </w:r>
            <w:r>
              <w:rPr>
                <w:rFonts w:eastAsia="Times New Roman"/>
                <w:sz w:val="24"/>
                <w:szCs w:val="24"/>
                <w:lang w:val="uk-UA" w:eastAsia="uk-UA"/>
              </w:rPr>
              <w:t>і</w:t>
            </w: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 xml:space="preserve"> робіт та наданні послуг</w:t>
            </w:r>
          </w:p>
        </w:tc>
      </w:tr>
      <w:tr>
        <w:trPr>
          <w:trHeight w:val="657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674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931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674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2315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Попередження виникненню  надзвичайних ситуацій (аварій, стихій тощо)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Департамент економічної політики, департамент житлово-комунального господарства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Завчасне реагування на загрози виникнення надзвичайних ситуації техногенного та природного характеру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Залучення до участі у навчальних програмах, нарадах, семінарах та консультаційних заходах із питань розвитку комунального господарства</w:t>
            </w:r>
          </w:p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політики, департамент житлово-комунального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Підвищення рівня кваліфікації кадрів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674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2135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674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1970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  <w:t>Проведення моніторингу та порівняльного аналізу цін на ринку закупівельних матеріалів, енергоресурсів, обладнання тощо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Запобігання надмірному витрачанню коштів, уникнення необґрунтованих витрат, ефективний розподіл фінансових ресурсів</w:t>
            </w:r>
          </w:p>
        </w:tc>
      </w:tr>
      <w:tr>
        <w:trPr>
          <w:trHeight w:val="2715" w:hRule="atLeast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2.</w:t>
            </w:r>
          </w:p>
        </w:tc>
        <w:tc>
          <w:tcPr>
            <w:tcW w:w="2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Запобігання банкрутству та відновлення платоспроможності комунальних підприємств</w:t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Моніторинг стану погашення грошових зобов’язань, які виникли на підставі судових рішень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політики, департамент житлово-комунального господарства, комунальні підприємства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Забезпечення належного виконання судових рішень</w:t>
            </w:r>
          </w:p>
        </w:tc>
      </w:tr>
      <w:tr>
        <w:trPr>
          <w:trHeight w:val="2720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Здійснення постійного контролю, моніторингу та аналізу цінових пропозицій і стану виконання договорів, укладених комунальними підприємствами на постачання товарів та послуг в галузі міського комунального господарства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Запобігання надмірному витрачанню коштів, уникнення необгрунтованих витрат, ефективний розподіл фінансових ресурсів</w:t>
            </w:r>
          </w:p>
        </w:tc>
      </w:tr>
      <w:tr>
        <w:trPr>
          <w:trHeight w:val="1400" w:hRule="atLeast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Здійснення періодичного контролю за ліквідністю та платоспроможністю комунальних підприємств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Вчасне попередження банкрутства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Проведення контролю за своєчасністю розрахунків з бюджетами усіх рівнів зі сплати податків та обов'язкових платежів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Департамент економічної політики, департамент житлово-комунального господарства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2023–2028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не потребує фінансування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Своєчасне проведення розрахунків з бюджетами всіх рівнів зі сплати податків, зборів та обов'язкових платежів</w:t>
            </w:r>
          </w:p>
        </w:tc>
      </w:tr>
      <w:tr>
        <w:trPr/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Всього за роками д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uk-UA" w:eastAsia="uk-UA" w:bidi="ar-SA"/>
              </w:rPr>
              <w:t>жерелами фінансування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, у тому числі: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кошти бюджету громади</w:t>
            </w: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інші кошти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eastAsia="Times New Roman"/>
                <w:color w:val="000000"/>
                <w:lang w:eastAsia="uk-UA"/>
              </w:rPr>
            </w:pPr>
            <w:r>
              <w:rPr>
                <w:rFonts w:eastAsia="Times New Roman"/>
                <w:color w:val="000000"/>
                <w:lang w:eastAsia="uk-U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2023 рік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5 000,0</w:t>
            </w: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eastAsia="Times New Roman"/>
                <w:color w:val="000000"/>
                <w:lang w:eastAsia="uk-UA"/>
              </w:rPr>
            </w:pPr>
            <w:r>
              <w:rPr>
                <w:rFonts w:eastAsia="Times New Roman"/>
                <w:color w:val="000000"/>
                <w:lang w:eastAsia="uk-U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2024 рік</w:t>
            </w: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5 000,0</w:t>
            </w:r>
          </w:p>
        </w:tc>
        <w:tc>
          <w:tcPr>
            <w:tcW w:w="14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2025 рік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5 000,0</w:t>
            </w: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eastAsia="Times New Roman"/>
                <w:color w:val="000000"/>
                <w:lang w:eastAsia="uk-UA"/>
              </w:rPr>
            </w:pPr>
            <w:r>
              <w:rPr>
                <w:rFonts w:eastAsia="Times New Roman"/>
                <w:color w:val="000000"/>
                <w:lang w:eastAsia="uk-U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2026 рік</w:t>
            </w: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5 000,0</w:t>
            </w:r>
          </w:p>
        </w:tc>
        <w:tc>
          <w:tcPr>
            <w:tcW w:w="14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2027 рік</w:t>
            </w: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5 000,0</w:t>
            </w:r>
          </w:p>
        </w:tc>
        <w:tc>
          <w:tcPr>
            <w:tcW w:w="14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3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  <w:t>2028 рік</w:t>
            </w: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5 000,0</w:t>
            </w:r>
          </w:p>
        </w:tc>
        <w:tc>
          <w:tcPr>
            <w:tcW w:w="14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1 000,0</w:t>
            </w:r>
          </w:p>
        </w:tc>
        <w:tc>
          <w:tcPr>
            <w:tcW w:w="3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397" w:hRule="atLeast"/>
        </w:trPr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РАЗОМ: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30 000,0</w:t>
            </w: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  <w:t>6 000,0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eastAsia="Times New Roman" w:cs="Calibri"/>
                <w:color w:val="000000"/>
                <w:lang w:eastAsia="uk-UA"/>
              </w:rPr>
            </w:pPr>
            <w:r>
              <w:rPr>
                <w:rFonts w:eastAsia="Times New Roman" w:cs="Calibri"/>
                <w:color w:val="000000"/>
                <w:lang w:eastAsia="uk-UA"/>
              </w:rPr>
            </w:r>
          </w:p>
        </w:tc>
      </w:tr>
    </w:tbl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12780" w:leader="none"/>
        </w:tabs>
        <w:rPr>
          <w:lang w:val="uk-UA"/>
        </w:rPr>
      </w:pPr>
      <w:r>
        <w:rPr>
          <w:lang w:val="uk-UA"/>
        </w:rPr>
        <w:t>Смаль 777 955</w:t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orient="landscape" w:w="16838" w:h="11906"/>
      <w:pgMar w:left="1134" w:right="539" w:gutter="0" w:header="709" w:top="1985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511287847"/>
    </w:sdtPr>
    <w:sdtContent>
      <w:p>
        <w:pPr>
          <w:pStyle w:val="Header"/>
          <w:jc w:val="center"/>
          <w:rPr>
            <w:sz w:val="28"/>
            <w:szCs w:val="28"/>
          </w:rPr>
        </w:pPr>
        <w:r>
          <w:rPr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511287847"/>
    </w:sdtPr>
    <w:sdtContent>
      <w:p>
        <w:pPr>
          <w:pStyle w:val="Header"/>
          <w:jc w:val="center"/>
          <w:rPr>
            <w:sz w:val="28"/>
            <w:szCs w:val="28"/>
          </w:rPr>
        </w:pPr>
        <w:r>
          <w:rPr/>
        </w:r>
      </w:p>
    </w:sdtContent>
  </w:sdt>
  <w:p>
    <w:pPr>
      <w:pStyle w:val="Head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511287847"/>
    </w:sdtPr>
    <w:sdtContent>
      <w:p>
        <w:pPr>
          <w:pStyle w:val="Header"/>
          <w:jc w:val="center"/>
          <w:rPr>
            <w:sz w:val="28"/>
            <w:szCs w:val="28"/>
          </w:rPr>
        </w:pPr>
        <w:r>
          <w:rPr/>
        </w:r>
      </w:p>
    </w:sdtContent>
  </w:sdt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uiPriority="0" w:semiHidden="1" w:unhideWhenUsed="1"/>
    <w:lsdException w:name="Table Subtle 2" w:semiHidden="1" w:unhideWhenUsed="1"/>
    <w:lsdException w:name="Table Web 1" w:semiHidden="1" w:unhideWhenUsed="1"/>
    <w:lsdException w:name="Table Web 2" w:locked="1" w:uiPriority="0" w:semiHidden="1" w:unhideWhenUsed="1"/>
    <w:lsdException w:name="Table Web 3" w:locked="1" w:uiPriority="0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4"/>
      <w:szCs w:val="24"/>
      <w:lang w:val="ru-RU" w:eastAsia="zh-CN" w:bidi="ar-SA"/>
    </w:rPr>
  </w:style>
  <w:style w:type="paragraph" w:styleId="Heading3">
    <w:name w:val="heading 3"/>
    <w:basedOn w:val="Normal"/>
    <w:link w:val="3"/>
    <w:uiPriority w:val="99"/>
    <w:qFormat/>
    <w:locked/>
    <w:pPr>
      <w:suppressAutoHyphens w:val="false"/>
      <w:spacing w:beforeAutospacing="1" w:afterAutospacing="1"/>
      <w:outlineLvl w:val="2"/>
    </w:pPr>
    <w:rPr>
      <w:b/>
      <w:bCs/>
      <w:sz w:val="27"/>
      <w:szCs w:val="27"/>
      <w:lang w:val="uk-UA" w:eastAsia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uiPriority w:val="99"/>
    <w:qFormat/>
    <w:locked/>
    <w:rPr>
      <w:rFonts w:ascii="Times New Roman" w:hAnsi="Times New Roman" w:cs="Times New Roman"/>
      <w:b/>
      <w:bCs/>
      <w:sz w:val="27"/>
      <w:szCs w:val="27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/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2z3" w:customStyle="1">
    <w:name w:val="WW8Num2z3"/>
    <w:uiPriority w:val="99"/>
    <w:qFormat/>
    <w:rPr/>
  </w:style>
  <w:style w:type="character" w:styleId="WW8Num2z4" w:customStyle="1">
    <w:name w:val="WW8Num2z4"/>
    <w:uiPriority w:val="99"/>
    <w:qFormat/>
    <w:rPr/>
  </w:style>
  <w:style w:type="character" w:styleId="WW8Num2z5" w:customStyle="1">
    <w:name w:val="WW8Num2z5"/>
    <w:uiPriority w:val="99"/>
    <w:qFormat/>
    <w:rPr/>
  </w:style>
  <w:style w:type="character" w:styleId="WW8Num2z6" w:customStyle="1">
    <w:name w:val="WW8Num2z6"/>
    <w:uiPriority w:val="99"/>
    <w:qFormat/>
    <w:rPr/>
  </w:style>
  <w:style w:type="character" w:styleId="WW8Num2z7" w:customStyle="1">
    <w:name w:val="WW8Num2z7"/>
    <w:uiPriority w:val="99"/>
    <w:qFormat/>
    <w:rPr/>
  </w:style>
  <w:style w:type="character" w:styleId="WW8Num2z8" w:customStyle="1">
    <w:name w:val="WW8Num2z8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5z0" w:customStyle="1">
    <w:name w:val="WW8Num5z0"/>
    <w:uiPriority w:val="99"/>
    <w:qFormat/>
    <w:rPr>
      <w:rFonts w:ascii="Times New Roman" w:hAnsi="Times New Roman"/>
    </w:rPr>
  </w:style>
  <w:style w:type="character" w:styleId="WW8Num5z1" w:customStyle="1">
    <w:name w:val="WW8Num5z1"/>
    <w:uiPriority w:val="99"/>
    <w:qFormat/>
    <w:rPr>
      <w:rFonts w:ascii="Courier New" w:hAnsi="Courier New"/>
    </w:rPr>
  </w:style>
  <w:style w:type="character" w:styleId="WW8Num5z2" w:customStyle="1">
    <w:name w:val="WW8Num5z2"/>
    <w:uiPriority w:val="99"/>
    <w:qFormat/>
    <w:rPr>
      <w:rFonts w:ascii="Wingdings" w:hAnsi="Wingdings"/>
    </w:rPr>
  </w:style>
  <w:style w:type="character" w:styleId="WW8Num5z3" w:customStyle="1">
    <w:name w:val="WW8Num5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>
      <w:rFonts w:ascii="Symbol" w:hAnsi="Symbol"/>
    </w:rPr>
  </w:style>
  <w:style w:type="character" w:styleId="WW8Num6z1" w:customStyle="1">
    <w:name w:val="WW8Num6z1"/>
    <w:uiPriority w:val="99"/>
    <w:qFormat/>
    <w:rPr>
      <w:rFonts w:ascii="Courier New" w:hAnsi="Courier New"/>
    </w:rPr>
  </w:style>
  <w:style w:type="character" w:styleId="WW8Num6z2" w:customStyle="1">
    <w:name w:val="WW8Num6z2"/>
    <w:uiPriority w:val="99"/>
    <w:qFormat/>
    <w:rPr>
      <w:rFonts w:ascii="Wingdings" w:hAnsi="Wingdings"/>
    </w:rPr>
  </w:style>
  <w:style w:type="character" w:styleId="WW8Num6z3" w:customStyle="1">
    <w:name w:val="WW8Num6z3"/>
    <w:uiPriority w:val="99"/>
    <w:qFormat/>
    <w:rPr>
      <w:rFonts w:ascii="Symbol" w:hAnsi="Symbol"/>
    </w:rPr>
  </w:style>
  <w:style w:type="character" w:styleId="WW8Num7z0" w:customStyle="1">
    <w:name w:val="WW8Num7z0"/>
    <w:uiPriority w:val="99"/>
    <w:qFormat/>
    <w:rPr/>
  </w:style>
  <w:style w:type="character" w:styleId="WW8Num7z1" w:customStyle="1">
    <w:name w:val="WW8Num7z1"/>
    <w:uiPriority w:val="99"/>
    <w:qFormat/>
    <w:rPr/>
  </w:style>
  <w:style w:type="character" w:styleId="WW8Num7z2" w:customStyle="1">
    <w:name w:val="WW8Num7z2"/>
    <w:uiPriority w:val="99"/>
    <w:qFormat/>
    <w:rPr/>
  </w:style>
  <w:style w:type="character" w:styleId="WW8Num7z3" w:customStyle="1">
    <w:name w:val="WW8Num7z3"/>
    <w:uiPriority w:val="99"/>
    <w:qFormat/>
    <w:rPr/>
  </w:style>
  <w:style w:type="character" w:styleId="WW8Num7z4" w:customStyle="1">
    <w:name w:val="WW8Num7z4"/>
    <w:uiPriority w:val="99"/>
    <w:qFormat/>
    <w:rPr/>
  </w:style>
  <w:style w:type="character" w:styleId="WW8Num7z5" w:customStyle="1">
    <w:name w:val="WW8Num7z5"/>
    <w:uiPriority w:val="99"/>
    <w:qFormat/>
    <w:rPr/>
  </w:style>
  <w:style w:type="character" w:styleId="WW8Num7z6" w:customStyle="1">
    <w:name w:val="WW8Num7z6"/>
    <w:uiPriority w:val="99"/>
    <w:qFormat/>
    <w:rPr/>
  </w:style>
  <w:style w:type="character" w:styleId="WW8Num7z7" w:customStyle="1">
    <w:name w:val="WW8Num7z7"/>
    <w:uiPriority w:val="99"/>
    <w:qFormat/>
    <w:rPr/>
  </w:style>
  <w:style w:type="character" w:styleId="WW8Num7z8" w:customStyle="1">
    <w:name w:val="WW8Num7z8"/>
    <w:uiPriority w:val="99"/>
    <w:qFormat/>
    <w:rPr/>
  </w:style>
  <w:style w:type="character" w:styleId="4" w:customStyle="1">
    <w:name w:val="Основной шрифт абзаца4"/>
    <w:uiPriority w:val="99"/>
    <w:qFormat/>
    <w:rPr/>
  </w:style>
  <w:style w:type="character" w:styleId="31" w:customStyle="1">
    <w:name w:val="Основной шрифт абзаца3"/>
    <w:uiPriority w:val="99"/>
    <w:qFormat/>
    <w:rPr/>
  </w:style>
  <w:style w:type="character" w:styleId="2" w:customStyle="1">
    <w:name w:val="Основной шрифт абзаца2"/>
    <w:uiPriority w:val="99"/>
    <w:qFormat/>
    <w:rPr/>
  </w:style>
  <w:style w:type="character" w:styleId="WW8Num3z4" w:customStyle="1">
    <w:name w:val="WW8Num3z4"/>
    <w:uiPriority w:val="99"/>
    <w:qFormat/>
    <w:rPr/>
  </w:style>
  <w:style w:type="character" w:styleId="WW8Num3z5" w:customStyle="1">
    <w:name w:val="WW8Num3z5"/>
    <w:uiPriority w:val="99"/>
    <w:qFormat/>
    <w:rPr/>
  </w:style>
  <w:style w:type="character" w:styleId="WW8Num3z6" w:customStyle="1">
    <w:name w:val="WW8Num3z6"/>
    <w:uiPriority w:val="99"/>
    <w:qFormat/>
    <w:rPr/>
  </w:style>
  <w:style w:type="character" w:styleId="WW8Num3z7" w:customStyle="1">
    <w:name w:val="WW8Num3z7"/>
    <w:uiPriority w:val="99"/>
    <w:qFormat/>
    <w:rPr/>
  </w:style>
  <w:style w:type="character" w:styleId="WW8Num3z8" w:customStyle="1">
    <w:name w:val="WW8Num3z8"/>
    <w:uiPriority w:val="99"/>
    <w:qFormat/>
    <w:rPr/>
  </w:style>
  <w:style w:type="character" w:styleId="WW8Num4z4" w:customStyle="1">
    <w:name w:val="WW8Num4z4"/>
    <w:uiPriority w:val="99"/>
    <w:qFormat/>
    <w:rPr/>
  </w:style>
  <w:style w:type="character" w:styleId="WW8Num4z5" w:customStyle="1">
    <w:name w:val="WW8Num4z5"/>
    <w:uiPriority w:val="99"/>
    <w:qFormat/>
    <w:rPr/>
  </w:style>
  <w:style w:type="character" w:styleId="WW8Num4z6" w:customStyle="1">
    <w:name w:val="WW8Num4z6"/>
    <w:uiPriority w:val="99"/>
    <w:qFormat/>
    <w:rPr/>
  </w:style>
  <w:style w:type="character" w:styleId="WW8Num4z7" w:customStyle="1">
    <w:name w:val="WW8Num4z7"/>
    <w:uiPriority w:val="99"/>
    <w:qFormat/>
    <w:rPr/>
  </w:style>
  <w:style w:type="character" w:styleId="WW8Num4z8" w:customStyle="1">
    <w:name w:val="WW8Num4z8"/>
    <w:uiPriority w:val="99"/>
    <w:qFormat/>
    <w:rPr/>
  </w:style>
  <w:style w:type="character" w:styleId="WW8Num8z0" w:customStyle="1">
    <w:name w:val="WW8Num8z0"/>
    <w:uiPriority w:val="99"/>
    <w:qFormat/>
    <w:rPr/>
  </w:style>
  <w:style w:type="character" w:styleId="WW8Num9z0" w:customStyle="1">
    <w:name w:val="WW8Num9z0"/>
    <w:uiPriority w:val="99"/>
    <w:qFormat/>
    <w:rPr/>
  </w:style>
  <w:style w:type="character" w:styleId="WW8Num9z1" w:customStyle="1">
    <w:name w:val="WW8Num9z1"/>
    <w:uiPriority w:val="99"/>
    <w:qFormat/>
    <w:rPr/>
  </w:style>
  <w:style w:type="character" w:styleId="WW8Num9z2" w:customStyle="1">
    <w:name w:val="WW8Num9z2"/>
    <w:uiPriority w:val="99"/>
    <w:qFormat/>
    <w:rPr/>
  </w:style>
  <w:style w:type="character" w:styleId="WW8Num9z3" w:customStyle="1">
    <w:name w:val="WW8Num9z3"/>
    <w:uiPriority w:val="99"/>
    <w:qFormat/>
    <w:rPr/>
  </w:style>
  <w:style w:type="character" w:styleId="WW8Num9z4" w:customStyle="1">
    <w:name w:val="WW8Num9z4"/>
    <w:uiPriority w:val="99"/>
    <w:qFormat/>
    <w:rPr/>
  </w:style>
  <w:style w:type="character" w:styleId="WW8Num9z5" w:customStyle="1">
    <w:name w:val="WW8Num9z5"/>
    <w:uiPriority w:val="99"/>
    <w:qFormat/>
    <w:rPr/>
  </w:style>
  <w:style w:type="character" w:styleId="WW8Num9z6" w:customStyle="1">
    <w:name w:val="WW8Num9z6"/>
    <w:uiPriority w:val="99"/>
    <w:qFormat/>
    <w:rPr/>
  </w:style>
  <w:style w:type="character" w:styleId="WW8Num9z7" w:customStyle="1">
    <w:name w:val="WW8Num9z7"/>
    <w:uiPriority w:val="99"/>
    <w:qFormat/>
    <w:rPr/>
  </w:style>
  <w:style w:type="character" w:styleId="WW8Num9z8" w:customStyle="1">
    <w:name w:val="WW8Num9z8"/>
    <w:uiPriority w:val="99"/>
    <w:qFormat/>
    <w:rPr/>
  </w:style>
  <w:style w:type="character" w:styleId="WW8Num10z0" w:customStyle="1">
    <w:name w:val="WW8Num10z0"/>
    <w:uiPriority w:val="99"/>
    <w:qFormat/>
    <w:rPr/>
  </w:style>
  <w:style w:type="character" w:styleId="WW8Num10z1" w:customStyle="1">
    <w:name w:val="WW8Num10z1"/>
    <w:uiPriority w:val="99"/>
    <w:qFormat/>
    <w:rPr/>
  </w:style>
  <w:style w:type="character" w:styleId="WW8Num10z2" w:customStyle="1">
    <w:name w:val="WW8Num10z2"/>
    <w:uiPriority w:val="99"/>
    <w:qFormat/>
    <w:rPr/>
  </w:style>
  <w:style w:type="character" w:styleId="WW8Num10z3" w:customStyle="1">
    <w:name w:val="WW8Num10z3"/>
    <w:uiPriority w:val="99"/>
    <w:qFormat/>
    <w:rPr/>
  </w:style>
  <w:style w:type="character" w:styleId="WW8Num10z4" w:customStyle="1">
    <w:name w:val="WW8Num10z4"/>
    <w:uiPriority w:val="99"/>
    <w:qFormat/>
    <w:rPr/>
  </w:style>
  <w:style w:type="character" w:styleId="WW8Num10z5" w:customStyle="1">
    <w:name w:val="WW8Num10z5"/>
    <w:uiPriority w:val="99"/>
    <w:qFormat/>
    <w:rPr/>
  </w:style>
  <w:style w:type="character" w:styleId="WW8Num10z6" w:customStyle="1">
    <w:name w:val="WW8Num10z6"/>
    <w:uiPriority w:val="99"/>
    <w:qFormat/>
    <w:rPr/>
  </w:style>
  <w:style w:type="character" w:styleId="WW8Num10z7" w:customStyle="1">
    <w:name w:val="WW8Num10z7"/>
    <w:uiPriority w:val="99"/>
    <w:qFormat/>
    <w:rPr/>
  </w:style>
  <w:style w:type="character" w:styleId="WW8Num10z8" w:customStyle="1">
    <w:name w:val="WW8Num10z8"/>
    <w:uiPriority w:val="99"/>
    <w:qFormat/>
    <w:rPr/>
  </w:style>
  <w:style w:type="character" w:styleId="WW8Num11z0" w:customStyle="1">
    <w:name w:val="WW8Num11z0"/>
    <w:uiPriority w:val="99"/>
    <w:qFormat/>
    <w:rPr>
      <w:rFonts w:ascii="Times New Roman" w:hAnsi="Times New Roman"/>
    </w:rPr>
  </w:style>
  <w:style w:type="character" w:styleId="WW8Num11z1" w:customStyle="1">
    <w:name w:val="WW8Num11z1"/>
    <w:uiPriority w:val="99"/>
    <w:qFormat/>
    <w:rPr>
      <w:rFonts w:ascii="Courier New" w:hAnsi="Courier New"/>
    </w:rPr>
  </w:style>
  <w:style w:type="character" w:styleId="WW8Num11z2" w:customStyle="1">
    <w:name w:val="WW8Num11z2"/>
    <w:uiPriority w:val="99"/>
    <w:qFormat/>
    <w:rPr>
      <w:rFonts w:ascii="Wingdings" w:hAnsi="Wingdings"/>
    </w:rPr>
  </w:style>
  <w:style w:type="character" w:styleId="WW8Num11z3" w:customStyle="1">
    <w:name w:val="WW8Num11z3"/>
    <w:uiPriority w:val="99"/>
    <w:qFormat/>
    <w:rPr>
      <w:rFonts w:ascii="Symbol" w:hAnsi="Symbol"/>
    </w:rPr>
  </w:style>
  <w:style w:type="character" w:styleId="WW8Num12z0" w:customStyle="1">
    <w:name w:val="WW8Num12z0"/>
    <w:uiPriority w:val="99"/>
    <w:qFormat/>
    <w:rPr/>
  </w:style>
  <w:style w:type="character" w:styleId="WW8Num12z1" w:customStyle="1">
    <w:name w:val="WW8Num12z1"/>
    <w:uiPriority w:val="99"/>
    <w:qFormat/>
    <w:rPr/>
  </w:style>
  <w:style w:type="character" w:styleId="WW8Num12z2" w:customStyle="1">
    <w:name w:val="WW8Num12z2"/>
    <w:uiPriority w:val="99"/>
    <w:qFormat/>
    <w:rPr/>
  </w:style>
  <w:style w:type="character" w:styleId="WW8Num12z3" w:customStyle="1">
    <w:name w:val="WW8Num12z3"/>
    <w:uiPriority w:val="99"/>
    <w:qFormat/>
    <w:rPr/>
  </w:style>
  <w:style w:type="character" w:styleId="WW8Num12z4" w:customStyle="1">
    <w:name w:val="WW8Num12z4"/>
    <w:uiPriority w:val="99"/>
    <w:qFormat/>
    <w:rPr/>
  </w:style>
  <w:style w:type="character" w:styleId="WW8Num12z5" w:customStyle="1">
    <w:name w:val="WW8Num12z5"/>
    <w:uiPriority w:val="99"/>
    <w:qFormat/>
    <w:rPr/>
  </w:style>
  <w:style w:type="character" w:styleId="WW8Num12z6" w:customStyle="1">
    <w:name w:val="WW8Num12z6"/>
    <w:uiPriority w:val="99"/>
    <w:qFormat/>
    <w:rPr/>
  </w:style>
  <w:style w:type="character" w:styleId="WW8Num12z7" w:customStyle="1">
    <w:name w:val="WW8Num12z7"/>
    <w:uiPriority w:val="99"/>
    <w:qFormat/>
    <w:rPr/>
  </w:style>
  <w:style w:type="character" w:styleId="WW8Num12z8" w:customStyle="1">
    <w:name w:val="WW8Num12z8"/>
    <w:uiPriority w:val="99"/>
    <w:qFormat/>
    <w:rPr/>
  </w:style>
  <w:style w:type="character" w:styleId="WW8Num13z0" w:customStyle="1">
    <w:name w:val="WW8Num13z0"/>
    <w:uiPriority w:val="99"/>
    <w:qFormat/>
    <w:rPr/>
  </w:style>
  <w:style w:type="character" w:styleId="1" w:customStyle="1">
    <w:name w:val="Основной шрифт абзаца1"/>
    <w:uiPriority w:val="99"/>
    <w:qFormat/>
    <w:rPr/>
  </w:style>
  <w:style w:type="character" w:styleId="11" w:customStyle="1">
    <w:name w:val="Номер сторінки1"/>
    <w:basedOn w:val="1"/>
    <w:uiPriority w:val="99"/>
    <w:qFormat/>
    <w:rPr>
      <w:rFonts w:cs="Times New Roman"/>
    </w:rPr>
  </w:style>
  <w:style w:type="character" w:styleId="Style13" w:customStyle="1">
    <w:name w:val="Верхний колонтитул Знак"/>
    <w:uiPriority w:val="99"/>
    <w:qFormat/>
    <w:rPr>
      <w:sz w:val="24"/>
      <w:lang w:val="ru-RU" w:eastAsia="zh-CN"/>
    </w:rPr>
  </w:style>
  <w:style w:type="character" w:styleId="Style14" w:customStyle="1">
    <w:name w:val="Текст выноски Знак"/>
    <w:uiPriority w:val="99"/>
    <w:qFormat/>
    <w:rPr>
      <w:rFonts w:ascii="Segoe UI" w:hAnsi="Segoe UI"/>
      <w:sz w:val="18"/>
      <w:lang w:val="ru-RU" w:eastAsia="zh-CN"/>
    </w:rPr>
  </w:style>
  <w:style w:type="character" w:styleId="Style15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Style16" w:customStyle="1">
    <w:name w:val="Основной текст Знак"/>
    <w:basedOn w:val="DefaultParagraphFont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Style17" w:customStyle="1">
    <w:name w:val="Нижний колонтитул Знак"/>
    <w:basedOn w:val="DefaultParagraphFont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12" w:customStyle="1">
    <w:name w:val="Верхний колонтитул Знак1"/>
    <w:basedOn w:val="DefaultParagraphFont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13" w:customStyle="1">
    <w:name w:val="Текст выноски Знак1"/>
    <w:basedOn w:val="DefaultParagraphFont"/>
    <w:uiPriority w:val="99"/>
    <w:semiHidden/>
    <w:qFormat/>
    <w:locked/>
    <w:rPr>
      <w:rFonts w:ascii="Times New Roman" w:hAnsi="Times New Roman" w:cs="Times New Roman"/>
      <w:sz w:val="2"/>
      <w:lang w:val="ru-RU" w:eastAsia="zh-CN"/>
    </w:rPr>
  </w:style>
  <w:style w:type="character" w:styleId="Style18" w:customStyle="1">
    <w:name w:val="Схема документа Знак"/>
    <w:basedOn w:val="DefaultParagraphFont"/>
    <w:uiPriority w:val="99"/>
    <w:semiHidden/>
    <w:qFormat/>
    <w:rPr>
      <w:rFonts w:ascii="Tahoma" w:hAnsi="Tahoma" w:cs="Tahoma"/>
      <w:sz w:val="16"/>
      <w:szCs w:val="16"/>
      <w:lang w:val="ru-RU" w:eastAsia="zh-CN"/>
    </w:rPr>
  </w:style>
  <w:style w:type="character" w:styleId="Style19" w:customStyle="1">
    <w:name w:val="Основний текст Знак"/>
    <w:basedOn w:val="DefaultParagraphFont"/>
    <w:uiPriority w:val="99"/>
    <w:semiHidden/>
    <w:qFormat/>
    <w:rPr>
      <w:rFonts w:ascii="Times New Roman" w:hAnsi="Times New Roman" w:cs="Times New Roman"/>
      <w:sz w:val="24"/>
      <w:szCs w:val="24"/>
      <w:lang w:val="ru-RU" w:eastAsia="zh-CN"/>
    </w:rPr>
  </w:style>
  <w:style w:type="character" w:styleId="Style20" w:customStyle="1">
    <w:name w:val="Назва Знак"/>
    <w:basedOn w:val="DefaultParagraphFont"/>
    <w:uiPriority w:val="99"/>
    <w:qFormat/>
    <w:rPr>
      <w:rFonts w:ascii="Cambria" w:hAnsi="Cambria" w:eastAsia="Times New Roman" w:cs="Cambria"/>
      <w:b/>
      <w:bCs/>
      <w:kern w:val="2"/>
      <w:sz w:val="32"/>
      <w:szCs w:val="32"/>
      <w:lang w:val="ru-RU" w:eastAsia="zh-CN"/>
    </w:rPr>
  </w:style>
  <w:style w:type="character" w:styleId="Style21" w:customStyle="1">
    <w:name w:val="Нижній колонтитул Знак"/>
    <w:basedOn w:val="DefaultParagraphFont"/>
    <w:uiPriority w:val="99"/>
    <w:semiHidden/>
    <w:qFormat/>
    <w:rPr>
      <w:rFonts w:ascii="Times New Roman" w:hAnsi="Times New Roman" w:cs="Times New Roman"/>
      <w:sz w:val="24"/>
      <w:szCs w:val="24"/>
      <w:lang w:val="ru-RU" w:eastAsia="zh-CN"/>
    </w:rPr>
  </w:style>
  <w:style w:type="character" w:styleId="Style22" w:customStyle="1">
    <w:name w:val="Верхній колонтитул Знак"/>
    <w:basedOn w:val="DefaultParagraphFont"/>
    <w:uiPriority w:val="99"/>
    <w:qFormat/>
    <w:rPr>
      <w:rFonts w:ascii="Times New Roman" w:hAnsi="Times New Roman" w:cs="Times New Roman"/>
      <w:sz w:val="24"/>
      <w:szCs w:val="24"/>
      <w:lang w:val="ru-RU" w:eastAsia="zh-CN"/>
    </w:rPr>
  </w:style>
  <w:style w:type="character" w:styleId="Style23" w:customStyle="1">
    <w:name w:val="Текст у виносці Знак"/>
    <w:basedOn w:val="DefaultParagraphFont"/>
    <w:uiPriority w:val="99"/>
    <w:semiHidden/>
    <w:qFormat/>
    <w:rPr>
      <w:rFonts w:ascii="Times New Roman" w:hAnsi="Times New Roman" w:cs="Times New Roman"/>
      <w:sz w:val="2"/>
      <w:lang w:val="ru-RU" w:eastAsia="zh-CN"/>
    </w:rPr>
  </w:style>
  <w:style w:type="character" w:styleId="14" w:customStyle="1">
    <w:name w:val="Схема документа Знак1"/>
    <w:basedOn w:val="DefaultParagraphFont"/>
    <w:uiPriority w:val="99"/>
    <w:semiHidden/>
    <w:qFormat/>
    <w:rPr>
      <w:rFonts w:ascii="Times New Roman" w:hAnsi="Times New Roman" w:cs="Times New Roman"/>
      <w:sz w:val="2"/>
      <w:lang w:val="ru-RU" w:eastAsia="zh-CN"/>
    </w:rPr>
  </w:style>
  <w:style w:type="character" w:styleId="15" w:customStyle="1">
    <w:name w:val="Основний текст Знак1"/>
    <w:basedOn w:val="DefaultParagraphFont"/>
    <w:uiPriority w:val="99"/>
    <w:semiHidden/>
    <w:qFormat/>
    <w:rsid w:val="007d6b15"/>
    <w:rPr>
      <w:rFonts w:ascii="Times New Roman" w:hAnsi="Times New Roman" w:cs="Times New Roman"/>
      <w:sz w:val="24"/>
      <w:szCs w:val="24"/>
      <w:lang w:val="ru-RU" w:eastAsia="zh-CN"/>
    </w:rPr>
  </w:style>
  <w:style w:type="character" w:styleId="16" w:customStyle="1">
    <w:name w:val="Назва Знак1"/>
    <w:basedOn w:val="DefaultParagraphFont"/>
    <w:uiPriority w:val="10"/>
    <w:qFormat/>
    <w:rsid w:val="007d6b15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ru-RU" w:eastAsia="zh-CN"/>
    </w:rPr>
  </w:style>
  <w:style w:type="character" w:styleId="17" w:customStyle="1">
    <w:name w:val="Нижній колонтитул Знак1"/>
    <w:basedOn w:val="DefaultParagraphFont"/>
    <w:uiPriority w:val="99"/>
    <w:semiHidden/>
    <w:qFormat/>
    <w:rsid w:val="007d6b15"/>
    <w:rPr>
      <w:rFonts w:ascii="Times New Roman" w:hAnsi="Times New Roman" w:cs="Times New Roman"/>
      <w:sz w:val="24"/>
      <w:szCs w:val="24"/>
      <w:lang w:val="ru-RU" w:eastAsia="zh-CN"/>
    </w:rPr>
  </w:style>
  <w:style w:type="character" w:styleId="18" w:customStyle="1">
    <w:name w:val="Верхній колонтитул Знак1"/>
    <w:basedOn w:val="DefaultParagraphFont"/>
    <w:uiPriority w:val="99"/>
    <w:semiHidden/>
    <w:qFormat/>
    <w:rsid w:val="007d6b15"/>
    <w:rPr>
      <w:rFonts w:ascii="Times New Roman" w:hAnsi="Times New Roman" w:cs="Times New Roman"/>
      <w:sz w:val="24"/>
      <w:szCs w:val="24"/>
      <w:lang w:val="ru-RU" w:eastAsia="zh-CN"/>
    </w:rPr>
  </w:style>
  <w:style w:type="character" w:styleId="19" w:customStyle="1">
    <w:name w:val="Текст у виносці Знак1"/>
    <w:basedOn w:val="DefaultParagraphFont"/>
    <w:link w:val="BalloonText"/>
    <w:uiPriority w:val="99"/>
    <w:semiHidden/>
    <w:qFormat/>
    <w:rsid w:val="007d6b15"/>
    <w:rPr>
      <w:rFonts w:ascii="Times New Roman" w:hAnsi="Times New Roman" w:cs="Times New Roman"/>
      <w:sz w:val="0"/>
      <w:szCs w:val="0"/>
      <w:lang w:val="ru-RU" w:eastAsia="zh-CN"/>
    </w:rPr>
  </w:style>
  <w:style w:type="character" w:styleId="5" w:customStyle="1">
    <w:name w:val="Схема документа Знак5"/>
    <w:basedOn w:val="DefaultParagraphFont"/>
    <w:link w:val="DocumentMap"/>
    <w:uiPriority w:val="99"/>
    <w:semiHidden/>
    <w:qFormat/>
    <w:rsid w:val="007d6b15"/>
    <w:rPr>
      <w:rFonts w:ascii="Times New Roman" w:hAnsi="Times New Roman" w:cs="Times New Roman"/>
      <w:sz w:val="0"/>
      <w:szCs w:val="0"/>
      <w:lang w:val="ru-RU" w:eastAsia="zh-CN"/>
    </w:rPr>
  </w:style>
  <w:style w:type="paragraph" w:styleId="Style24" w:customStyle="1">
    <w:name w:val="Заголовок"/>
    <w:basedOn w:val="Normal"/>
    <w:next w:val="BodyText"/>
    <w:uiPriority w:val="99"/>
    <w:qFormat/>
    <w:rsid w:val="00b95b91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15"/>
    <w:uiPriority w:val="9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pPr/>
    <w:rPr>
      <w:rFonts w:cs="Mang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</w:rPr>
  </w:style>
  <w:style w:type="paragraph" w:styleId="Style25" w:customStyle="1">
    <w:name w:val="Покажчик"/>
    <w:basedOn w:val="Normal"/>
    <w:uiPriority w:val="99"/>
    <w:qFormat/>
    <w:pPr>
      <w:suppressLineNumbers/>
    </w:pPr>
    <w:rPr>
      <w:rFonts w:cs="FreeSans;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110" w:customStyle="1">
    <w:name w:val="Заголовок1"/>
    <w:basedOn w:val="Normal"/>
    <w:next w:val="BodyText"/>
    <w:uiPriority w:val="9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itle">
    <w:name w:val="Title"/>
    <w:basedOn w:val="Normal"/>
    <w:next w:val="BodyText"/>
    <w:link w:val="16"/>
    <w:uiPriority w:val="9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HeaderChar" w:customStyle="1">
    <w:name w:val="Header Char"/>
    <w:basedOn w:val="Normal"/>
    <w:next w:val="BodyText"/>
    <w:uiPriority w:val="9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41" w:customStyle="1">
    <w:name w:val="Схема документа Знак4"/>
    <w:basedOn w:val="Normal"/>
    <w:uiPriority w:val="99"/>
    <w:qFormat/>
    <w:pPr>
      <w:suppressLineNumbers/>
      <w:spacing w:before="120" w:after="120"/>
    </w:pPr>
    <w:rPr>
      <w:rFonts w:cs="FreeSans;Arial"/>
      <w:i/>
      <w:iCs/>
    </w:rPr>
  </w:style>
  <w:style w:type="paragraph" w:styleId="21" w:customStyle="1">
    <w:name w:val="Название объекта2"/>
    <w:basedOn w:val="Normal"/>
    <w:uiPriority w:val="99"/>
    <w:qFormat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Схема документа Знак3"/>
    <w:basedOn w:val="Normal"/>
    <w:uiPriority w:val="99"/>
    <w:qFormat/>
    <w:pPr>
      <w:suppressLineNumbers/>
    </w:pPr>
    <w:rPr>
      <w:rFonts w:cs="Mangal"/>
    </w:rPr>
  </w:style>
  <w:style w:type="paragraph" w:styleId="111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Mangal"/>
      <w:i/>
      <w:iCs/>
    </w:rPr>
  </w:style>
  <w:style w:type="paragraph" w:styleId="BalloonTextChar" w:customStyle="1">
    <w:name w:val="Balloon Text Char"/>
    <w:basedOn w:val="Normal"/>
    <w:uiPriority w:val="99"/>
    <w:qFormat/>
    <w:pPr>
      <w:suppressLineNumbers/>
    </w:pPr>
    <w:rPr>
      <w:rFonts w:cs="Mangal"/>
    </w:rPr>
  </w:style>
  <w:style w:type="paragraph" w:styleId="Style26" w:customStyle="1">
    <w:name w:val="Верхній і нижній колонтитули"/>
    <w:basedOn w:val="Normal"/>
    <w:uiPriority w:val="99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Footer">
    <w:name w:val="footer"/>
    <w:basedOn w:val="Normal"/>
    <w:link w:val="17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Содержимое таблицы"/>
    <w:basedOn w:val="Normal"/>
    <w:uiPriority w:val="99"/>
    <w:qFormat/>
    <w:pPr>
      <w:suppressLineNumbers/>
    </w:pPr>
    <w:rPr/>
  </w:style>
  <w:style w:type="paragraph" w:styleId="Style28" w:customStyle="1">
    <w:name w:val="Заголовок таблицы"/>
    <w:basedOn w:val="Style27"/>
    <w:uiPriority w:val="99"/>
    <w:qFormat/>
    <w:pPr>
      <w:jc w:val="center"/>
    </w:pPr>
    <w:rPr>
      <w:b/>
      <w:bCs/>
    </w:rPr>
  </w:style>
  <w:style w:type="paragraph" w:styleId="Style29" w:customStyle="1">
    <w:name w:val="Содержимое врезки"/>
    <w:basedOn w:val="Normal"/>
    <w:uiPriority w:val="99"/>
    <w:qFormat/>
    <w:pPr/>
    <w:rPr/>
  </w:style>
  <w:style w:type="paragraph" w:styleId="Header">
    <w:name w:val="header"/>
    <w:basedOn w:val="Normal"/>
    <w:link w:val="18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22" w:customStyle="1">
    <w:name w:val="Схема документа Знак2"/>
    <w:basedOn w:val="Normal"/>
    <w:uiPriority w:val="99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30" w:customStyle="1">
    <w:name w:val="Вміст кадру"/>
    <w:basedOn w:val="Normal"/>
    <w:uiPriority w:val="99"/>
    <w:qFormat/>
    <w:pPr/>
    <w:rPr/>
  </w:style>
  <w:style w:type="paragraph" w:styleId="Style31" w:customStyle="1">
    <w:name w:val="Вміст таблиці"/>
    <w:basedOn w:val="Normal"/>
    <w:uiPriority w:val="99"/>
    <w:qFormat/>
    <w:pPr>
      <w:suppressLineNumbers/>
    </w:pPr>
    <w:rPr/>
  </w:style>
  <w:style w:type="paragraph" w:styleId="Style32" w:customStyle="1">
    <w:name w:val="Заголовок таблиці"/>
    <w:basedOn w:val="Style31"/>
    <w:uiPriority w:val="99"/>
    <w:qFormat/>
    <w:pPr>
      <w:jc w:val="center"/>
    </w:pPr>
    <w:rPr>
      <w:b/>
      <w:bCs/>
    </w:rPr>
  </w:style>
  <w:style w:type="paragraph" w:styleId="Style33" w:customStyle="1">
    <w:name w:val="Вміст рамки"/>
    <w:basedOn w:val="Normal"/>
    <w:uiPriority w:val="99"/>
    <w:qFormat/>
    <w:pPr/>
    <w:rPr/>
  </w:style>
  <w:style w:type="paragraph" w:styleId="ListParagraph">
    <w:name w:val="List Paragraph"/>
    <w:basedOn w:val="Normal"/>
    <w:uiPriority w:val="99"/>
    <w:qFormat/>
    <w:pPr>
      <w:suppressAutoHyphens w:val="false"/>
      <w:spacing w:lineRule="auto" w:line="252" w:before="0" w:after="160"/>
      <w:ind w:left="720"/>
      <w:contextualSpacing/>
    </w:pPr>
    <w:rPr>
      <w:rFonts w:ascii="Calibri" w:hAnsi="Calibri" w:cs="Calibri"/>
      <w:sz w:val="22"/>
      <w:szCs w:val="22"/>
    </w:rPr>
  </w:style>
  <w:style w:type="paragraph" w:styleId="BalloonText">
    <w:name w:val="Balloon Text"/>
    <w:basedOn w:val="Normal"/>
    <w:link w:val="19"/>
    <w:uiPriority w:val="99"/>
    <w:qFormat/>
    <w:pPr/>
    <w:rPr>
      <w:rFonts w:ascii="Segoe UI" w:hAnsi="Segoe UI" w:cs="Segoe UI"/>
      <w:sz w:val="18"/>
      <w:szCs w:val="18"/>
    </w:rPr>
  </w:style>
  <w:style w:type="paragraph" w:styleId="112" w:customStyle="1">
    <w:name w:val="Обычная таблица1"/>
    <w:uiPriority w:val="99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Times New Roman"/>
      <w:color w:val="auto"/>
      <w:kern w:val="0"/>
      <w:sz w:val="24"/>
      <w:szCs w:val="22"/>
      <w:lang w:val="uk-UA" w:eastAsia="uk-UA" w:bidi="ar-SA"/>
    </w:rPr>
  </w:style>
  <w:style w:type="paragraph" w:styleId="DocumentMap">
    <w:name w:val="Document Map"/>
    <w:basedOn w:val="Normal"/>
    <w:link w:val="5"/>
    <w:uiPriority w:val="99"/>
    <w:semiHidden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pPr>
      <w:suppressAutoHyphens w:val="false"/>
      <w:spacing w:beforeAutospacing="1" w:afterAutospacing="1"/>
    </w:pPr>
    <w:rPr>
      <w:lang w:val="uk-UA" w:eastAsia="uk-UA"/>
    </w:rPr>
  </w:style>
  <w:style w:type="paragraph" w:styleId="user3">
    <w:name w:val="Вміст таблиці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і (user)"/>
    <w:basedOn w:val="user3"/>
    <w:qFormat/>
    <w:pPr>
      <w:suppressLineNumbers/>
      <w:jc w:val="center"/>
    </w:pPr>
    <w:rPr>
      <w:b/>
      <w:bCs/>
    </w:rPr>
  </w:style>
  <w:style w:type="numbering" w:styleId="user5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<Relationship Id="rId1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D5E19-CB6B-41FA-9815-C3A21ED0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Application>LibreOffice/25.2.5.2$Windows_X86_64 LibreOffice_project/03d19516eb2e1dd5d4ccd751a0d6f35f35e08022</Application>
  <AppVersion>15.0000</AppVersion>
  <Pages>7</Pages>
  <Words>778</Words>
  <Characters>5477</Characters>
  <CharactersWithSpaces>6052</CharactersWithSpaces>
  <Paragraphs>206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2023-02-14T12:49:00Z</dcterms:created>
  <dc:creator>SASHA</dc:creator>
  <dc:description/>
  <dc:language>uk-UA</dc:language>
  <cp:lastModifiedBy/>
  <cp:lastPrinted>2022-10-20T06:47:00Z</cp:lastPrinted>
  <dcterms:modified xsi:type="dcterms:W3CDTF">2025-09-03T09:34:00Z</dcterms:modified>
  <cp:revision>19</cp:revision>
  <dc:subject/>
  <dc:title>МІСЬКА ЦІЛЬОВА ПРОГРАМА РОЗВИТКУ ТА ОНОВЛЕННЯ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