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sz w:val="28"/>
          <w:szCs w:val="28"/>
        </w:rPr>
      </w:pPr>
      <w:r>
        <w:rPr>
          <w:rFonts w:eastAsia="Times New Roman" w:cs="Times New Roman"/>
          <w:b w:val="false"/>
          <w:bCs w:val="false"/>
          <w:i w:val="false"/>
          <w:iCs w:val="false"/>
          <w:color w:val="000000"/>
          <w:spacing w:val="-2"/>
          <w:kern w:val="0"/>
          <w:sz w:val="28"/>
          <w:szCs w:val="28"/>
          <w:shd w:fill="auto" w:val="clear"/>
          <w:lang w:val="uk-UA" w:eastAsia="zh-CN" w:bidi="ar-SA"/>
        </w:rPr>
        <w:t>Про  надання  ТзОВ «ВОДОЛІЙ» ЛТД,</w:t>
      </w:r>
    </w:p>
    <w:p>
      <w:pPr>
        <w:pStyle w:val="Normal"/>
        <w:rPr>
          <w:sz w:val="28"/>
          <w:szCs w:val="28"/>
        </w:rPr>
      </w:pPr>
      <w:r>
        <w:rPr>
          <w:rFonts w:eastAsia="Times New Roman" w:cs="Times New Roman"/>
          <w:b w:val="false"/>
          <w:bCs w:val="false"/>
          <w:i w:val="false"/>
          <w:iCs w:val="false"/>
          <w:color w:val="000000"/>
          <w:spacing w:val="-2"/>
          <w:kern w:val="0"/>
          <w:sz w:val="28"/>
          <w:szCs w:val="28"/>
          <w:shd w:fill="auto" w:val="clear"/>
          <w:lang w:val="uk-UA" w:eastAsia="zh-CN" w:bidi="ar-SA"/>
        </w:rPr>
        <w:t>громадянці   Левчук О.С.   дозволу   на</w:t>
      </w:r>
    </w:p>
    <w:p>
      <w:pPr>
        <w:pStyle w:val="Normal"/>
        <w:rPr>
          <w:sz w:val="28"/>
          <w:szCs w:val="28"/>
        </w:rPr>
      </w:pPr>
      <w:r>
        <w:rPr>
          <w:rFonts w:eastAsia="Times New Roman" w:cs="Times New Roman"/>
          <w:b w:val="false"/>
          <w:bCs w:val="false"/>
          <w:i w:val="false"/>
          <w:iCs w:val="false"/>
          <w:color w:val="000000"/>
          <w:spacing w:val="-2"/>
          <w:kern w:val="0"/>
          <w:sz w:val="28"/>
          <w:szCs w:val="28"/>
          <w:shd w:fill="auto" w:val="clear"/>
          <w:lang w:val="uk-UA" w:eastAsia="zh-CN" w:bidi="ar-SA"/>
        </w:rPr>
        <w:t>розроблення    технічної   документації</w:t>
      </w:r>
    </w:p>
    <w:p>
      <w:pPr>
        <w:pStyle w:val="Normal"/>
        <w:rPr>
          <w:sz w:val="28"/>
          <w:szCs w:val="28"/>
        </w:rPr>
      </w:pPr>
      <w:r>
        <w:rPr>
          <w:rFonts w:eastAsia="Times New Roman" w:cs="Times New Roman"/>
          <w:b w:val="false"/>
          <w:bCs w:val="false"/>
          <w:i w:val="false"/>
          <w:iCs w:val="false"/>
          <w:color w:val="000000"/>
          <w:spacing w:val="-2"/>
          <w:kern w:val="0"/>
          <w:sz w:val="28"/>
          <w:szCs w:val="28"/>
          <w:shd w:fill="auto" w:val="clear"/>
          <w:lang w:val="uk-UA" w:eastAsia="zh-CN" w:bidi="ar-SA"/>
        </w:rPr>
        <w:t>із  землеустрою    щодо    встановлення</w:t>
      </w:r>
    </w:p>
    <w:p>
      <w:pPr>
        <w:pStyle w:val="Normal"/>
        <w:rPr>
          <w:sz w:val="28"/>
          <w:szCs w:val="28"/>
        </w:rPr>
      </w:pPr>
      <w:r>
        <w:rPr>
          <w:rFonts w:eastAsia="Times New Roman" w:cs="Times New Roman"/>
          <w:b w:val="false"/>
          <w:bCs w:val="false"/>
          <w:i w:val="false"/>
          <w:iCs w:val="false"/>
          <w:color w:val="000000"/>
          <w:spacing w:val="-2"/>
          <w:kern w:val="0"/>
          <w:sz w:val="28"/>
          <w:szCs w:val="28"/>
          <w:shd w:fill="auto" w:val="clear"/>
          <w:lang w:val="uk-UA" w:eastAsia="zh-CN" w:bidi="ar-SA"/>
        </w:rPr>
        <w:t>(відновлення) меж земельної  ділянки в</w:t>
      </w:r>
    </w:p>
    <w:p>
      <w:pPr>
        <w:pStyle w:val="Normal"/>
        <w:rPr>
          <w:sz w:val="28"/>
          <w:szCs w:val="28"/>
        </w:rPr>
      </w:pPr>
      <w:r>
        <w:rPr>
          <w:rFonts w:eastAsia="Times New Roman" w:cs="Times New Roman"/>
          <w:b w:val="false"/>
          <w:bCs w:val="false"/>
          <w:i w:val="false"/>
          <w:iCs w:val="false"/>
          <w:color w:val="000000"/>
          <w:spacing w:val="-2"/>
          <w:kern w:val="0"/>
          <w:sz w:val="28"/>
          <w:szCs w:val="28"/>
          <w:shd w:fill="auto" w:val="clear"/>
          <w:lang w:val="uk-UA" w:eastAsia="zh-CN" w:bidi="ar-SA"/>
        </w:rPr>
        <w:t>натурі (на місцевості)  на вул. Словаць-</w:t>
      </w:r>
    </w:p>
    <w:p>
      <w:pPr>
        <w:pStyle w:val="Normal"/>
        <w:rPr>
          <w:sz w:val="28"/>
          <w:szCs w:val="28"/>
        </w:rPr>
      </w:pPr>
      <w:r>
        <w:rPr>
          <w:rFonts w:eastAsia="Times New Roman" w:cs="Times New Roman"/>
          <w:b w:val="false"/>
          <w:bCs w:val="false"/>
          <w:i w:val="false"/>
          <w:iCs w:val="false"/>
          <w:color w:val="000000"/>
          <w:spacing w:val="-2"/>
          <w:kern w:val="0"/>
          <w:sz w:val="28"/>
          <w:szCs w:val="28"/>
          <w:shd w:fill="auto" w:val="clear"/>
          <w:lang w:val="uk-UA" w:eastAsia="zh-CN" w:bidi="ar-SA"/>
        </w:rPr>
        <w:t>кого, 28-А у м. Луцьку</w:t>
      </w:r>
    </w:p>
    <w:p>
      <w:pPr>
        <w:pStyle w:val="Normal"/>
        <w:widowControl w:val="false"/>
        <w:rPr>
          <w:rFonts w:ascii="Times New Roman" w:hAnsi="Times New Roman" w:eastAsia="Times New Roman" w:cs="Times New Roman"/>
          <w:b w:val="false"/>
          <w:b w:val="false"/>
          <w:bCs w:val="false"/>
          <w:i w:val="false"/>
          <w:i w:val="false"/>
          <w:iCs w:val="false"/>
          <w:color w:val="auto"/>
          <w:spacing w:val="-2"/>
          <w:kern w:val="0"/>
          <w:sz w:val="28"/>
          <w:szCs w:val="28"/>
          <w:shd w:fill="auto" w:val="clear"/>
          <w:lang w:val="uk-UA" w:eastAsia="zh-CN" w:bidi="ar-SA"/>
        </w:rPr>
      </w:pPr>
      <w:r>
        <w:rPr>
          <w:rFonts w:eastAsia="Times New Roman" w:cs="Times New Roman"/>
          <w:b w:val="false"/>
          <w:bCs w:val="false"/>
          <w:i w:val="false"/>
          <w:iCs w:val="false"/>
          <w:color w:val="000000"/>
          <w:spacing w:val="-2"/>
          <w:kern w:val="0"/>
          <w:sz w:val="28"/>
          <w:szCs w:val="28"/>
          <w:shd w:fill="auto" w:val="clear"/>
          <w:lang w:val="uk-UA" w:eastAsia="zh-CN" w:bidi="ar-SA"/>
        </w:rPr>
      </w:r>
    </w:p>
    <w:p>
      <w:pPr>
        <w:pStyle w:val="Normal"/>
        <w:widowControl/>
        <w:suppressAutoHyphens w:val="true"/>
        <w:overflowPunct w:val="true"/>
        <w:bidi w:val="0"/>
        <w:spacing w:before="0" w:after="0"/>
        <w:ind w:left="0" w:right="0" w:firstLine="567"/>
        <w:jc w:val="both"/>
        <w:rPr>
          <w:sz w:val="28"/>
          <w:szCs w:val="28"/>
        </w:rPr>
      </w:pPr>
      <w:r>
        <w:rPr>
          <w:rFonts w:eastAsia="Times New Roman" w:cs="Times New Roman"/>
          <w:b w:val="false"/>
          <w:bCs w:val="false"/>
          <w:i w:val="false"/>
          <w:iCs w:val="false"/>
          <w:color w:val="000000"/>
          <w:spacing w:val="-2"/>
          <w:kern w:val="0"/>
          <w:sz w:val="28"/>
          <w:szCs w:val="28"/>
          <w:shd w:fill="auto" w:val="clear"/>
          <w:lang w:val="uk-UA" w:eastAsia="zh-CN" w:bidi="ar-SA"/>
        </w:rPr>
        <w:t>Розглянувши заяву ТОВАРИСТВА З ОБМЕЖЕНОЮ ВІДПОВІДАЛЬНІСТЮ «ВОДОЛІЙ» ЛТД, громадянки Левчук Олени Сергіївни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вул. Словацького, 28-А у м. Луцьку, у зв’язку із переходом  від громадянина Левчука Сергія Васильовича до громадянки Левчук Олени Сергіївни права власності на об’єкти нерухомого майна на вул. Словацького, 28-А у м. Луцьку: договір дарування від 08.08.2024 за № 1542, відповідно до якого право власності на гараж зареєстровано в Державному реєстрі речових прав на нерухоме майно від 08.08.2024, номер відомостей про речове право: 56197813, технічний паспорт на об’єкт нерухомого майна від 08.08.2025; договір дарування від 08.08.2024 за № 1541, відповідно до якого право власності зареєстровано в Державному реєстрі речових прав на нерухоме майно: на гаражі з побутовими приміщеннями – від 08.08.2024, номер відомостей про речове право: 56197717, на земельну ділянку з кадастровим номером 0710100000:11:023:0051 – від 08.08.2024, номер відомостей про речове право: 56197708, враховуючи документи, що посвідчують право власності ТОВАРИСТВА З ОБМЕЖЕНОЮ ВІДПОВІДАЛЬНІСТЮ «ВОДОЛІЙ» ЛТД на об’єкт нерухомого майна на вул.  Словацького, 28-А у м. Луцьку: свідоцтво про право власності від 10.02.2006, відповідно до якого право власності на будівлю гаражів та офісних приміщень (приміщення № 1 по № 21) зареєстровано 01.03.2006, реєстраційний номер: 14008640, технічний паспорт на об’єкт нерухомого майна від 16.03.2004, договір оренди земельної ділянки, укладений між Луцькою міською радою та ТОВАРИСТВОМ З ОБМЕЖЕНОЮ ВІДПОВІДАЛЬНІСТЮ «ВОДОЛІЙ» ЛТД, зареєстрований в книзі записів державної реєстрації договорів оренди 19.11.2003 за № 85-03, строк дії якого закінчився, акт приймання-передачі земельної ділянки від 05.01.2022, рішення Луцької міської ради від 28.08.2024 № 62/33 “Про надання ТзОВ «ВОДОЛІЙ» ЛТД, громадянину Левчуку С.В. дозволу на розроблення технічної документації із землеустрою щодо встановлення (відновлення) меж земельної ділянки в натурі (на місцевості) на вул. Словацького, 28-А у м. Луцьку”, керуючись статтями 12, 79-1, 93, 122-123, частиною другою статті 134 Земельного кодексу України, пунктом 3 розділу ІІ «</w:t>
      </w:r>
      <w:r>
        <w:rPr>
          <w:rFonts w:eastAsia="Times New Roman" w:cs="Times New Roman"/>
          <w:b w:val="false"/>
          <w:bCs w:val="false"/>
          <w:i w:val="false"/>
          <w:iCs w:val="false"/>
          <w:caps w:val="false"/>
          <w:smallCaps w:val="false"/>
          <w:color w:val="000000"/>
          <w:spacing w:val="-2"/>
          <w:kern w:val="0"/>
          <w:sz w:val="28"/>
          <w:szCs w:val="28"/>
          <w:shd w:fill="auto" w:val="clear"/>
          <w:lang w:val="uk-UA" w:eastAsia="zh-CN" w:bidi="ar-SA"/>
        </w:rPr>
        <w:t>Прикінцеві та перехідні положення»</w:t>
      </w:r>
      <w:r>
        <w:rPr>
          <w:rFonts w:eastAsia="Times New Roman" w:cs="Times New Roman"/>
          <w:b w:val="false"/>
          <w:bCs w:val="false"/>
          <w:i w:val="false"/>
          <w:iCs w:val="false"/>
          <w:color w:val="000000"/>
          <w:spacing w:val="-2"/>
          <w:kern w:val="0"/>
          <w:sz w:val="28"/>
          <w:szCs w:val="28"/>
          <w:shd w:fill="auto" w:val="clear"/>
          <w:lang w:val="uk-UA" w:eastAsia="zh-CN" w:bidi="ar-SA"/>
        </w:rPr>
        <w:t xml:space="preserve">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jc w:val="both"/>
        <w:rPr>
          <w:sz w:val="28"/>
          <w:szCs w:val="28"/>
        </w:rPr>
      </w:pPr>
      <w:r>
        <w:rPr>
          <w:sz w:val="28"/>
          <w:szCs w:val="28"/>
          <w:lang w:val="uk-UA"/>
        </w:rPr>
        <w:t>ВИРІШИЛА:</w:t>
      </w:r>
    </w:p>
    <w:p>
      <w:pPr>
        <w:pStyle w:val="Normal"/>
        <w:widowControl w:val="false"/>
        <w:jc w:val="both"/>
        <w:rPr>
          <w:rFonts w:ascii="Times New Roman" w:hAnsi="Times New Roman"/>
          <w:color w:val="C9211E"/>
          <w:sz w:val="28"/>
          <w:szCs w:val="28"/>
          <w:lang w:val="uk-UA"/>
        </w:rPr>
      </w:pPr>
      <w:r>
        <w:rPr>
          <w:color w:val="C9211E"/>
          <w:sz w:val="28"/>
          <w:szCs w:val="28"/>
          <w:lang w:val="uk-UA"/>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000000"/>
          <w:spacing w:val="-2"/>
          <w:kern w:val="0"/>
          <w:sz w:val="28"/>
          <w:szCs w:val="28"/>
          <w:shd w:fill="FFFFFF" w:val="clear"/>
          <w:lang w:val="uk-UA" w:eastAsia="zh-CN" w:bidi="ar-SA"/>
        </w:rPr>
        <w:t xml:space="preserve">1. Скасувати рішення Луцької міської ради від 28.08.2024 № 62/33 </w:t>
      </w:r>
      <w:r>
        <w:rPr>
          <w:rFonts w:eastAsia="Times New Roman" w:cs="Times New Roman"/>
          <w:b w:val="false"/>
          <w:bCs w:val="false"/>
          <w:i w:val="false"/>
          <w:iCs w:val="false"/>
          <w:color w:val="000000"/>
          <w:spacing w:val="-2"/>
          <w:kern w:val="0"/>
          <w:sz w:val="28"/>
          <w:szCs w:val="28"/>
          <w:shd w:fill="auto" w:val="clear"/>
          <w:lang w:val="uk-UA" w:eastAsia="zh-CN" w:bidi="ar-SA"/>
        </w:rPr>
        <w:t>“Про надання ТзОВ «ВОДОЛІЙ» ЛТД, громадянину Левчуку С.В. дозволу на розроблення технічної документації із землеустрою щодо встановлення (відновлення) меж земельної ділянки в натурі (на місцевості) на вул. Словацького, 28-А у м. Луцьку”</w:t>
      </w:r>
      <w:r>
        <w:rPr>
          <w:rFonts w:eastAsia="Times New Roman" w:cs="Times New Roman"/>
          <w:b w:val="false"/>
          <w:bCs w:val="false"/>
          <w:color w:val="000000"/>
          <w:spacing w:val="-2"/>
          <w:kern w:val="0"/>
          <w:sz w:val="28"/>
          <w:szCs w:val="28"/>
          <w:shd w:fill="FFFFFF" w:val="clear"/>
          <w:lang w:val="uk-UA" w:eastAsia="zh-CN" w:bidi="ar-SA"/>
        </w:rPr>
        <w:t>.</w:t>
      </w:r>
    </w:p>
    <w:p>
      <w:pPr>
        <w:pStyle w:val="Normal"/>
        <w:widowControl w:val="false"/>
        <w:suppressAutoHyphens w:val="true"/>
        <w:overflowPunct w:val="true"/>
        <w:bidi w:val="0"/>
        <w:spacing w:before="0" w:after="0"/>
        <w:ind w:left="0" w:right="0" w:firstLine="567"/>
        <w:jc w:val="both"/>
        <w:rPr>
          <w:sz w:val="28"/>
          <w:szCs w:val="28"/>
        </w:rPr>
      </w:pPr>
      <w:r>
        <w:rPr>
          <w:rFonts w:eastAsia="Times New Roman" w:cs="Times New Roman"/>
          <w:b w:val="false"/>
          <w:bCs w:val="false"/>
          <w:color w:val="000000"/>
          <w:spacing w:val="-2"/>
          <w:kern w:val="0"/>
          <w:sz w:val="28"/>
          <w:szCs w:val="28"/>
          <w:shd w:fill="FFFFFF" w:val="clear"/>
          <w:lang w:val="uk-UA" w:eastAsia="zh-CN" w:bidi="ar-SA"/>
        </w:rPr>
        <w:t>2. Надати ТОВАРИСТВУ З ОБМЕЖЕНОЮ ВІДПОВІДАЛЬНІСТЮ «ВОДОЛІЙ» ЛТД, громадянці Левчук Олені Сергіївні дозвіл на розроблення технічної документ</w:t>
      </w:r>
      <w:r>
        <w:rPr>
          <w:rFonts w:eastAsia="Times New Roman" w:cs="Times New Roman"/>
          <w:b w:val="false"/>
          <w:bCs w:val="false"/>
          <w:color w:val="auto"/>
          <w:spacing w:val="-2"/>
          <w:kern w:val="0"/>
          <w:sz w:val="28"/>
          <w:szCs w:val="28"/>
          <w:lang w:val="uk-UA" w:eastAsia="zh-CN" w:bidi="ar-SA"/>
        </w:rPr>
        <w:t xml:space="preserve">ації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0"/>
          <w:spacing w:val="-2"/>
          <w:kern w:val="0"/>
          <w:sz w:val="28"/>
          <w:szCs w:val="28"/>
          <w:shd w:fill="FFFFFF" w:val="clear"/>
          <w:lang w:val="uk-UA" w:eastAsia="zh-CN" w:bidi="ar-SA"/>
        </w:rPr>
        <w:t xml:space="preserve">вул. Словацького, 28-А </w:t>
      </w:r>
      <w:r>
        <w:rPr>
          <w:rFonts w:eastAsia="Times New Roman" w:cs="Times New Roman"/>
          <w:b w:val="false"/>
          <w:bCs w:val="false"/>
          <w:color w:val="auto"/>
          <w:spacing w:val="-2"/>
          <w:kern w:val="0"/>
          <w:sz w:val="28"/>
          <w:szCs w:val="28"/>
          <w:lang w:val="uk-UA" w:eastAsia="zh-CN" w:bidi="ar-SA"/>
        </w:rPr>
        <w:t>у м. Луцьку, площею 0,0833 га.</w:t>
      </w:r>
    </w:p>
    <w:p>
      <w:pPr>
        <w:pStyle w:val="Normal"/>
        <w:widowControl w:val="false"/>
        <w:suppressAutoHyphens w:val="true"/>
        <w:overflowPunct w:val="true"/>
        <w:bidi w:val="0"/>
        <w:spacing w:before="0" w:after="0"/>
        <w:ind w:left="0" w:right="0" w:firstLine="567"/>
        <w:jc w:val="both"/>
        <w:rPr>
          <w:sz w:val="28"/>
          <w:szCs w:val="28"/>
        </w:rPr>
      </w:pPr>
      <w:r>
        <w:rPr>
          <w:rFonts w:eastAsia="Times New Roman" w:cs="Times New Roman"/>
          <w:b w:val="false"/>
          <w:bCs w:val="false"/>
          <w:color w:val="auto"/>
          <w:spacing w:val="-2"/>
          <w:kern w:val="0"/>
          <w:sz w:val="28"/>
          <w:szCs w:val="28"/>
          <w:lang w:val="uk-UA" w:eastAsia="zh-CN" w:bidi="ar-SA"/>
        </w:rPr>
        <w:t xml:space="preserve">3. Зобов’язати </w:t>
      </w:r>
      <w:r>
        <w:rPr>
          <w:rFonts w:eastAsia="Times New Roman" w:cs="Times New Roman"/>
          <w:b w:val="false"/>
          <w:bCs w:val="false"/>
          <w:color w:val="000000"/>
          <w:spacing w:val="-2"/>
          <w:kern w:val="0"/>
          <w:sz w:val="28"/>
          <w:szCs w:val="28"/>
          <w:shd w:fill="FFFFFF" w:val="clear"/>
          <w:lang w:val="uk-UA" w:eastAsia="zh-CN" w:bidi="ar-SA"/>
        </w:rPr>
        <w:t>ТОВАРИСТВО З ОБМЕЖЕНОЮ ВІДПОВІДАЛЬНІСТЮ «ВОДОЛІЙ» ЛТД, громадянку Левчук Олену Сергіївну</w:t>
      </w:r>
      <w:r>
        <w:rPr>
          <w:rFonts w:eastAsia="Times New Roman" w:cs="Times New Roman"/>
          <w:b w:val="false"/>
          <w:bCs w:val="false"/>
          <w:color w:val="auto"/>
          <w:spacing w:val="-2"/>
          <w:kern w:val="0"/>
          <w:sz w:val="28"/>
          <w:szCs w:val="28"/>
          <w:lang w:val="uk-UA" w:eastAsia="zh-CN" w:bidi="ar-S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suppressAutoHyphens w:val="true"/>
        <w:overflowPunct w:val="true"/>
        <w:bidi w:val="0"/>
        <w:spacing w:before="0" w:after="0"/>
        <w:ind w:left="0" w:right="0" w:firstLine="567"/>
        <w:jc w:val="both"/>
        <w:rPr>
          <w:sz w:val="28"/>
          <w:szCs w:val="28"/>
        </w:rPr>
      </w:pPr>
      <w:r>
        <w:rPr>
          <w:rFonts w:eastAsia="Times New Roman" w:cs="Times New Roman"/>
          <w:b w:val="false"/>
          <w:bCs w:val="false"/>
          <w:color w:val="auto"/>
          <w:spacing w:val="-2"/>
          <w:kern w:val="0"/>
          <w:sz w:val="28"/>
          <w:szCs w:val="28"/>
          <w:lang w:val="uk-UA" w:eastAsia="zh-CN" w:bidi="ar-SA"/>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color w:val="00000A"/>
          <w:sz w:val="28"/>
          <w:szCs w:val="28"/>
          <w:lang w:val="uk-UA" w:eastAsia="zh-CN"/>
        </w:rPr>
      </w:pPr>
      <w:r>
        <w:rPr>
          <w:rFonts w:cs="Times New Roman"/>
          <w:color w:val="00000A"/>
          <w:sz w:val="28"/>
          <w:szCs w:val="28"/>
          <w:lang w:val="uk-UA" w:eastAsia="zh-CN"/>
        </w:rPr>
      </w:r>
    </w:p>
    <w:p>
      <w:pPr>
        <w:pStyle w:val="Normal"/>
        <w:widowControl w:val="false"/>
        <w:ind w:left="0" w:right="0" w:firstLine="763"/>
        <w:jc w:val="both"/>
        <w:rPr>
          <w:rFonts w:ascii="Times New Roman" w:hAnsi="Times New Roman"/>
          <w:sz w:val="28"/>
          <w:szCs w:val="28"/>
          <w:lang w:val="uk-UA"/>
        </w:rPr>
      </w:pPr>
      <w:r>
        <w:rPr>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color w:val="000000"/>
          <w:sz w:val="24"/>
          <w:szCs w:val="28"/>
          <w:lang w:val="uk-UA"/>
        </w:rPr>
        <w:t>Туз 777 863</w:t>
      </w:r>
    </w:p>
    <w:sectPr>
      <w:type w:val="nextPage"/>
      <w:pgSz w:w="11906" w:h="16838"/>
      <w:pgMar w:left="1985" w:right="567" w:gutter="0" w:header="0" w:top="795" w:footer="0" w:bottom="1868"/>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rPr>
        <w:rFonts w:cs="Times New Roman"/>
      </w:rPr>
    </w:lvl>
    <w:lvl w:ilvl="1">
      <w:start w:val="1"/>
      <w:numFmt w:val="none"/>
      <w:suff w:val="nothing"/>
      <w:lvlText w:val="%2"/>
      <w:lvlJc w:val="left"/>
      <w:pPr>
        <w:tabs>
          <w:tab w:val="num" w:pos="0"/>
        </w:tabs>
        <w:ind w:left="0" w:hanging="0"/>
      </w:pPr>
      <w:rPr>
        <w:rFonts w:cs="Times New Roman"/>
      </w:rPr>
    </w:lvl>
    <w:lvl w:ilvl="2">
      <w:start w:val="1"/>
      <w:numFmt w:val="none"/>
      <w:suff w:val="nothing"/>
      <w:lvlText w:val="%3"/>
      <w:lvlJc w:val="left"/>
      <w:pPr>
        <w:tabs>
          <w:tab w:val="num" w:pos="0"/>
        </w:tabs>
        <w:ind w:left="0" w:hanging="0"/>
      </w:pPr>
      <w:rPr>
        <w:rFonts w:cs="Times New Roman"/>
      </w:rPr>
    </w:lvl>
    <w:lvl w:ilvl="3">
      <w:start w:val="1"/>
      <w:numFmt w:val="none"/>
      <w:suff w:val="nothing"/>
      <w:lvlText w:val="%4"/>
      <w:lvlJc w:val="left"/>
      <w:pPr>
        <w:tabs>
          <w:tab w:val="num" w:pos="0"/>
        </w:tabs>
        <w:ind w:left="0" w:hanging="0"/>
      </w:pPr>
      <w:rPr>
        <w:rFonts w:cs="Times New Roman"/>
      </w:rPr>
    </w:lvl>
    <w:lvl w:ilvl="4">
      <w:start w:val="1"/>
      <w:numFmt w:val="none"/>
      <w:suff w:val="nothing"/>
      <w:lvlText w:val="%5"/>
      <w:lvlJc w:val="left"/>
      <w:pPr>
        <w:tabs>
          <w:tab w:val="num" w:pos="0"/>
        </w:tabs>
        <w:ind w:left="0" w:hanging="0"/>
      </w:pPr>
      <w:rPr>
        <w:rFonts w:cs="Times New Roman"/>
      </w:rPr>
    </w:lvl>
    <w:lvl w:ilvl="5">
      <w:start w:val="1"/>
      <w:numFmt w:val="none"/>
      <w:suff w:val="nothing"/>
      <w:lvlText w:val="%6"/>
      <w:lvlJc w:val="left"/>
      <w:pPr>
        <w:tabs>
          <w:tab w:val="num" w:pos="0"/>
        </w:tabs>
        <w:ind w:left="0" w:hanging="0"/>
      </w:pPr>
      <w:rPr>
        <w:rFonts w:cs="Times New Roman"/>
      </w:rPr>
    </w:lvl>
    <w:lvl w:ilvl="6">
      <w:start w:val="1"/>
      <w:numFmt w:val="none"/>
      <w:suff w:val="nothing"/>
      <w:lvlText w:val="%7"/>
      <w:lvlJc w:val="left"/>
      <w:pPr>
        <w:tabs>
          <w:tab w:val="num" w:pos="0"/>
        </w:tabs>
        <w:ind w:left="0" w:hanging="0"/>
      </w:pPr>
      <w:rPr>
        <w:rFonts w:cs="Times New Roman"/>
      </w:rPr>
    </w:lvl>
    <w:lvl w:ilvl="7">
      <w:start w:val="1"/>
      <w:numFmt w:val="none"/>
      <w:suff w:val="nothing"/>
      <w:lvlText w:val="%8"/>
      <w:lvlJc w:val="left"/>
      <w:pPr>
        <w:tabs>
          <w:tab w:val="num" w:pos="0"/>
        </w:tabs>
        <w:ind w:left="0" w:hanging="0"/>
      </w:pPr>
      <w:rPr>
        <w:rFonts w:cs="Times New Roman"/>
      </w:rPr>
    </w:lvl>
    <w:lvl w:ilvl="8">
      <w:start w:val="1"/>
      <w:numFmt w:val="none"/>
      <w:suff w:val="nothing"/>
      <w:lvlText w:val="%9"/>
      <w:lvlJc w:val="left"/>
      <w:pPr>
        <w:tabs>
          <w:tab w:val="num" w:pos="0"/>
        </w:tabs>
        <w:ind w:left="0" w:hanging="0"/>
      </w:pPr>
      <w:rPr>
        <w:rFonts w:cs="Times New Roman"/>
      </w:rPr>
    </w:lvl>
  </w:abstractNum>
  <w:abstractNum w:abstractNumId="2">
    <w:lvl w:ilvl="0">
      <w:start w:val="1"/>
      <w:numFmt w:val="none"/>
      <w:suff w:val="nothing"/>
      <w:lvlText w:val="%1"/>
      <w:lvlJc w:val="left"/>
      <w:pPr>
        <w:tabs>
          <w:tab w:val="num" w:pos="0"/>
        </w:tabs>
        <w:ind w:left="0" w:hanging="0"/>
      </w:pPr>
      <w:rPr>
        <w:rFonts w:cs="Times New Roman"/>
      </w:rPr>
    </w:lvl>
    <w:lvl w:ilvl="1">
      <w:start w:val="1"/>
      <w:numFmt w:val="none"/>
      <w:suff w:val="nothing"/>
      <w:lvlText w:val="%2"/>
      <w:lvlJc w:val="left"/>
      <w:pPr>
        <w:tabs>
          <w:tab w:val="num" w:pos="0"/>
        </w:tabs>
        <w:ind w:left="0" w:hanging="0"/>
      </w:pPr>
      <w:rPr>
        <w:rFonts w:cs="Times New Roman"/>
      </w:rPr>
    </w:lvl>
    <w:lvl w:ilvl="2">
      <w:start w:val="1"/>
      <w:numFmt w:val="none"/>
      <w:suff w:val="nothing"/>
      <w:lvlText w:val="%3"/>
      <w:lvlJc w:val="left"/>
      <w:pPr>
        <w:tabs>
          <w:tab w:val="num" w:pos="0"/>
        </w:tabs>
        <w:ind w:left="0" w:hanging="0"/>
      </w:pPr>
      <w:rPr>
        <w:rFonts w:cs="Times New Roman"/>
      </w:rPr>
    </w:lvl>
    <w:lvl w:ilvl="3">
      <w:start w:val="1"/>
      <w:numFmt w:val="none"/>
      <w:suff w:val="nothing"/>
      <w:lvlText w:val="%4"/>
      <w:lvlJc w:val="left"/>
      <w:pPr>
        <w:tabs>
          <w:tab w:val="num" w:pos="0"/>
        </w:tabs>
        <w:ind w:left="0" w:hanging="0"/>
      </w:pPr>
      <w:rPr>
        <w:rFonts w:cs="Times New Roman"/>
      </w:rPr>
    </w:lvl>
    <w:lvl w:ilvl="4">
      <w:start w:val="1"/>
      <w:numFmt w:val="none"/>
      <w:suff w:val="nothing"/>
      <w:lvlText w:val="%5"/>
      <w:lvlJc w:val="left"/>
      <w:pPr>
        <w:tabs>
          <w:tab w:val="num" w:pos="0"/>
        </w:tabs>
        <w:ind w:left="0" w:hanging="0"/>
      </w:pPr>
      <w:rPr>
        <w:rFonts w:cs="Times New Roman"/>
      </w:rPr>
    </w:lvl>
    <w:lvl w:ilvl="5">
      <w:start w:val="1"/>
      <w:numFmt w:val="none"/>
      <w:suff w:val="nothing"/>
      <w:lvlText w:val="%6"/>
      <w:lvlJc w:val="left"/>
      <w:pPr>
        <w:tabs>
          <w:tab w:val="num" w:pos="0"/>
        </w:tabs>
        <w:ind w:left="0" w:hanging="0"/>
      </w:pPr>
      <w:rPr>
        <w:rFonts w:cs="Times New Roman"/>
      </w:rPr>
    </w:lvl>
    <w:lvl w:ilvl="6">
      <w:start w:val="1"/>
      <w:numFmt w:val="none"/>
      <w:suff w:val="nothing"/>
      <w:lvlText w:val="%7"/>
      <w:lvlJc w:val="left"/>
      <w:pPr>
        <w:tabs>
          <w:tab w:val="num" w:pos="0"/>
        </w:tabs>
        <w:ind w:left="0" w:hanging="0"/>
      </w:pPr>
      <w:rPr>
        <w:rFonts w:cs="Times New Roman"/>
      </w:rPr>
    </w:lvl>
    <w:lvl w:ilvl="7">
      <w:start w:val="1"/>
      <w:numFmt w:val="none"/>
      <w:suff w:val="nothing"/>
      <w:lvlText w:val="%8"/>
      <w:lvlJc w:val="left"/>
      <w:pPr>
        <w:tabs>
          <w:tab w:val="num" w:pos="0"/>
        </w:tabs>
        <w:ind w:left="0" w:hanging="0"/>
      </w:pPr>
      <w:rPr>
        <w:rFonts w:cs="Times New Roman"/>
      </w:rPr>
    </w:lvl>
    <w:lvl w:ilvl="8">
      <w:start w:val="1"/>
      <w:numFmt w:val="none"/>
      <w:suff w:val="nothing"/>
      <w:lvlText w:val="%9"/>
      <w:lvlJc w:val="left"/>
      <w:pPr>
        <w:tabs>
          <w:tab w:val="num" w:pos="0"/>
        </w:tabs>
        <w:ind w:left="0" w:hanging="0"/>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08"/>
  <w:autoHyphenation w:val="true"/>
  <w:hyphenationZone w:val="425"/>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2"/>
        <w:szCs w:val="22"/>
        <w:lang w:val="uk-UA" w:eastAsia="uk-UA"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SimSun" w:cs="Times New Roman"/>
      <w:color w:val="00000A"/>
      <w:kern w:val="0"/>
      <w:sz w:val="28"/>
      <w:szCs w:val="24"/>
      <w:lang w:val="ru-RU" w:eastAsia="zh-CN" w:bidi="ar-SA"/>
    </w:rPr>
  </w:style>
  <w:style w:type="paragraph" w:styleId="1">
    <w:name w:val="Heading 1"/>
    <w:basedOn w:val="Normal"/>
    <w:next w:val="Normal"/>
    <w:link w:val="Heading1Char"/>
    <w:qFormat/>
    <w:pPr>
      <w:keepNext w:val="true"/>
      <w:numPr>
        <w:ilvl w:val="0"/>
        <w:numId w:val="1"/>
      </w:numPr>
      <w:jc w:val="center"/>
      <w:outlineLvl w:val="0"/>
    </w:pPr>
    <w:rPr>
      <w:b/>
      <w:bCs/>
      <w:sz w:val="32"/>
      <w:lang w:val="uk-UA"/>
    </w:rPr>
  </w:style>
  <w:style w:type="paragraph" w:styleId="2">
    <w:name w:val="Heading 2"/>
    <w:basedOn w:val="Normal"/>
    <w:next w:val="Normal"/>
    <w:link w:val="Heading2Char"/>
    <w:qFormat/>
    <w:pPr>
      <w:keepNext w:val="true"/>
      <w:numPr>
        <w:ilvl w:val="1"/>
        <w:numId w:val="1"/>
      </w:numPr>
      <w:jc w:val="center"/>
      <w:outlineLvl w:val="1"/>
    </w:pPr>
    <w:rPr>
      <w:b/>
      <w:bCs/>
      <w:sz w:val="36"/>
      <w:lang w:val="uk-UA"/>
    </w:rPr>
  </w:style>
  <w:style w:type="character" w:styleId="DefaultParagraphFont">
    <w:name w:val="Default Paragraph Font"/>
    <w:qFormat/>
    <w:rPr/>
  </w:style>
  <w:style w:type="character" w:styleId="Heading1Char">
    <w:name w:val="Heading 1 Char"/>
    <w:basedOn w:val="DefaultParagraphFont"/>
    <w:qFormat/>
    <w:rPr>
      <w:rFonts w:ascii="Cambria" w:hAnsi="Cambria" w:cs="Times New Roman"/>
      <w:b/>
      <w:bCs/>
      <w:color w:val="00000A"/>
      <w:kern w:val="2"/>
      <w:sz w:val="32"/>
      <w:szCs w:val="32"/>
      <w:lang w:val="ru-RU" w:eastAsia="zh-CN"/>
    </w:rPr>
  </w:style>
  <w:style w:type="character" w:styleId="Heading2Char">
    <w:name w:val="Heading 2 Char"/>
    <w:basedOn w:val="DefaultParagraphFont"/>
    <w:qFormat/>
    <w:rPr>
      <w:rFonts w:ascii="Cambria" w:hAnsi="Cambria" w:cs="Times New Roman"/>
      <w:b/>
      <w:bCs/>
      <w:i/>
      <w:iCs/>
      <w:color w:val="00000A"/>
      <w:sz w:val="28"/>
      <w:szCs w:val="28"/>
      <w:lang w:val="ru-RU" w:eastAsia="zh-CN"/>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rPr>
  </w:style>
  <w:style w:type="character" w:styleId="WW8Num2z1">
    <w:name w:val="WW8Num2z1"/>
    <w:qFormat/>
    <w:rPr>
      <w:rFonts w:ascii="Courier New" w:hAnsi="Courier New"/>
    </w:rPr>
  </w:style>
  <w:style w:type="character" w:styleId="WW8Num2z2">
    <w:name w:val="WW8Num2z2"/>
    <w:qFormat/>
    <w:rPr>
      <w:rFonts w:ascii="Wingdings" w:hAnsi="Wingdings"/>
    </w:rPr>
  </w:style>
  <w:style w:type="character" w:styleId="WW8Num2z3">
    <w:name w:val="WW8Num2z3"/>
    <w:qFormat/>
    <w:rPr>
      <w:rFonts w:ascii="Symbol" w:hAnsi="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rFonts w:cs="Times New Roman"/>
    </w:rPr>
  </w:style>
  <w:style w:type="character" w:styleId="BodyTextChar">
    <w:name w:val="Body Text Char"/>
    <w:basedOn w:val="DefaultParagraphFont"/>
    <w:qFormat/>
    <w:rPr>
      <w:rFonts w:ascii="Times New Roman" w:hAnsi="Times New Roman" w:cs="Times New Roman"/>
      <w:color w:val="00000A"/>
      <w:sz w:val="24"/>
      <w:szCs w:val="24"/>
      <w:lang w:val="ru-RU" w:eastAsia="zh-CN"/>
    </w:rPr>
  </w:style>
  <w:style w:type="character" w:styleId="BodyTextIndentChar">
    <w:name w:val="Body Text Indent Char"/>
    <w:basedOn w:val="DefaultParagraphFont"/>
    <w:qFormat/>
    <w:rPr>
      <w:rFonts w:ascii="Times New Roman" w:hAnsi="Times New Roman" w:cs="Times New Roman"/>
      <w:color w:val="00000A"/>
      <w:sz w:val="24"/>
      <w:szCs w:val="24"/>
      <w:lang w:val="ru-RU" w:eastAsia="zh-CN"/>
    </w:rPr>
  </w:style>
  <w:style w:type="character" w:styleId="BalloonTextChar">
    <w:name w:val="Balloon Text Char"/>
    <w:basedOn w:val="DefaultParagraphFont"/>
    <w:link w:val="BalloonText"/>
    <w:qFormat/>
    <w:rPr>
      <w:rFonts w:ascii="Times New Roman" w:hAnsi="Times New Roman" w:cs="Times New Roman"/>
      <w:color w:val="00000A"/>
      <w:sz w:val="2"/>
      <w:lang w:val="ru-RU" w:eastAsia="zh-CN"/>
    </w:rPr>
  </w:style>
  <w:style w:type="paragraph" w:styleId="Style12">
    <w:name w:val="Заголовок"/>
    <w:basedOn w:val="Normal"/>
    <w:next w:val="Style13"/>
    <w:qFormat/>
    <w:pPr>
      <w:keepNext w:val="true"/>
      <w:spacing w:before="240" w:after="120"/>
    </w:pPr>
    <w:rPr>
      <w:rFonts w:eastAsia="Microsoft YaHei" w:cs="Arial"/>
      <w:szCs w:val="28"/>
    </w:rPr>
  </w:style>
  <w:style w:type="paragraph" w:styleId="Style13">
    <w:name w:val="Body Text"/>
    <w:basedOn w:val="Normal"/>
    <w:link w:val="BodyTextChar"/>
    <w:pPr>
      <w:spacing w:lineRule="auto" w:line="288"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rPr>
  </w:style>
  <w:style w:type="paragraph" w:styleId="22">
    <w:name w:val="Название объекта2"/>
    <w:basedOn w:val="Normal"/>
    <w:qFormat/>
    <w:pPr>
      <w:suppressLineNumbers/>
      <w:spacing w:before="120" w:after="120"/>
    </w:pPr>
    <w:rPr>
      <w:rFonts w:cs="Arial"/>
      <w:i/>
      <w:iCs/>
      <w:sz w:val="24"/>
    </w:rPr>
  </w:style>
  <w:style w:type="paragraph" w:styleId="12">
    <w:name w:val="Название объекта1"/>
    <w:basedOn w:val="Normal"/>
    <w:qFormat/>
    <w:pPr>
      <w:suppressLineNumbers/>
      <w:spacing w:before="120" w:after="120"/>
    </w:pPr>
    <w:rPr>
      <w:rFonts w:cs="Arial"/>
      <w:i/>
      <w:iCs/>
    </w:rPr>
  </w:style>
  <w:style w:type="paragraph" w:styleId="Style17">
    <w:name w:val="Body Text Indent"/>
    <w:basedOn w:val="Normal"/>
    <w:link w:val="BodyTextIndentChar"/>
    <w:pPr>
      <w:ind w:left="0" w:right="0" w:firstLine="545"/>
      <w:jc w:val="both"/>
    </w:pPr>
    <w:rPr>
      <w:lang w:val="uk-UA"/>
    </w:rPr>
  </w:style>
  <w:style w:type="paragraph" w:styleId="13">
    <w:name w:val="Текст1"/>
    <w:basedOn w:val="Normal"/>
    <w:qFormat/>
    <w:pPr/>
    <w:rPr>
      <w:rFonts w:ascii="Courier New" w:hAnsi="Courier New" w:cs="Courier New"/>
      <w:sz w:val="20"/>
      <w:szCs w:val="20"/>
    </w:rPr>
  </w:style>
  <w:style w:type="paragraph" w:styleId="BalloonText">
    <w:name w:val="Balloon Text"/>
    <w:basedOn w:val="Normal"/>
    <w:link w:val="BalloonTextChar"/>
    <w:qFormat/>
    <w:pPr/>
    <w:rPr>
      <w:rFonts w:ascii="Tahoma" w:hAnsi="Tahoma" w:cs="Tahoma"/>
      <w:sz w:val="16"/>
      <w:szCs w:val="16"/>
    </w:rPr>
  </w:style>
  <w:style w:type="paragraph" w:styleId="Style18">
    <w:name w:val="Знак Знак Знак Знак Знак Знак"/>
    <w:basedOn w:val="Normal"/>
    <w:qFormat/>
    <w:pPr/>
    <w:rPr>
      <w:rFonts w:ascii="Verdana" w:hAnsi="Verdana" w:eastAsia="MS Mincho;ＭＳ 明朝" w:cs="Verdana"/>
      <w:sz w:val="20"/>
      <w:szCs w:val="20"/>
      <w:lang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Normal_Wordconv</Template>
  <TotalTime>569</TotalTime>
  <Application>LibreOffice/7.4.0.3$Windows_X86_64 LibreOffice_project/f85e47c08ddd19c015c0114a68350214f7066f5a</Application>
  <AppVersion>15.0000</AppVersion>
  <Pages>2</Pages>
  <Words>560</Words>
  <Characters>3584</Characters>
  <CharactersWithSpaces>4364</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2022-08-17T11:29:00Z</dcterms:created>
  <dc:creator>*</dc:creator>
  <dc:description/>
  <dc:language>uk-UA</dc:language>
  <cp:lastModifiedBy/>
  <cp:lastPrinted>2025-08-19T10:07:13Z</cp:lastPrinted>
  <dcterms:modified xsi:type="dcterms:W3CDTF">2025-09-03T12:32:50Z</dcterms:modified>
  <cp:revision>155</cp:revision>
  <dc:subject/>
  <dc:title> </dc:title>
</cp:coreProperties>
</file>

<file path=docProps/custom.xml><?xml version="1.0" encoding="utf-8"?>
<Properties xmlns="http://schemas.openxmlformats.org/officeDocument/2006/custom-properties" xmlns:vt="http://schemas.openxmlformats.org/officeDocument/2006/docPropsVTypes"/>
</file>