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290" w:rsidRPr="00B53290" w:rsidRDefault="00B53290" w:rsidP="00B53290">
      <w:pPr>
        <w:pStyle w:val="a3"/>
        <w:spacing w:before="60" w:line="322" w:lineRule="exact"/>
        <w:ind w:left="0" w:right="-63"/>
        <w:jc w:val="center"/>
      </w:pPr>
    </w:p>
    <w:p w:rsidR="001D5D2C" w:rsidRPr="00B53290" w:rsidRDefault="00400D81" w:rsidP="00B53290">
      <w:pPr>
        <w:pStyle w:val="a3"/>
        <w:spacing w:before="60" w:line="322" w:lineRule="exact"/>
        <w:ind w:left="0" w:right="-63"/>
        <w:jc w:val="center"/>
      </w:pPr>
      <w:r w:rsidRPr="00B53290">
        <w:t>ПОЯСНЮВАЛЬНА</w:t>
      </w:r>
      <w:r w:rsidRPr="00B53290">
        <w:rPr>
          <w:spacing w:val="-5"/>
        </w:rPr>
        <w:t xml:space="preserve"> </w:t>
      </w:r>
      <w:r w:rsidRPr="00B53290">
        <w:t>ЗАПИСКА</w:t>
      </w:r>
    </w:p>
    <w:p w:rsidR="001D5D2C" w:rsidRPr="00B53290" w:rsidRDefault="00400D81" w:rsidP="00B53290">
      <w:pPr>
        <w:pStyle w:val="a3"/>
        <w:ind w:left="0" w:right="-63"/>
        <w:jc w:val="center"/>
      </w:pPr>
      <w:r w:rsidRPr="00B53290">
        <w:t>до</w:t>
      </w:r>
      <w:r w:rsidRPr="00B53290">
        <w:rPr>
          <w:spacing w:val="-7"/>
        </w:rPr>
        <w:t xml:space="preserve"> </w:t>
      </w:r>
      <w:r w:rsidRPr="00B53290">
        <w:t>проєкту</w:t>
      </w:r>
      <w:r w:rsidRPr="00B53290">
        <w:rPr>
          <w:spacing w:val="-2"/>
        </w:rPr>
        <w:t xml:space="preserve"> </w:t>
      </w:r>
      <w:r w:rsidRPr="00B53290">
        <w:t>рішення</w:t>
      </w:r>
      <w:r w:rsidR="00B53290" w:rsidRPr="00B53290">
        <w:t xml:space="preserve"> </w:t>
      </w:r>
      <w:r w:rsidRPr="00B53290">
        <w:t>міської</w:t>
      </w:r>
      <w:r w:rsidRPr="00B53290">
        <w:rPr>
          <w:spacing w:val="-2"/>
        </w:rPr>
        <w:t xml:space="preserve"> </w:t>
      </w:r>
      <w:r w:rsidRPr="00B53290">
        <w:t>ради</w:t>
      </w:r>
    </w:p>
    <w:p w:rsidR="001D5D2C" w:rsidRPr="00481CC1" w:rsidRDefault="00400D81" w:rsidP="00481CC1">
      <w:pPr>
        <w:jc w:val="center"/>
        <w:rPr>
          <w:kern w:val="2"/>
          <w:sz w:val="28"/>
          <w:szCs w:val="28"/>
          <w:lang w:eastAsia="ru-RU" w:bidi="hi-IN"/>
        </w:rPr>
      </w:pPr>
      <w:r w:rsidRPr="00B53290">
        <w:t>«</w:t>
      </w:r>
      <w:r w:rsidR="00481CC1" w:rsidRPr="00481CC1">
        <w:rPr>
          <w:sz w:val="28"/>
          <w:szCs w:val="28"/>
          <w:lang w:eastAsia="ru-RU"/>
        </w:rPr>
        <w:t xml:space="preserve">Про внесення змін до </w:t>
      </w:r>
      <w:r w:rsidR="00481CC1" w:rsidRPr="00481CC1">
        <w:rPr>
          <w:color w:val="000000"/>
          <w:kern w:val="2"/>
          <w:sz w:val="28"/>
          <w:szCs w:val="28"/>
          <w:lang w:eastAsia="ru-RU" w:bidi="hi-IN"/>
        </w:rPr>
        <w:t xml:space="preserve">Програми </w:t>
      </w:r>
      <w:r w:rsidR="00481CC1" w:rsidRPr="00481CC1">
        <w:rPr>
          <w:kern w:val="2"/>
          <w:sz w:val="28"/>
          <w:szCs w:val="28"/>
          <w:lang w:eastAsia="ru-RU" w:bidi="hi-IN"/>
        </w:rPr>
        <w:t>запобігання</w:t>
      </w:r>
      <w:r w:rsidR="00481CC1">
        <w:rPr>
          <w:kern w:val="2"/>
          <w:sz w:val="28"/>
          <w:szCs w:val="28"/>
          <w:lang w:eastAsia="ru-RU" w:bidi="hi-IN"/>
        </w:rPr>
        <w:t xml:space="preserve"> </w:t>
      </w:r>
      <w:r w:rsidR="00481CC1" w:rsidRPr="00481CC1">
        <w:rPr>
          <w:kern w:val="2"/>
          <w:sz w:val="28"/>
          <w:szCs w:val="28"/>
          <w:lang w:eastAsia="ru-RU" w:bidi="hi-IN"/>
        </w:rPr>
        <w:t>та протидії домашньому насильству</w:t>
      </w:r>
      <w:r w:rsidR="00481CC1" w:rsidRPr="00481CC1">
        <w:rPr>
          <w:kern w:val="2"/>
          <w:sz w:val="24"/>
          <w:szCs w:val="24"/>
          <w:lang w:eastAsia="ru-RU" w:bidi="hi-IN"/>
        </w:rPr>
        <w:t xml:space="preserve"> </w:t>
      </w:r>
      <w:r w:rsidR="00481CC1" w:rsidRPr="00481CC1">
        <w:rPr>
          <w:kern w:val="2"/>
          <w:sz w:val="28"/>
          <w:szCs w:val="28"/>
          <w:lang w:eastAsia="ru-RU" w:bidi="hi-IN"/>
        </w:rPr>
        <w:t>Луцької міської територіальної громади</w:t>
      </w:r>
      <w:bookmarkStart w:id="0" w:name="__DdeLink__53_2087909583"/>
      <w:r w:rsidR="00481CC1" w:rsidRPr="00481CC1">
        <w:rPr>
          <w:kern w:val="2"/>
          <w:sz w:val="24"/>
          <w:szCs w:val="24"/>
          <w:lang w:eastAsia="ru-RU" w:bidi="hi-IN"/>
        </w:rPr>
        <w:t xml:space="preserve"> </w:t>
      </w:r>
      <w:r w:rsidR="00481CC1" w:rsidRPr="00481CC1">
        <w:rPr>
          <w:kern w:val="2"/>
          <w:sz w:val="28"/>
          <w:szCs w:val="28"/>
          <w:lang w:eastAsia="ru-RU" w:bidi="hi-IN"/>
        </w:rPr>
        <w:t>на 2021</w:t>
      </w:r>
      <w:bookmarkEnd w:id="0"/>
      <w:r w:rsidR="00481CC1" w:rsidRPr="00481CC1">
        <w:rPr>
          <w:color w:val="000000"/>
          <w:kern w:val="2"/>
          <w:sz w:val="28"/>
          <w:szCs w:val="28"/>
          <w:lang w:eastAsia="ru-RU" w:bidi="hi-IN"/>
        </w:rPr>
        <w:t>-</w:t>
      </w:r>
      <w:r w:rsidR="00481CC1" w:rsidRPr="00481CC1">
        <w:rPr>
          <w:kern w:val="2"/>
          <w:sz w:val="28"/>
          <w:szCs w:val="28"/>
          <w:lang w:eastAsia="ru-RU" w:bidi="hi-IN"/>
        </w:rPr>
        <w:t>2025 роки</w:t>
      </w:r>
      <w:r w:rsidR="00481CC1" w:rsidRPr="00481CC1">
        <w:rPr>
          <w:sz w:val="28"/>
          <w:szCs w:val="28"/>
          <w:lang w:eastAsia="ru-RU"/>
        </w:rPr>
        <w:t xml:space="preserve"> та продовження терміну її дії на 2026-2028 роки</w:t>
      </w:r>
      <w:r w:rsidR="00B53290" w:rsidRPr="00B53290">
        <w:t>»</w:t>
      </w:r>
    </w:p>
    <w:p w:rsidR="00B53290" w:rsidRPr="00B53290" w:rsidRDefault="00B53290" w:rsidP="00B53290">
      <w:pPr>
        <w:pStyle w:val="a3"/>
        <w:spacing w:line="360" w:lineRule="auto"/>
        <w:ind w:left="0" w:right="-63"/>
        <w:jc w:val="center"/>
      </w:pPr>
    </w:p>
    <w:p w:rsidR="001D5D2C" w:rsidRDefault="00400D81" w:rsidP="00481CC1">
      <w:pPr>
        <w:pStyle w:val="1"/>
        <w:numPr>
          <w:ilvl w:val="0"/>
          <w:numId w:val="1"/>
        </w:numPr>
        <w:spacing w:line="322" w:lineRule="exact"/>
        <w:ind w:left="0" w:right="-63" w:firstLine="567"/>
      </w:pPr>
      <w:r>
        <w:t>Потреба</w:t>
      </w:r>
      <w:r>
        <w:rPr>
          <w:spacing w:val="-2"/>
        </w:rPr>
        <w:t xml:space="preserve"> </w:t>
      </w:r>
      <w:r>
        <w:t>і</w:t>
      </w:r>
      <w:r>
        <w:rPr>
          <w:spacing w:val="-3"/>
        </w:rPr>
        <w:t xml:space="preserve"> </w:t>
      </w:r>
      <w:r>
        <w:t>мета</w:t>
      </w:r>
      <w:r>
        <w:rPr>
          <w:spacing w:val="-1"/>
        </w:rPr>
        <w:t xml:space="preserve"> </w:t>
      </w:r>
      <w:r>
        <w:t>прийняття</w:t>
      </w:r>
      <w:r>
        <w:rPr>
          <w:spacing w:val="-3"/>
        </w:rPr>
        <w:t xml:space="preserve"> </w:t>
      </w:r>
      <w:r>
        <w:t>рішення:</w:t>
      </w:r>
    </w:p>
    <w:p w:rsidR="00481CC1" w:rsidRPr="00481CC1" w:rsidRDefault="00481CC1" w:rsidP="00481CC1">
      <w:pPr>
        <w:widowControl/>
        <w:autoSpaceDE/>
        <w:autoSpaceDN/>
        <w:ind w:firstLine="567"/>
        <w:jc w:val="both"/>
        <w:rPr>
          <w:sz w:val="28"/>
          <w:szCs w:val="28"/>
          <w:lang w:eastAsia="uk-UA"/>
        </w:rPr>
      </w:pPr>
      <w:r w:rsidRPr="00481CC1">
        <w:rPr>
          <w:sz w:val="28"/>
          <w:szCs w:val="28"/>
          <w:lang w:eastAsia="uk-UA"/>
        </w:rPr>
        <w:t>Необхідність і мета внесення змін до Програми запобігання та протидії домашньому насильству Луцької міської територіальної громади на 2021-2025 роки та продовження її терміну дії до 2026-2028 років зумовлена низкою важливих чинників.</w:t>
      </w:r>
    </w:p>
    <w:p w:rsidR="00481CC1" w:rsidRPr="00481CC1" w:rsidRDefault="00481CC1" w:rsidP="00481CC1">
      <w:pPr>
        <w:widowControl/>
        <w:autoSpaceDE/>
        <w:autoSpaceDN/>
        <w:ind w:firstLine="567"/>
        <w:jc w:val="both"/>
        <w:rPr>
          <w:sz w:val="28"/>
          <w:szCs w:val="28"/>
          <w:lang w:eastAsia="uk-UA"/>
        </w:rPr>
      </w:pPr>
      <w:r w:rsidRPr="00481CC1">
        <w:rPr>
          <w:sz w:val="28"/>
          <w:szCs w:val="28"/>
          <w:lang w:eastAsia="uk-UA"/>
        </w:rPr>
        <w:t>Потреба у прийнятті цього рішення виникла через кілька ключових причин, які відображають зміни в суспільстві та необхідність посилення заходів протидії домашньому насильству. Спостерігається зростання числа звернень від осіб, які постраждали від домашнього насильства. Це свідчить як про підвищення рівня свідомості населення, так і про необхідність розширення спектру послуг для постраждалих. Повно</w:t>
      </w:r>
      <w:r w:rsidRPr="00CE59E4">
        <w:rPr>
          <w:sz w:val="28"/>
          <w:szCs w:val="28"/>
          <w:lang w:eastAsia="uk-UA"/>
        </w:rPr>
        <w:t>масштабна війна та пов’</w:t>
      </w:r>
      <w:r w:rsidRPr="00481CC1">
        <w:rPr>
          <w:sz w:val="28"/>
          <w:szCs w:val="28"/>
          <w:lang w:eastAsia="uk-UA"/>
        </w:rPr>
        <w:t>язані з нею виклики, такі як вимушене переселення, втрата роботи та стрес, значно погіршили психоемоційний стан багатьох сімей, що створює сприятливе середовище для проявів домашнього насильства.</w:t>
      </w:r>
    </w:p>
    <w:p w:rsidR="00481CC1" w:rsidRPr="00481CC1" w:rsidRDefault="00481CC1" w:rsidP="00481CC1">
      <w:pPr>
        <w:widowControl/>
        <w:autoSpaceDE/>
        <w:autoSpaceDN/>
        <w:ind w:firstLine="567"/>
        <w:jc w:val="both"/>
        <w:rPr>
          <w:sz w:val="28"/>
          <w:szCs w:val="28"/>
          <w:lang w:eastAsia="uk-UA"/>
        </w:rPr>
      </w:pPr>
      <w:r w:rsidRPr="00481CC1">
        <w:rPr>
          <w:sz w:val="28"/>
          <w:szCs w:val="28"/>
          <w:lang w:eastAsia="uk-UA"/>
        </w:rPr>
        <w:t>Основна мета прийняття цього рішення — не лише продовжити дію програми, а й підвищити її ефективність, адаптувавши до сучасних умов. Продовження терміну дії програми дозволить зберегти та розвинути систему надання соціально-психологічної, правової та медичної допомоги постраждалим, що є критично важливим для їхньої безпеки та відновлення. Оновлена програма має на меті охопити нові групи ризику, зокрема внутрішньо переміщених осіб, в</w:t>
      </w:r>
      <w:r w:rsidRPr="00CE59E4">
        <w:rPr>
          <w:sz w:val="28"/>
          <w:szCs w:val="28"/>
          <w:lang w:eastAsia="uk-UA"/>
        </w:rPr>
        <w:t>етеранів та їхні сім’</w:t>
      </w:r>
      <w:r w:rsidRPr="00481CC1">
        <w:rPr>
          <w:sz w:val="28"/>
          <w:szCs w:val="28"/>
          <w:lang w:eastAsia="uk-UA"/>
        </w:rPr>
        <w:t>ї, які часто стикаються з посттравматичними стресовими розладами та агресією. Планується вдосконалити співпрацю між різними структурами — поліцією, соціальними службами, медичними закладами та громадськими організаціями, щоб забезпечити комплексний та злагоджений підхід до вирішення проблеми домашнього насильства.</w:t>
      </w:r>
    </w:p>
    <w:p w:rsidR="00B53290" w:rsidRPr="00001260" w:rsidRDefault="00B53290" w:rsidP="00B53290">
      <w:pPr>
        <w:pStyle w:val="a3"/>
        <w:spacing w:line="254" w:lineRule="auto"/>
        <w:ind w:left="0" w:right="-63" w:firstLine="644"/>
        <w:jc w:val="both"/>
      </w:pPr>
    </w:p>
    <w:p w:rsidR="001D5D2C" w:rsidRDefault="00400D81" w:rsidP="00B53290">
      <w:pPr>
        <w:pStyle w:val="1"/>
        <w:numPr>
          <w:ilvl w:val="0"/>
          <w:numId w:val="1"/>
        </w:numPr>
        <w:tabs>
          <w:tab w:val="left" w:pos="1284"/>
        </w:tabs>
        <w:ind w:left="0" w:right="-63" w:firstLine="707"/>
      </w:pPr>
      <w:r>
        <w:t>Прогнозовані</w:t>
      </w:r>
      <w:r>
        <w:rPr>
          <w:spacing w:val="1"/>
        </w:rPr>
        <w:t xml:space="preserve"> </w:t>
      </w:r>
      <w:r>
        <w:t>суспільні,</w:t>
      </w:r>
      <w:r>
        <w:rPr>
          <w:spacing w:val="1"/>
        </w:rPr>
        <w:t xml:space="preserve"> </w:t>
      </w:r>
      <w:r>
        <w:t>економічні,</w:t>
      </w:r>
      <w:r>
        <w:rPr>
          <w:spacing w:val="1"/>
        </w:rPr>
        <w:t xml:space="preserve"> </w:t>
      </w:r>
      <w:r>
        <w:t>фінансові</w:t>
      </w:r>
      <w:r>
        <w:rPr>
          <w:spacing w:val="1"/>
        </w:rPr>
        <w:t xml:space="preserve"> </w:t>
      </w:r>
      <w:r>
        <w:t>та</w:t>
      </w:r>
      <w:r>
        <w:rPr>
          <w:spacing w:val="1"/>
        </w:rPr>
        <w:t xml:space="preserve"> </w:t>
      </w:r>
      <w:r>
        <w:t>юридичні</w:t>
      </w:r>
      <w:r>
        <w:rPr>
          <w:spacing w:val="1"/>
        </w:rPr>
        <w:t xml:space="preserve"> </w:t>
      </w:r>
      <w:r>
        <w:t>наслідки</w:t>
      </w:r>
      <w:r>
        <w:rPr>
          <w:spacing w:val="-2"/>
        </w:rPr>
        <w:t xml:space="preserve"> </w:t>
      </w:r>
      <w:r>
        <w:t>прийняття</w:t>
      </w:r>
      <w:r>
        <w:rPr>
          <w:spacing w:val="-1"/>
        </w:rPr>
        <w:t xml:space="preserve"> </w:t>
      </w:r>
      <w:r>
        <w:t>рішення:</w:t>
      </w:r>
    </w:p>
    <w:p w:rsidR="00DE3C5C" w:rsidRDefault="00DE3C5C" w:rsidP="00DE3C5C">
      <w:pPr>
        <w:pStyle w:val="a3"/>
        <w:ind w:left="0" w:right="-63" w:firstLine="567"/>
        <w:jc w:val="both"/>
      </w:pPr>
      <w:r>
        <w:t>Прийнятт</w:t>
      </w:r>
      <w:r>
        <w:t>я рішення Луцької міської ради «</w:t>
      </w:r>
      <w:r>
        <w:t>Про внесення змін до Програми запобігання та протидії домашньому насильству Луцької міської територіальної громади на 2021-2025 роки та продовження т</w:t>
      </w:r>
      <w:r>
        <w:t>ерміну її дії на 2026-2028 роки»</w:t>
      </w:r>
      <w:r>
        <w:t xml:space="preserve"> матиме з</w:t>
      </w:r>
      <w:r>
        <w:t>начні та багатогранні наслідки.</w:t>
      </w:r>
    </w:p>
    <w:p w:rsidR="00DE3C5C" w:rsidRDefault="00DE3C5C" w:rsidP="00DE3C5C">
      <w:pPr>
        <w:pStyle w:val="a3"/>
        <w:ind w:left="0" w:right="-63" w:firstLine="567"/>
        <w:jc w:val="both"/>
      </w:pPr>
      <w:r>
        <w:t xml:space="preserve">Прогнозується зменшення рівня домашнього насильства та його тяжких проявів завдяки посиленню превентивних заходів, а також підвищення </w:t>
      </w:r>
      <w:r>
        <w:lastRenderedPageBreak/>
        <w:t>обізнаності населення щодо цієї проблеми та механізмів отримання допомоги. Збільшення кількості та якості послуг для постраждалих, таких як психологічна підтримка, юридичні консультації та тимчасовий притулок, сприятиме їхній соціальній адаптації та відновленню. Це призведе до поліпшення психоемоційного стану вразливих груп населення та зміцнення соціальної згуртованості в громаді.</w:t>
      </w:r>
    </w:p>
    <w:p w:rsidR="00DE3C5C" w:rsidRDefault="00DE3C5C" w:rsidP="00DE3C5C">
      <w:pPr>
        <w:pStyle w:val="a3"/>
        <w:ind w:left="0" w:right="-63" w:firstLine="567"/>
        <w:jc w:val="both"/>
      </w:pPr>
      <w:r>
        <w:t>На перший погляд, програма вимагає фінансових витрат з місцевого бюджету. Однак, у довгостроковій перспективі це рішення призведе до економії державних та громадських коштів. Зменшення кількості випадків домашнього насильства скоротить витрати на медичне обслуговування постраждалих, роботу правоохоронних органів, а також на утримання державних установ, що займаються вирішенням цих питань. Крім того, зниження рівня стресу та підвищення безпеки в родинах сприятиме зростанню продуктивності праці та економічній активності громадян.</w:t>
      </w:r>
    </w:p>
    <w:p w:rsidR="00FC15E1" w:rsidRDefault="00DE3C5C" w:rsidP="00DE3C5C">
      <w:pPr>
        <w:pStyle w:val="a3"/>
        <w:ind w:left="0" w:right="-63" w:firstLine="567"/>
        <w:jc w:val="both"/>
      </w:pPr>
      <w:r>
        <w:t>Прийняття рішення забезпечить повну відповідність місцевої політики законодавст</w:t>
      </w:r>
      <w:r>
        <w:t>ву України та міжнародним зобов’язанням. Програма надасть основу</w:t>
      </w:r>
      <w:r>
        <w:t xml:space="preserve"> захисту прав постраждалих. Завдяки чітко прописаним механізмам взаємодії, буде вдосконалено співпрацю між органами місцевого самоврядування</w:t>
      </w:r>
      <w:r>
        <w:t>, поліцією</w:t>
      </w:r>
      <w:r>
        <w:t xml:space="preserve"> та судами, що значно прискорить та спростить процедури реагування на випадки домашнього насильства.</w:t>
      </w:r>
      <w:bookmarkStart w:id="1" w:name="_GoBack"/>
      <w:bookmarkEnd w:id="1"/>
    </w:p>
    <w:p w:rsidR="00FC15E1" w:rsidRPr="00D97CB6" w:rsidRDefault="00FC15E1" w:rsidP="00DE3C5C">
      <w:pPr>
        <w:spacing w:line="254" w:lineRule="auto"/>
        <w:ind w:right="-63"/>
        <w:jc w:val="both"/>
        <w:rPr>
          <w:sz w:val="28"/>
          <w:szCs w:val="28"/>
        </w:rPr>
      </w:pPr>
    </w:p>
    <w:p w:rsidR="00FC15E1" w:rsidRDefault="00FC15E1" w:rsidP="00B53290">
      <w:pPr>
        <w:pStyle w:val="a3"/>
        <w:ind w:left="0" w:right="-63"/>
        <w:jc w:val="both"/>
      </w:pPr>
    </w:p>
    <w:p w:rsidR="001D5D2C" w:rsidRDefault="00CE59E4" w:rsidP="00B53290">
      <w:pPr>
        <w:pStyle w:val="a3"/>
        <w:spacing w:line="322" w:lineRule="exact"/>
        <w:ind w:left="0" w:right="-63"/>
      </w:pPr>
      <w:r>
        <w:t>Н</w:t>
      </w:r>
      <w:r w:rsidR="00400D81">
        <w:t>ачальник</w:t>
      </w:r>
      <w:r w:rsidR="00400D81">
        <w:rPr>
          <w:spacing w:val="-6"/>
        </w:rPr>
        <w:t xml:space="preserve"> </w:t>
      </w:r>
      <w:r w:rsidR="00400D81">
        <w:t>управління</w:t>
      </w:r>
      <w:r w:rsidR="00400D81">
        <w:rPr>
          <w:spacing w:val="-3"/>
        </w:rPr>
        <w:t xml:space="preserve"> </w:t>
      </w:r>
      <w:r w:rsidR="00400D81">
        <w:t>соціальних</w:t>
      </w:r>
    </w:p>
    <w:p w:rsidR="00FC15E1" w:rsidRDefault="00400D81" w:rsidP="00D97CB6">
      <w:pPr>
        <w:pStyle w:val="a3"/>
        <w:tabs>
          <w:tab w:val="left" w:pos="7938"/>
        </w:tabs>
        <w:ind w:left="0" w:right="-63"/>
      </w:pPr>
      <w:r>
        <w:t>служб</w:t>
      </w:r>
      <w:r>
        <w:rPr>
          <w:spacing w:val="-1"/>
        </w:rPr>
        <w:t xml:space="preserve"> </w:t>
      </w:r>
      <w:r>
        <w:t>для</w:t>
      </w:r>
      <w:r>
        <w:rPr>
          <w:spacing w:val="-1"/>
        </w:rPr>
        <w:t xml:space="preserve"> </w:t>
      </w:r>
      <w:r>
        <w:t>сім’ї,</w:t>
      </w:r>
      <w:r>
        <w:rPr>
          <w:spacing w:val="-2"/>
        </w:rPr>
        <w:t xml:space="preserve"> </w:t>
      </w:r>
      <w:r>
        <w:t>дітей</w:t>
      </w:r>
      <w:r>
        <w:rPr>
          <w:spacing w:val="-1"/>
        </w:rPr>
        <w:t xml:space="preserve"> </w:t>
      </w:r>
      <w:r>
        <w:t>та</w:t>
      </w:r>
      <w:r>
        <w:rPr>
          <w:spacing w:val="-2"/>
        </w:rPr>
        <w:t xml:space="preserve"> </w:t>
      </w:r>
      <w:r w:rsidR="005B48E2">
        <w:t xml:space="preserve">молоді                                   </w:t>
      </w:r>
      <w:r w:rsidR="00CE59E4">
        <w:t xml:space="preserve">   </w:t>
      </w:r>
      <w:r w:rsidR="005B48E2">
        <w:t xml:space="preserve"> </w:t>
      </w:r>
      <w:r w:rsidR="00CE59E4">
        <w:t xml:space="preserve">                 Ліна ГАЛАН</w:t>
      </w:r>
    </w:p>
    <w:sectPr w:rsidR="00FC15E1" w:rsidSect="00B53290">
      <w:headerReference w:type="default" r:id="rId7"/>
      <w:type w:val="continuous"/>
      <w:pgSz w:w="12240" w:h="15840"/>
      <w:pgMar w:top="567" w:right="851"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024" w:rsidRDefault="008F5024" w:rsidP="00B53290">
      <w:r>
        <w:separator/>
      </w:r>
    </w:p>
  </w:endnote>
  <w:endnote w:type="continuationSeparator" w:id="0">
    <w:p w:rsidR="008F5024" w:rsidRDefault="008F5024" w:rsidP="00B5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024" w:rsidRDefault="008F5024" w:rsidP="00B53290">
      <w:r>
        <w:separator/>
      </w:r>
    </w:p>
  </w:footnote>
  <w:footnote w:type="continuationSeparator" w:id="0">
    <w:p w:rsidR="008F5024" w:rsidRDefault="008F5024" w:rsidP="00B532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36506"/>
      <w:docPartObj>
        <w:docPartGallery w:val="Page Numbers (Top of Page)"/>
        <w:docPartUnique/>
      </w:docPartObj>
    </w:sdtPr>
    <w:sdtEndPr/>
    <w:sdtContent>
      <w:p w:rsidR="00B53290" w:rsidRDefault="00971648">
        <w:pPr>
          <w:pStyle w:val="a6"/>
          <w:jc w:val="center"/>
        </w:pPr>
        <w:r>
          <w:fldChar w:fldCharType="begin"/>
        </w:r>
        <w:r w:rsidR="00B53290">
          <w:instrText>PAGE   \* MERGEFORMAT</w:instrText>
        </w:r>
        <w:r>
          <w:fldChar w:fldCharType="separate"/>
        </w:r>
        <w:r w:rsidR="00DE3C5C" w:rsidRPr="00DE3C5C">
          <w:rPr>
            <w:noProof/>
            <w:lang w:val="ru-RU"/>
          </w:rPr>
          <w:t>2</w:t>
        </w:r>
        <w:r>
          <w:fldChar w:fldCharType="end"/>
        </w:r>
      </w:p>
    </w:sdtContent>
  </w:sdt>
  <w:p w:rsidR="00B53290" w:rsidRDefault="00B5329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B1AD9"/>
    <w:multiLevelType w:val="multilevel"/>
    <w:tmpl w:val="6C5E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6605A"/>
    <w:multiLevelType w:val="multilevel"/>
    <w:tmpl w:val="2CE8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0442F"/>
    <w:multiLevelType w:val="hybridMultilevel"/>
    <w:tmpl w:val="12EC4C82"/>
    <w:lvl w:ilvl="0" w:tplc="9FEC9C8E">
      <w:start w:val="1"/>
      <w:numFmt w:val="decimal"/>
      <w:lvlText w:val="%1."/>
      <w:lvlJc w:val="left"/>
      <w:pPr>
        <w:ind w:left="1094" w:hanging="281"/>
      </w:pPr>
      <w:rPr>
        <w:rFonts w:ascii="Times New Roman" w:eastAsia="Times New Roman" w:hAnsi="Times New Roman" w:cs="Times New Roman" w:hint="default"/>
        <w:b/>
        <w:bCs/>
        <w:w w:val="100"/>
        <w:sz w:val="28"/>
        <w:szCs w:val="28"/>
        <w:lang w:val="uk-UA" w:eastAsia="en-US" w:bidi="ar-SA"/>
      </w:rPr>
    </w:lvl>
    <w:lvl w:ilvl="1" w:tplc="5F28E7CA">
      <w:numFmt w:val="bullet"/>
      <w:lvlText w:val="•"/>
      <w:lvlJc w:val="left"/>
      <w:pPr>
        <w:ind w:left="1976" w:hanging="281"/>
      </w:pPr>
      <w:rPr>
        <w:rFonts w:hint="default"/>
        <w:lang w:val="uk-UA" w:eastAsia="en-US" w:bidi="ar-SA"/>
      </w:rPr>
    </w:lvl>
    <w:lvl w:ilvl="2" w:tplc="D5268936">
      <w:numFmt w:val="bullet"/>
      <w:lvlText w:val="•"/>
      <w:lvlJc w:val="left"/>
      <w:pPr>
        <w:ind w:left="2852" w:hanging="281"/>
      </w:pPr>
      <w:rPr>
        <w:rFonts w:hint="default"/>
        <w:lang w:val="uk-UA" w:eastAsia="en-US" w:bidi="ar-SA"/>
      </w:rPr>
    </w:lvl>
    <w:lvl w:ilvl="3" w:tplc="5170BB24">
      <w:numFmt w:val="bullet"/>
      <w:lvlText w:val="•"/>
      <w:lvlJc w:val="left"/>
      <w:pPr>
        <w:ind w:left="3728" w:hanging="281"/>
      </w:pPr>
      <w:rPr>
        <w:rFonts w:hint="default"/>
        <w:lang w:val="uk-UA" w:eastAsia="en-US" w:bidi="ar-SA"/>
      </w:rPr>
    </w:lvl>
    <w:lvl w:ilvl="4" w:tplc="09B6C5C8">
      <w:numFmt w:val="bullet"/>
      <w:lvlText w:val="•"/>
      <w:lvlJc w:val="left"/>
      <w:pPr>
        <w:ind w:left="4604" w:hanging="281"/>
      </w:pPr>
      <w:rPr>
        <w:rFonts w:hint="default"/>
        <w:lang w:val="uk-UA" w:eastAsia="en-US" w:bidi="ar-SA"/>
      </w:rPr>
    </w:lvl>
    <w:lvl w:ilvl="5" w:tplc="1EB43B86">
      <w:numFmt w:val="bullet"/>
      <w:lvlText w:val="•"/>
      <w:lvlJc w:val="left"/>
      <w:pPr>
        <w:ind w:left="5480" w:hanging="281"/>
      </w:pPr>
      <w:rPr>
        <w:rFonts w:hint="default"/>
        <w:lang w:val="uk-UA" w:eastAsia="en-US" w:bidi="ar-SA"/>
      </w:rPr>
    </w:lvl>
    <w:lvl w:ilvl="6" w:tplc="D57CA676">
      <w:numFmt w:val="bullet"/>
      <w:lvlText w:val="•"/>
      <w:lvlJc w:val="left"/>
      <w:pPr>
        <w:ind w:left="6356" w:hanging="281"/>
      </w:pPr>
      <w:rPr>
        <w:rFonts w:hint="default"/>
        <w:lang w:val="uk-UA" w:eastAsia="en-US" w:bidi="ar-SA"/>
      </w:rPr>
    </w:lvl>
    <w:lvl w:ilvl="7" w:tplc="74B4C2D4">
      <w:numFmt w:val="bullet"/>
      <w:lvlText w:val="•"/>
      <w:lvlJc w:val="left"/>
      <w:pPr>
        <w:ind w:left="7232" w:hanging="281"/>
      </w:pPr>
      <w:rPr>
        <w:rFonts w:hint="default"/>
        <w:lang w:val="uk-UA" w:eastAsia="en-US" w:bidi="ar-SA"/>
      </w:rPr>
    </w:lvl>
    <w:lvl w:ilvl="8" w:tplc="F830062E">
      <w:numFmt w:val="bullet"/>
      <w:lvlText w:val="•"/>
      <w:lvlJc w:val="left"/>
      <w:pPr>
        <w:ind w:left="8108" w:hanging="281"/>
      </w:pPr>
      <w:rPr>
        <w:rFonts w:hint="default"/>
        <w:lang w:val="uk-UA"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1D5D2C"/>
    <w:rsid w:val="00001260"/>
    <w:rsid w:val="00027031"/>
    <w:rsid w:val="00184BDA"/>
    <w:rsid w:val="001D1F59"/>
    <w:rsid w:val="001D5D2C"/>
    <w:rsid w:val="00206737"/>
    <w:rsid w:val="0022094C"/>
    <w:rsid w:val="002A2C07"/>
    <w:rsid w:val="002E2D69"/>
    <w:rsid w:val="003B43E1"/>
    <w:rsid w:val="00400D81"/>
    <w:rsid w:val="00426C94"/>
    <w:rsid w:val="00481CC1"/>
    <w:rsid w:val="005712E5"/>
    <w:rsid w:val="005B48E2"/>
    <w:rsid w:val="005C5E60"/>
    <w:rsid w:val="005E6776"/>
    <w:rsid w:val="007232E9"/>
    <w:rsid w:val="008A6089"/>
    <w:rsid w:val="008F5024"/>
    <w:rsid w:val="00971648"/>
    <w:rsid w:val="00A76AAC"/>
    <w:rsid w:val="00B03DD0"/>
    <w:rsid w:val="00B53290"/>
    <w:rsid w:val="00C624DB"/>
    <w:rsid w:val="00CD0EA3"/>
    <w:rsid w:val="00CE59E4"/>
    <w:rsid w:val="00D967B0"/>
    <w:rsid w:val="00D97CB6"/>
    <w:rsid w:val="00DE3C5C"/>
    <w:rsid w:val="00EB5958"/>
    <w:rsid w:val="00FC15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B56F"/>
  <w15:docId w15:val="{3D5812DA-7CDB-4D2D-B753-7AD6768E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C5E60"/>
    <w:rPr>
      <w:rFonts w:ascii="Times New Roman" w:eastAsia="Times New Roman" w:hAnsi="Times New Roman" w:cs="Times New Roman"/>
      <w:lang w:val="uk-UA"/>
    </w:rPr>
  </w:style>
  <w:style w:type="paragraph" w:styleId="1">
    <w:name w:val="heading 1"/>
    <w:basedOn w:val="a"/>
    <w:uiPriority w:val="1"/>
    <w:qFormat/>
    <w:rsid w:val="005C5E60"/>
    <w:pPr>
      <w:ind w:left="106" w:hanging="281"/>
      <w:jc w:val="both"/>
      <w:outlineLvl w:val="0"/>
    </w:pPr>
    <w:rPr>
      <w:b/>
      <w:bCs/>
      <w:sz w:val="28"/>
      <w:szCs w:val="28"/>
    </w:rPr>
  </w:style>
  <w:style w:type="paragraph" w:styleId="3">
    <w:name w:val="heading 3"/>
    <w:basedOn w:val="a"/>
    <w:next w:val="a"/>
    <w:link w:val="30"/>
    <w:uiPriority w:val="9"/>
    <w:semiHidden/>
    <w:unhideWhenUsed/>
    <w:qFormat/>
    <w:rsid w:val="00481CC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C5E60"/>
    <w:tblPr>
      <w:tblInd w:w="0" w:type="dxa"/>
      <w:tblCellMar>
        <w:top w:w="0" w:type="dxa"/>
        <w:left w:w="0" w:type="dxa"/>
        <w:bottom w:w="0" w:type="dxa"/>
        <w:right w:w="0" w:type="dxa"/>
      </w:tblCellMar>
    </w:tblPr>
  </w:style>
  <w:style w:type="paragraph" w:styleId="a3">
    <w:name w:val="Body Text"/>
    <w:basedOn w:val="a"/>
    <w:uiPriority w:val="1"/>
    <w:qFormat/>
    <w:rsid w:val="005C5E60"/>
    <w:pPr>
      <w:ind w:left="106"/>
    </w:pPr>
    <w:rPr>
      <w:sz w:val="28"/>
      <w:szCs w:val="28"/>
    </w:rPr>
  </w:style>
  <w:style w:type="paragraph" w:styleId="a4">
    <w:name w:val="List Paragraph"/>
    <w:basedOn w:val="a"/>
    <w:uiPriority w:val="1"/>
    <w:qFormat/>
    <w:rsid w:val="005C5E60"/>
    <w:pPr>
      <w:ind w:left="106" w:hanging="281"/>
      <w:jc w:val="both"/>
    </w:pPr>
  </w:style>
  <w:style w:type="paragraph" w:customStyle="1" w:styleId="TableParagraph">
    <w:name w:val="Table Paragraph"/>
    <w:basedOn w:val="a"/>
    <w:uiPriority w:val="1"/>
    <w:qFormat/>
    <w:rsid w:val="005C5E60"/>
  </w:style>
  <w:style w:type="character" w:styleId="a5">
    <w:name w:val="Strong"/>
    <w:uiPriority w:val="22"/>
    <w:qFormat/>
    <w:rsid w:val="005712E5"/>
    <w:rPr>
      <w:b/>
      <w:bCs/>
    </w:rPr>
  </w:style>
  <w:style w:type="paragraph" w:styleId="a6">
    <w:name w:val="header"/>
    <w:basedOn w:val="a"/>
    <w:link w:val="a7"/>
    <w:uiPriority w:val="99"/>
    <w:unhideWhenUsed/>
    <w:rsid w:val="00B53290"/>
    <w:pPr>
      <w:tabs>
        <w:tab w:val="center" w:pos="4819"/>
        <w:tab w:val="right" w:pos="9639"/>
      </w:tabs>
    </w:pPr>
  </w:style>
  <w:style w:type="character" w:customStyle="1" w:styleId="a7">
    <w:name w:val="Верхний колонтитул Знак"/>
    <w:basedOn w:val="a0"/>
    <w:link w:val="a6"/>
    <w:uiPriority w:val="99"/>
    <w:rsid w:val="00B53290"/>
    <w:rPr>
      <w:rFonts w:ascii="Times New Roman" w:eastAsia="Times New Roman" w:hAnsi="Times New Roman" w:cs="Times New Roman"/>
      <w:lang w:val="uk-UA"/>
    </w:rPr>
  </w:style>
  <w:style w:type="paragraph" w:styleId="a8">
    <w:name w:val="footer"/>
    <w:basedOn w:val="a"/>
    <w:link w:val="a9"/>
    <w:uiPriority w:val="99"/>
    <w:unhideWhenUsed/>
    <w:rsid w:val="00B53290"/>
    <w:pPr>
      <w:tabs>
        <w:tab w:val="center" w:pos="4819"/>
        <w:tab w:val="right" w:pos="9639"/>
      </w:tabs>
    </w:pPr>
  </w:style>
  <w:style w:type="character" w:customStyle="1" w:styleId="a9">
    <w:name w:val="Нижний колонтитул Знак"/>
    <w:basedOn w:val="a0"/>
    <w:link w:val="a8"/>
    <w:uiPriority w:val="99"/>
    <w:rsid w:val="00B53290"/>
    <w:rPr>
      <w:rFonts w:ascii="Times New Roman" w:eastAsia="Times New Roman" w:hAnsi="Times New Roman" w:cs="Times New Roman"/>
      <w:lang w:val="uk-UA"/>
    </w:rPr>
  </w:style>
  <w:style w:type="character" w:customStyle="1" w:styleId="30">
    <w:name w:val="Заголовок 3 Знак"/>
    <w:basedOn w:val="a0"/>
    <w:link w:val="3"/>
    <w:uiPriority w:val="9"/>
    <w:semiHidden/>
    <w:rsid w:val="00481CC1"/>
    <w:rPr>
      <w:rFonts w:asciiTheme="majorHAnsi" w:eastAsiaTheme="majorEastAsia" w:hAnsiTheme="majorHAnsi" w:cstheme="majorBidi"/>
      <w:color w:val="243F60" w:themeColor="accent1" w:themeShade="7F"/>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47993">
      <w:bodyDiv w:val="1"/>
      <w:marLeft w:val="0"/>
      <w:marRight w:val="0"/>
      <w:marTop w:val="0"/>
      <w:marBottom w:val="0"/>
      <w:divBdr>
        <w:top w:val="none" w:sz="0" w:space="0" w:color="auto"/>
        <w:left w:val="none" w:sz="0" w:space="0" w:color="auto"/>
        <w:bottom w:val="none" w:sz="0" w:space="0" w:color="auto"/>
        <w:right w:val="none" w:sz="0" w:space="0" w:color="auto"/>
      </w:divBdr>
    </w:div>
    <w:div w:id="1014376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2436</Words>
  <Characters>1390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Пояснювальна записка</vt:lpstr>
    </vt:vector>
  </TitlesOfParts>
  <Company>BOB</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Customer</dc:creator>
  <cp:lastModifiedBy>Tamara</cp:lastModifiedBy>
  <cp:revision>5</cp:revision>
  <cp:lastPrinted>2021-06-14T06:33:00Z</cp:lastPrinted>
  <dcterms:created xsi:type="dcterms:W3CDTF">2021-06-14T06:34:00Z</dcterms:created>
  <dcterms:modified xsi:type="dcterms:W3CDTF">2025-09-04T09:28:00Z</dcterms:modified>
</cp:coreProperties>
</file>