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false"/>
        <w:jc w:val="center"/>
        <w:rPr>
          <w:bCs/>
          <w:color w:val="00000A"/>
          <w:sz w:val="28"/>
        </w:rPr>
      </w:pPr>
      <w:r>
        <w:rPr/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675747937" r:id="rId2"/>
        </w:object>
      </w:r>
    </w:p>
    <w:p>
      <w:pPr>
        <w:pStyle w:val="Normal"/>
        <w:suppressAutoHyphens w:val="false"/>
        <w:jc w:val="center"/>
        <w:rPr>
          <w:bCs/>
          <w:color w:val="00000A"/>
          <w:sz w:val="16"/>
          <w:szCs w:val="16"/>
        </w:rPr>
      </w:pPr>
      <w:r>
        <w:rPr>
          <w:bCs/>
          <w:color w:val="00000A"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uppressAutoHyphens w:val="false"/>
        <w:ind w:hanging="0" w:left="0"/>
        <w:jc w:val="center"/>
        <w:outlineLvl w:val="0"/>
        <w:rPr>
          <w:b/>
          <w:bCs/>
          <w:color w:val="00000A"/>
          <w:sz w:val="28"/>
          <w:szCs w:val="28"/>
        </w:rPr>
      </w:pPr>
      <w:r>
        <w:rPr>
          <w:b/>
          <w:bCs/>
          <w:color w:val="00000A"/>
          <w:sz w:val="28"/>
          <w:szCs w:val="28"/>
        </w:rPr>
        <w:t>ЛУЦЬКА  МІСЬКА  РАДА</w:t>
      </w:r>
    </w:p>
    <w:p>
      <w:pPr>
        <w:pStyle w:val="Normal"/>
        <w:suppressAutoHyphens w:val="false"/>
        <w:rPr>
          <w:bCs/>
          <w:color w:val="00000A"/>
          <w:sz w:val="20"/>
          <w:szCs w:val="20"/>
        </w:rPr>
      </w:pPr>
      <w:r>
        <w:rPr>
          <w:bCs/>
          <w:color w:val="00000A"/>
          <w:sz w:val="20"/>
          <w:szCs w:val="20"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4218" w:leader="none"/>
          <w:tab w:val="left" w:pos="4674" w:leader="none"/>
        </w:tabs>
        <w:suppressAutoHyphens w:val="false"/>
        <w:ind w:hanging="0" w:left="0"/>
        <w:jc w:val="center"/>
        <w:outlineLvl w:val="1"/>
        <w:rPr>
          <w:b/>
          <w:bCs/>
          <w:iCs/>
          <w:color w:val="00000A"/>
          <w:sz w:val="32"/>
          <w:szCs w:val="32"/>
        </w:rPr>
      </w:pPr>
      <w:r>
        <w:rPr>
          <w:b/>
          <w:bCs/>
          <w:iCs/>
          <w:color w:val="00000A"/>
          <w:sz w:val="32"/>
          <w:szCs w:val="32"/>
        </w:rPr>
        <w:t>Р І Ш Е Н Н Я</w:t>
      </w:r>
    </w:p>
    <w:p>
      <w:pPr>
        <w:pStyle w:val="Normal"/>
        <w:suppressAutoHyphens w:val="false"/>
        <w:jc w:val="center"/>
        <w:rPr>
          <w:b/>
          <w:color w:val="00000A"/>
          <w:sz w:val="40"/>
          <w:szCs w:val="40"/>
        </w:rPr>
      </w:pPr>
      <w:r>
        <w:rPr>
          <w:b/>
          <w:color w:val="00000A"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suppressAutoHyphens w:val="false"/>
        <w:jc w:val="both"/>
        <w:rPr>
          <w:bCs/>
          <w:color w:val="00000A"/>
        </w:rPr>
      </w:pPr>
      <w:r>
        <w:rPr>
          <w:bCs/>
          <w:color w:val="00000A"/>
        </w:rPr>
        <w:t>________________                                        Луцьк                                         №______________</w:t>
      </w:r>
    </w:p>
    <w:p>
      <w:pPr>
        <w:pStyle w:val="Normal"/>
        <w:jc w:val="center"/>
        <w:rPr/>
      </w:pPr>
      <w:r>
        <w:rPr/>
      </w:r>
    </w:p>
    <w:p>
      <w:pPr>
        <w:pStyle w:val="BodyText2"/>
        <w:rPr>
          <w:sz w:val="28"/>
          <w:szCs w:val="28"/>
        </w:rPr>
      </w:pPr>
      <w:r>
        <w:rPr>
          <w:sz w:val="28"/>
          <w:szCs w:val="28"/>
        </w:rPr>
        <w:t xml:space="preserve">Про внесення змін до </w:t>
      </w:r>
      <w:r>
        <w:rPr>
          <w:sz w:val="28"/>
          <w:szCs w:val="28"/>
          <w:lang w:eastAsia="zh-CN"/>
        </w:rPr>
        <w:t xml:space="preserve">Програми </w:t>
      </w:r>
    </w:p>
    <w:p>
      <w:pPr>
        <w:pStyle w:val="BodyText2"/>
        <w:rPr>
          <w:sz w:val="28"/>
          <w:szCs w:val="28"/>
        </w:rPr>
      </w:pPr>
      <w:r>
        <w:rPr>
          <w:sz w:val="28"/>
          <w:szCs w:val="28"/>
          <w:lang w:eastAsia="zh-CN"/>
        </w:rPr>
        <w:t xml:space="preserve">організації рятування людей на </w:t>
      </w:r>
    </w:p>
    <w:p>
      <w:pPr>
        <w:pStyle w:val="BodyText2"/>
        <w:rPr>
          <w:sz w:val="28"/>
          <w:szCs w:val="28"/>
        </w:rPr>
      </w:pPr>
      <w:r>
        <w:rPr>
          <w:sz w:val="28"/>
          <w:szCs w:val="28"/>
          <w:lang w:eastAsia="zh-CN"/>
        </w:rPr>
        <w:t xml:space="preserve">водних об’єктах Луцької міської </w:t>
      </w:r>
    </w:p>
    <w:p>
      <w:pPr>
        <w:pStyle w:val="BodyText2"/>
        <w:rPr>
          <w:sz w:val="28"/>
          <w:szCs w:val="28"/>
        </w:rPr>
      </w:pPr>
      <w:r>
        <w:rPr>
          <w:sz w:val="28"/>
          <w:szCs w:val="28"/>
          <w:lang w:eastAsia="zh-CN"/>
        </w:rPr>
        <w:t xml:space="preserve">територіальної громади </w:t>
      </w:r>
      <w:r>
        <w:rPr>
          <w:spacing w:val="-1"/>
          <w:sz w:val="28"/>
          <w:szCs w:val="28"/>
          <w:lang w:eastAsia="zh-CN"/>
        </w:rPr>
        <w:t xml:space="preserve">в літній </w:t>
      </w:r>
    </w:p>
    <w:p>
      <w:pPr>
        <w:pStyle w:val="BodyText2"/>
        <w:rPr>
          <w:sz w:val="28"/>
          <w:szCs w:val="28"/>
        </w:rPr>
      </w:pPr>
      <w:r>
        <w:rPr>
          <w:spacing w:val="-1"/>
          <w:sz w:val="28"/>
          <w:szCs w:val="28"/>
          <w:lang w:eastAsia="zh-CN"/>
        </w:rPr>
        <w:t>період 2022</w:t>
      </w:r>
      <w:r>
        <w:rPr>
          <w:rFonts w:eastAsia="Times New Roman" w:cs="Times New Roman"/>
          <w:spacing w:val="-1"/>
          <w:sz w:val="28"/>
          <w:szCs w:val="28"/>
          <w:lang w:eastAsia="zh-CN"/>
        </w:rPr>
        <w:t>‒</w:t>
      </w:r>
      <w:r>
        <w:rPr>
          <w:spacing w:val="-1"/>
          <w:sz w:val="28"/>
          <w:szCs w:val="28"/>
          <w:lang w:eastAsia="zh-CN"/>
        </w:rPr>
        <w:t xml:space="preserve">2026 років </w:t>
      </w:r>
      <w:r>
        <w:rPr>
          <w:spacing w:val="-1"/>
          <w:sz w:val="28"/>
          <w:szCs w:val="28"/>
          <w:lang w:val="uk-UA" w:eastAsia="zh-CN"/>
        </w:rPr>
        <w:t xml:space="preserve">та </w:t>
      </w:r>
    </w:p>
    <w:p>
      <w:pPr>
        <w:pStyle w:val="BodyText2"/>
        <w:rPr>
          <w:sz w:val="28"/>
          <w:szCs w:val="28"/>
        </w:rPr>
      </w:pPr>
      <w:r>
        <w:rPr>
          <w:spacing w:val="-1"/>
          <w:sz w:val="28"/>
          <w:szCs w:val="28"/>
          <w:lang w:val="uk-UA" w:eastAsia="zh-CN"/>
        </w:rPr>
        <w:t xml:space="preserve">продовження терміну її дії </w:t>
      </w:r>
    </w:p>
    <w:p>
      <w:pPr>
        <w:pStyle w:val="BodyText2"/>
        <w:rPr>
          <w:spacing w:val="-1"/>
          <w:sz w:val="28"/>
          <w:szCs w:val="28"/>
          <w:lang w:val="uk-UA" w:eastAsia="zh-CN"/>
        </w:rPr>
      </w:pPr>
      <w:r>
        <w:rPr>
          <w:spacing w:val="-1"/>
          <w:sz w:val="28"/>
          <w:szCs w:val="28"/>
          <w:lang w:val="uk-UA" w:eastAsia="zh-CN"/>
        </w:rPr>
        <w:t>на 2027</w:t>
      </w:r>
      <w:r>
        <w:rPr>
          <w:rFonts w:eastAsia="Times New Roman" w:cs="Times New Roman"/>
          <w:spacing w:val="-1"/>
          <w:sz w:val="28"/>
          <w:szCs w:val="28"/>
          <w:lang w:val="uk-UA" w:eastAsia="zh-CN"/>
        </w:rPr>
        <w:t>–</w:t>
      </w:r>
      <w:r>
        <w:rPr>
          <w:spacing w:val="-1"/>
          <w:sz w:val="28"/>
          <w:szCs w:val="28"/>
          <w:lang w:val="uk-UA" w:eastAsia="zh-CN"/>
        </w:rPr>
        <w:t>2028 роки</w:t>
      </w:r>
    </w:p>
    <w:p>
      <w:pPr>
        <w:pStyle w:val="BodyText2"/>
        <w:rPr/>
      </w:pPr>
      <w:r>
        <w:rPr/>
      </w:r>
    </w:p>
    <w:p>
      <w:pPr>
        <w:pStyle w:val="BodyText2"/>
        <w:rPr/>
      </w:pPr>
      <w:r>
        <w:rPr/>
      </w:r>
    </w:p>
    <w:p>
      <w:pPr>
        <w:pStyle w:val="Normal"/>
        <w:tabs>
          <w:tab w:val="clear" w:pos="708"/>
          <w:tab w:val="left" w:pos="564" w:leader="none"/>
        </w:tabs>
        <w:jc w:val="both"/>
        <w:rPr/>
      </w:pPr>
      <w:r>
        <w:rPr>
          <w:sz w:val="28"/>
          <w:szCs w:val="28"/>
        </w:rPr>
        <w:tab/>
      </w:r>
      <w:r>
        <w:rPr>
          <w:spacing w:val="-1"/>
          <w:sz w:val="28"/>
          <w:szCs w:val="28"/>
          <w:lang w:eastAsia="zh-CN"/>
        </w:rPr>
        <w:t xml:space="preserve">Відповідно до статті 26 Закону України </w:t>
      </w:r>
      <w:r>
        <w:rPr>
          <w:rFonts w:eastAsia="Times New Roman" w:cs="Times New Roman"/>
          <w:spacing w:val="-1"/>
          <w:sz w:val="28"/>
          <w:szCs w:val="28"/>
          <w:lang w:eastAsia="zh-CN"/>
        </w:rPr>
        <w:t>«</w:t>
      </w:r>
      <w:r>
        <w:rPr>
          <w:spacing w:val="-1"/>
          <w:sz w:val="28"/>
          <w:szCs w:val="28"/>
          <w:lang w:eastAsia="zh-CN"/>
        </w:rPr>
        <w:t>Про місцеве самоврядування в Україні</w:t>
      </w:r>
      <w:r>
        <w:rPr>
          <w:rFonts w:eastAsia="Times New Roman" w:cs="Times New Roman"/>
          <w:spacing w:val="-1"/>
          <w:sz w:val="28"/>
          <w:szCs w:val="28"/>
          <w:lang w:eastAsia="zh-CN"/>
        </w:rPr>
        <w:t>»</w:t>
      </w:r>
      <w:r>
        <w:rPr>
          <w:spacing w:val="-1"/>
          <w:sz w:val="28"/>
          <w:szCs w:val="28"/>
          <w:lang w:eastAsia="zh-CN"/>
        </w:rPr>
        <w:t xml:space="preserve">, частини другої статті 19 Кодексу цивільного захисту України,  розпорядження Президента України від 14.07.2001 № 190/2001-рп </w:t>
      </w:r>
      <w:r>
        <w:rPr>
          <w:rFonts w:eastAsia="Times New Roman" w:cs="Times New Roman"/>
          <w:spacing w:val="-1"/>
          <w:sz w:val="28"/>
          <w:szCs w:val="28"/>
          <w:lang w:eastAsia="zh-CN"/>
        </w:rPr>
        <w:t>«</w:t>
      </w:r>
      <w:r>
        <w:rPr>
          <w:spacing w:val="-1"/>
          <w:sz w:val="28"/>
          <w:szCs w:val="28"/>
          <w:lang w:eastAsia="zh-CN"/>
        </w:rPr>
        <w:t>Про невідкладні заходи щодо запобігання загибелі людей на водних об’єктах</w:t>
      </w:r>
      <w:r>
        <w:rPr>
          <w:rFonts w:eastAsia="Times New Roman" w:cs="Times New Roman"/>
          <w:spacing w:val="-1"/>
          <w:sz w:val="28"/>
          <w:szCs w:val="28"/>
          <w:lang w:eastAsia="zh-CN"/>
        </w:rPr>
        <w:t>»</w:t>
      </w:r>
      <w:r>
        <w:rPr>
          <w:spacing w:val="-1"/>
          <w:sz w:val="28"/>
          <w:szCs w:val="28"/>
          <w:lang w:eastAsia="zh-CN"/>
        </w:rPr>
        <w:t xml:space="preserve">, постанови Кабінету Міністрів України від 30.04.2024 № 484 «Про внесення змін до постанови Кабінету Міністрів України від 9 березня 2006 р. № 268», Правил безпеки людей на водних </w:t>
      </w:r>
      <w:r>
        <w:rPr>
          <w:spacing w:val="-1"/>
          <w:sz w:val="28"/>
          <w:szCs w:val="28"/>
          <w:lang w:val="en-US" w:eastAsia="zh-CN"/>
        </w:rPr>
        <w:t>об’єктах</w:t>
      </w:r>
      <w:r>
        <w:rPr>
          <w:spacing w:val="-1"/>
          <w:sz w:val="28"/>
          <w:szCs w:val="28"/>
          <w:lang w:eastAsia="zh-CN"/>
        </w:rPr>
        <w:t>, затверджених наказом Міністерства внутрішніх справ України від 10.04.2017 № 301, зареєстрованого в Міністерстві юстиції України від 04.05.2017 за № 566/30434, зі змінами, з метою забезпечення роботи рятувальних постів на водних об’єктах міської територіальної громади в період літніх купальних сезонів, міська рада</w:t>
      </w:r>
    </w:p>
    <w:p>
      <w:pPr>
        <w:pStyle w:val="BodyText"/>
        <w:shd w:val="clear" w:color="auto" w:fill="FFFFFF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 Внести зміни до</w:t>
      </w:r>
      <w:r>
        <w:rPr>
          <w:sz w:val="28"/>
          <w:szCs w:val="28"/>
          <w:lang w:val="uk-UA"/>
        </w:rPr>
        <w:t xml:space="preserve"> Програми організації рятування людей на водних об’єктах Луцької міської територіальної громади в літній період                    2022</w:t>
      </w:r>
      <w:r>
        <w:rPr>
          <w:rFonts w:eastAsia="Times New Roman" w:cs="Times New Roman"/>
          <w:sz w:val="28"/>
          <w:szCs w:val="28"/>
          <w:lang w:val="uk-UA"/>
        </w:rPr>
        <w:t>–</w:t>
      </w:r>
      <w:r>
        <w:rPr>
          <w:sz w:val="28"/>
          <w:szCs w:val="28"/>
          <w:lang w:val="uk-UA"/>
        </w:rPr>
        <w:t>2026 років, затвердженої рішенням міської ради від 22.12.2021 №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  <w:lang w:val="uk-UA"/>
        </w:rPr>
        <w:t>24/66, з врахуванням змін, внесених рішеннями міської ради від 28.08.2024 № 62/100, від 26.03.2025 № 73/101, та продовжити термін її дії до 2028 року.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2. Вказати назву програми </w:t>
      </w:r>
      <w:r>
        <w:rPr>
          <w:rFonts w:eastAsia="Times New Roman" w:cs="Times New Roman"/>
          <w:sz w:val="28"/>
          <w:szCs w:val="28"/>
          <w:lang w:val="uk-UA"/>
        </w:rPr>
        <w:t>– Програма організації рятування людей на водних об’єктах Луцької міської територіальної громади в літній період 2022–2028 років (далі – Програма).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ab/>
        <w:t>3. Доповнити розділ другий Програми абзацем наступного змісту: «Сформовані завдання та заходи Програми спрямовані на досягнення оперативної цілі 1.4. ˮСтворення в громаді просторів для якісного проведення   часу   мешканцями   громадиˮ   стратегічної  цілі  № 1   ˮЛуцька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564" w:leader="none"/>
        </w:tabs>
        <w:jc w:val="center"/>
        <w:rPr>
          <w:rFonts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/>
          <w:sz w:val="24"/>
          <w:szCs w:val="24"/>
          <w:lang w:val="uk-UA"/>
        </w:rPr>
        <w:t>2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>молодіжна громадаˮ Стратегії розвитку Луцької міської територіальної громади до 2030 року».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4. Викласти Паспорт Програми, додаток 1 та додаток 2 до Програми у новій редакції (додаються).</w:t>
      </w:r>
    </w:p>
    <w:p>
      <w:pPr>
        <w:pStyle w:val="BodyText"/>
        <w:shd w:val="clear" w:color="auto" w:fill="FFFFFF"/>
        <w:tabs>
          <w:tab w:val="clear" w:pos="708"/>
          <w:tab w:val="left" w:pos="564" w:leader="none"/>
        </w:tabs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>5. Контроль за виконанням рішення покласти на заступника міського голови відповідно до розподілу обов’язків, постійну комісію міської ради з питань генерального планування, будівництва, архітектури  та благоустрою, житлово-комунального господарства, екології, транспорту та енергоощадності та постійну комісію міської ради з питань планування соціально-економічного розвитку, бюджету та фінансів.</w:t>
      </w:r>
    </w:p>
    <w:p>
      <w:pPr>
        <w:pStyle w:val="BodyTextIndent"/>
        <w:ind w:hanging="0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BodyTextIndent"/>
        <w:ind w:hanging="0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BodyTextIndent"/>
        <w:ind w:hanging="0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BodyTextIndent"/>
        <w:ind w:hanging="0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BodyTextIndent"/>
        <w:ind w:hanging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BodyTextIndent"/>
        <w:ind w:hanging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/>
      </w:pPr>
      <w:r>
        <w:rPr/>
        <w:t>Кирилюк 720 087</w:t>
        <w:tab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4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 w:customStyle="1">
    <w:name w:val="Покажчик (user)"/>
    <w:basedOn w:val="Normal"/>
    <w:qFormat/>
    <w:rsid w:val="00c7405a"/>
    <w:pPr>
      <w:suppressLineNumbers/>
    </w:pPr>
    <w:rPr>
      <w:rFonts w:cs="Lucida Sans"/>
    </w:rPr>
  </w:style>
  <w:style w:type="paragraph" w:styleId="111" w:customStyle="1">
    <w:name w:val="Заголовок 11"/>
    <w:basedOn w:val="Normal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 w:customStyle="1">
    <w:name w:val="Заголовок 21"/>
    <w:basedOn w:val="Normal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Назва об'є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BodyText2">
    <w:name w:val="Body Text 2"/>
    <w:basedOn w:val="Normal"/>
    <w:qFormat/>
    <w:pPr>
      <w:jc w:val="both"/>
    </w:pPr>
    <w:rPr>
      <w:szCs w:val="20"/>
    </w:rPr>
  </w:style>
  <w:style w:type="paragraph" w:styleId="BodyTextIndent">
    <w:name w:val="Body Text Indent"/>
    <w:basedOn w:val="Normal"/>
    <w:pPr>
      <w:ind w:firstLine="545"/>
      <w:jc w:val="both"/>
    </w:pPr>
    <w:rPr/>
  </w:style>
  <w:style w:type="numbering" w:styleId="Style16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Application>LibreOffice/25.2.5.2$Windows_X86_64 LibreOffice_project/03d19516eb2e1dd5d4ccd751a0d6f35f35e08022</Application>
  <AppVersion>15.0000</AppVersion>
  <Pages>1</Pages>
  <Words>246</Words>
  <Characters>1580</Characters>
  <CharactersWithSpaces>1923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2025-08-21T12:40:45Z</cp:lastPrinted>
  <dcterms:modified xsi:type="dcterms:W3CDTF">2025-08-22T16:22:50Z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