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firstLine="720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</w:t>
      </w:r>
    </w:p>
    <w:p>
      <w:pPr>
        <w:pStyle w:val="Normal"/>
        <w:spacing w:lineRule="auto" w:line="240" w:before="0" w:after="0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до проєкту рішення виконавчого комітету «Про встановлення тарифів </w:t>
      </w:r>
      <w:r>
        <w:rPr>
          <w:rFonts w:ascii="Times New Roman" w:hAnsi="Times New Roman"/>
          <w:sz w:val="28"/>
          <w:szCs w:val="28"/>
          <w:lang w:val="uk-UA"/>
        </w:rPr>
        <w:t>н</w:t>
      </w:r>
      <w:r>
        <w:rPr>
          <w:rFonts w:ascii="Times New Roman" w:hAnsi="Times New Roman"/>
          <w:sz w:val="28"/>
          <w:szCs w:val="28"/>
        </w:rPr>
        <w:t>а теплову енергію та послуги,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що надаються ДКП 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>“</w:t>
      </w:r>
      <w:r>
        <w:rPr>
          <w:rFonts w:ascii="Times New Roman" w:hAnsi="Times New Roman"/>
          <w:sz w:val="28"/>
          <w:szCs w:val="28"/>
          <w:lang w:val="uk-UA" w:eastAsia="ru-RU"/>
        </w:rPr>
        <w:t>Луцьктепло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>”</w:t>
      </w:r>
      <w:r>
        <w:rPr>
          <w:rFonts w:ascii="Times New Roman" w:hAnsi="Times New Roman"/>
          <w:sz w:val="28"/>
          <w:szCs w:val="28"/>
          <w:lang w:val="uk-UA" w:eastAsia="ru-RU"/>
        </w:rPr>
        <w:t>»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Розрахунки тарифів на послуги з постачання теплової енергії та гарячого водопостачання здійснено ДКП «Луцьктепло» відповідно до вимог постанови Кабінету Міністрів України від 01.06.2011 № 869 «</w:t>
      </w:r>
      <w:r>
        <w:rPr>
          <w:rStyle w:val="Rvts23"/>
          <w:rFonts w:ascii="Times New Roman" w:hAnsi="Times New Roman"/>
          <w:bCs/>
          <w:sz w:val="28"/>
          <w:szCs w:val="28"/>
          <w:lang w:val="uk-UA" w:eastAsia="ru-RU"/>
        </w:rPr>
        <w:t>Про забезпечення єдиного підходу до формування тарифів на комунальні послуги»</w:t>
      </w:r>
      <w:r>
        <w:rPr>
          <w:rStyle w:val="Rvts23"/>
          <w:rFonts w:ascii="Times New Roman" w:hAnsi="Times New Roman"/>
          <w:bCs/>
          <w:sz w:val="28"/>
          <w:szCs w:val="28"/>
          <w:lang w:val="en-US" w:eastAsia="ru-RU"/>
        </w:rPr>
        <w:t xml:space="preserve"> </w:t>
      </w:r>
      <w:r>
        <w:rPr>
          <w:rStyle w:val="Rvts23"/>
          <w:rFonts w:ascii="Times New Roman" w:hAnsi="Times New Roman"/>
          <w:bCs/>
          <w:sz w:val="28"/>
          <w:szCs w:val="28"/>
          <w:lang w:val="uk-UA" w:eastAsia="ru-RU"/>
        </w:rPr>
        <w:t xml:space="preserve">зі змінами. </w:t>
      </w:r>
    </w:p>
    <w:p>
      <w:pPr>
        <w:pStyle w:val="Normal"/>
        <w:spacing w:lineRule="auto" w:line="240" w:before="0" w:after="0"/>
        <w:ind w:firstLine="720"/>
        <w:contextualSpacing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Відповідно до пункту 46 постанови Кабінету Міністрів України від 01.06.2011 № 869 «</w:t>
      </w:r>
      <w:r>
        <w:rPr>
          <w:rStyle w:val="Rvts23"/>
          <w:rFonts w:ascii="Times New Roman" w:hAnsi="Times New Roman"/>
          <w:sz w:val="28"/>
          <w:szCs w:val="28"/>
        </w:rPr>
        <w:t>Про забезпечення єдиного підходу до формування тарифів на комунальні послуги</w:t>
      </w:r>
      <w:r>
        <w:rPr>
          <w:rStyle w:val="Rvts23"/>
          <w:rFonts w:ascii="Times New Roman" w:hAnsi="Times New Roman"/>
          <w:sz w:val="28"/>
          <w:szCs w:val="28"/>
          <w:lang w:val="uk-UA"/>
        </w:rPr>
        <w:t xml:space="preserve">» 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>тарифи на теплову енергію визначено як сума тарифів на: виробництво, транспортування та постачання теплової енергії; та розподілені відповідно до умов транспортування та постачання на: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виробництво теплової енергії, транспортування теплової енергії без урахування витрат на утримання та ремонт центральних теплових пунктів, постачання теплової енергії без урахування витрат на утримання індивідуальних теплових пунктів;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виробництво теплової енергії, транспортування теплової енергії з урахуванням витрат на утримання центральних теплових пунктів, постачання теплової енергії без урахування витрат на утримання індивідуальних теплових пунктів;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виробництво теплової енергії, транспортування теплової енергії без урахування витрат на утримання центральних теплових пунктів, постачання теплової енергії з урахуванням витрат на утримання індивідуальних теплових пунктів;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виробництво теплової енергії та її постачання у будинках, обладнаних системою автономного опалення (САО). Таких систем на балансі </w:t>
        <w:br/>
        <w:t xml:space="preserve">ДКП «Луцьктепло» 7, зокрема, за адресами: вул. Захисників України, 20, вул. Дубнівська 15, вул. Ковельська 47а, вул. Кравчука 11б, вул. Кравчука, 11в, вул. Героїв-добровольців 4в, вул. Героїв-добровольців, 4д. </w:t>
      </w:r>
      <w:bookmarkStart w:id="0" w:name="_Hlk206747677"/>
      <w:r>
        <w:rPr>
          <w:rFonts w:ascii="Times New Roman" w:hAnsi="Times New Roman"/>
          <w:bCs/>
          <w:sz w:val="28"/>
          <w:szCs w:val="28"/>
          <w:lang w:val="uk-UA" w:eastAsia="ru-RU"/>
        </w:rPr>
        <w:t>Відповідно до цього розраховано тарифи на теплову енергію та постачання теплової енергії індивідуально по кожному будинку.</w:t>
      </w:r>
      <w:bookmarkEnd w:id="0"/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Тарифи на послуги з постачання теплової енергії є вартістю надання одиниці послуги з постачання теплової енергії відповідної якості, що дорівнює вартості теплової енергії для споживача.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Тарифи на послуги з постачання гарячої води сформовано із вартості теплової енергії, вартості послуги з централізованого водопостачання згідно із затвердженими тарифами, що використовуються для надання послуг з постачання гарячої води та витрат, які пов’язані із забезпеченням надання послуги з централізованого постачання гарячої води та які не включено до тарифів на постачання теплової енергії.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Усі розрахунки проведено відповідно до затверджених форм до наказів Міністерства регіонального розвитку будівництва та житлово-комунального господарства України від 12.09.2018 № 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від 17.07.2019 № 162 «Про затвердження Примірних форм, необхідних для розрахунку двоставкових тарифів на теплову енергію, послуги з постачання теплової енергії і постачання гарячої води», рішення виконавчого комітету Луцької міської ради від 18.05.2023 № 290-1 «Про затвердження форм для розрахунку тарифів на послуги з постачання теплової енергії та постачання гарячої води».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Розрахунок річного корисного відпуску теплової енергії на потреби опалення, вентиляції та гарячого водопостачання виконаний на підставі вимог постанови КМУ від 01.06.2011 № 869, з урахуванням фактичних за останні 5 років та прогнозованих обсягів виробництва, споживання теплової енергії з урахуванням укладених із споживачами договорів, таким чином, корисний відпуск теплової енергії у проєкті тарифів становить 463 117,352 Гкал, в тому числі на постачання теплової енергії 390 402,892 Гкал, на постачання гарячої води 72 099,320 Гкал. Для потреб категорії населення – планова реалізація склала  378 212,071 Гкал, для бюджетних установ – 67 338,711 Гкал, для інших споживачів – 16 789,875 Гкал та для релігійних організацій – 161,555 Гкал.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Розрахунок питомих витрат палива здійснений відповідно до «Міжгалузевих норм витрат палива для опалювальних котлів, які експлуатуються в Україні», затверджених Наказом Держкоменергозбереження від 07.05.2001 № 46, «Галузевої методики нормування витрат палива на виробництво та відпуск теплової енергії котельнями теплового господарства» КТМ 204 України 246-99; Норм та вказівок по нормуванню витрат палива та теплової енергії на опалення житлових та громадських споруд, а також на господарсько-побутові потреби в Україні» КТМ 204 України 244-94.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Розрахунок теплового навантаження системи опалення для житлових будинків здійснюється з урахуванням нормативних питомих витрат теплової енергії для опалення будинків м. Луцька згідно з 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 xml:space="preserve">КТМ 204 України 244-94.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Розрахунок тарифів здійснено із таких основних показників: опалювальна площа будівлі, яка опалюється від централізованого опалення; норма витрати теплоти для будівель – Гкал/м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, в залежності від поверховості будівель; 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 xml:space="preserve">середня температура зовнішнього повітря в опалювальний період визначена на підставі даних Волинського обласного центру з гідрометеорології про фактичну температуру за період 2020–2024 років та становить +2,58 </w:t>
      </w:r>
      <w:r>
        <w:rPr>
          <w:rFonts w:eastAsia="Times New Roman" w:ascii="Times New Roman" w:hAnsi="Times New Roman"/>
          <w:sz w:val="28"/>
          <w:szCs w:val="28"/>
          <w:vertAlign w:val="superscript"/>
          <w:lang w:val="uk-UA" w:eastAsia="ru-RU"/>
        </w:rPr>
        <w:t>о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 xml:space="preserve">С; розрахункова температура зовнішнього повітря для проєктування опалення tр.о. = - 20 </w:t>
      </w:r>
      <w:r>
        <w:rPr>
          <w:rFonts w:eastAsia="Times New Roman" w:ascii="Times New Roman" w:hAnsi="Times New Roman"/>
          <w:sz w:val="28"/>
          <w:szCs w:val="28"/>
          <w:vertAlign w:val="superscript"/>
          <w:lang w:val="uk-UA" w:eastAsia="ru-RU"/>
        </w:rPr>
        <w:t>о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 xml:space="preserve">С; </w:t>
      </w:r>
      <w:r>
        <w:rPr>
          <w:rFonts w:ascii="Times New Roman" w:hAnsi="Times New Roman"/>
          <w:sz w:val="28"/>
          <w:szCs w:val="28"/>
          <w:lang w:val="uk-UA"/>
        </w:rPr>
        <w:t>усереднена р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>озрахункова температура внутрішнього повітря оп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>ал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>ювальних будинків tвн. = 18 </w:t>
      </w:r>
      <w:r>
        <w:rPr>
          <w:rFonts w:eastAsia="Times New Roman" w:ascii="Times New Roman" w:hAnsi="Times New Roman"/>
          <w:sz w:val="28"/>
          <w:szCs w:val="28"/>
          <w:vertAlign w:val="superscript"/>
          <w:lang w:val="uk-UA" w:eastAsia="ru-RU"/>
        </w:rPr>
        <w:t>о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 xml:space="preserve">С; </w:t>
      </w:r>
      <w:r>
        <w:rPr>
          <w:rFonts w:ascii="Times New Roman" w:hAnsi="Times New Roman"/>
          <w:sz w:val="28"/>
          <w:szCs w:val="28"/>
          <w:lang w:val="uk-UA"/>
        </w:rPr>
        <w:t>тривалість опалювального періоду з кількістю днів зі стійкою середньою добовою температурою зовнішнього повітря 8</w:t>
      </w:r>
      <w:r>
        <w:rPr>
          <w:rFonts w:eastAsia="Times New Roman" w:ascii="Times New Roman" w:hAnsi="Times New Roman"/>
          <w:sz w:val="28"/>
          <w:szCs w:val="28"/>
          <w:vertAlign w:val="superscript"/>
          <w:lang w:val="uk-UA" w:eastAsia="ru-RU"/>
        </w:rPr>
        <w:t>о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>С</w:t>
      </w:r>
      <w:r>
        <w:rPr>
          <w:rFonts w:ascii="Times New Roman" w:hAnsi="Times New Roman"/>
          <w:sz w:val="28"/>
          <w:szCs w:val="28"/>
          <w:lang w:val="uk-UA"/>
        </w:rPr>
        <w:t xml:space="preserve"> та нижче розрахована по середній тривалості опалювальних періодів останніх 5 років та рівна 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>177 доби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Планування витрат на придбання природного газу для виробництва теплової енергії з метою включення їх до тарифів здійснено виходячи із планованих обсягів природного газу, необхідних для провадження ліцензованої діяльності та згідно з умовами Положення про покладення спеціальних обов’язків на суб’єктів ринку природного газу для забезпечення загальносуспільних інтересів у процесі функціонування ринку природного газу щодо особливостей постачання природного газу виробникам теплової енергії та бюджетним установам, затвердженого постановою КМУ від 19.07.2022 № 812.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/>
          <w:sz w:val="28"/>
          <w:szCs w:val="28"/>
          <w:lang w:val="uk-UA" w:eastAsia="zh-CN"/>
        </w:rPr>
      </w:pPr>
      <w:r>
        <w:rPr>
          <w:rFonts w:eastAsia="Times New Roman" w:ascii="Times New Roman" w:hAnsi="Times New Roman"/>
          <w:sz w:val="28"/>
          <w:szCs w:val="28"/>
          <w:lang w:val="uk-UA" w:eastAsia="zh-CN"/>
        </w:rPr>
        <w:t>Ціни природного газу у встановлених тарифах, у тарифах станом на 24.02.2022 та у проєкті тарифів на 2024–2025 роки на теплову енергію та послуги з постачання теплової енергії та гарячої води не змінились.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Тариф на послуги транспортування природного газу для внутрішньої точки виходу з газотранспортної системи – 124,16 грн без ПДВ, коефіцієнт, який застосовується при замовленні потужності на добу наперед у відповідному періоді на рівні 1,1 умовних одиниць, всього з коефіцієнтом – 136,58 грн за 1000 куб. м залишається без змін. </w:t>
      </w:r>
    </w:p>
    <w:p>
      <w:pPr>
        <w:pStyle w:val="Rvps2"/>
        <w:spacing w:beforeAutospacing="0" w:before="0" w:afterAutospacing="0"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Планування витрат на придбання електричної енергії для технологічних потреб з метою включення їх до тарифів здійснюється виходячи із</w:t>
      </w:r>
      <w:bookmarkStart w:id="1" w:name="n1884"/>
      <w:bookmarkEnd w:id="1"/>
      <w:r>
        <w:rPr>
          <w:sz w:val="28"/>
          <w:szCs w:val="28"/>
          <w:lang w:val="uk-UA"/>
        </w:rPr>
        <w:t xml:space="preserve"> планованих обсягів електричної енергії, необхідних для провадження ліцензованої діяльності та </w:t>
      </w:r>
      <w:bookmarkStart w:id="2" w:name="n1885"/>
      <w:bookmarkEnd w:id="2"/>
      <w:r>
        <w:rPr>
          <w:sz w:val="28"/>
          <w:szCs w:val="28"/>
          <w:lang w:val="uk-UA"/>
        </w:rPr>
        <w:t>середньої ціни електричної енергії, що склалася у ліцензіата за шість календарних місяців</w:t>
      </w:r>
      <w:bookmarkStart w:id="3" w:name="n1886"/>
      <w:bookmarkEnd w:id="3"/>
      <w:r>
        <w:rPr>
          <w:sz w:val="28"/>
          <w:szCs w:val="28"/>
          <w:lang w:val="uk-UA"/>
        </w:rPr>
        <w:t xml:space="preserve">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Порівняння вартості електроенергії та послуги з розподілу електроенергії: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FF0000"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8"/>
          <w:lang w:val="uk-UA"/>
        </w:rPr>
        <w:t>без ПДВ</w:t>
      </w:r>
    </w:p>
    <w:tbl>
      <w:tblPr>
        <w:tblW w:w="952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76"/>
        <w:gridCol w:w="1477"/>
        <w:gridCol w:w="1644"/>
        <w:gridCol w:w="1480"/>
        <w:gridCol w:w="1923"/>
        <w:gridCol w:w="1022"/>
      </w:tblGrid>
      <w:tr>
        <w:trPr>
          <w:trHeight w:val="1620" w:hRule="atLeast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Назва показника</w:t>
            </w:r>
          </w:p>
        </w:tc>
        <w:tc>
          <w:tcPr>
            <w:tcW w:w="14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один.виміру</w:t>
            </w:r>
          </w:p>
        </w:tc>
        <w:tc>
          <w:tcPr>
            <w:tcW w:w="16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ціна у діючих  тарифах станом на 24.02.2022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ціна у діючих тарифах з 01.0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uk-UA" w:eastAsia="ru-RU"/>
              </w:rPr>
              <w:t>5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ціна у проєкті тарифів на опалювальний сезон 2024/2025</w:t>
            </w:r>
          </w:p>
        </w:tc>
        <w:tc>
          <w:tcPr>
            <w:tcW w:w="10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13" w:hanging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індекс зміни</w:t>
            </w:r>
          </w:p>
        </w:tc>
      </w:tr>
      <w:tr>
        <w:trPr>
          <w:trHeight w:val="345" w:hRule="atLeast"/>
        </w:trPr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Електроенергія</w:t>
            </w:r>
          </w:p>
        </w:tc>
        <w:tc>
          <w:tcPr>
            <w:tcW w:w="1477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грн/1 кВт*год</w:t>
            </w:r>
          </w:p>
        </w:tc>
        <w:tc>
          <w:tcPr>
            <w:tcW w:w="1644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2,84858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uk-UA" w:eastAsia="ru-RU"/>
              </w:rPr>
              <w:t>10,01801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uk-UA" w:eastAsia="ru-RU"/>
              </w:rPr>
              <w:t>9,49471</w:t>
            </w:r>
          </w:p>
        </w:tc>
        <w:tc>
          <w:tcPr>
            <w:tcW w:w="1022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uk-UA" w:eastAsia="ru-RU"/>
              </w:rPr>
              <w:t>0,95</w:t>
            </w:r>
          </w:p>
        </w:tc>
      </w:tr>
      <w:tr>
        <w:trPr>
          <w:trHeight w:val="645" w:hRule="atLeast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i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активна електроенергія</w:t>
            </w:r>
          </w:p>
        </w:tc>
        <w:tc>
          <w:tcPr>
            <w:tcW w:w="14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грн/1 кВт*год</w:t>
            </w:r>
          </w:p>
        </w:tc>
        <w:tc>
          <w:tcPr>
            <w:tcW w:w="16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1,82855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uk-UA" w:eastAsia="ru-RU"/>
              </w:rPr>
              <w:t>8,16123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i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eastAsia="Times New Roman" w:ascii="Times New Roman" w:hAnsi="Times New Roman"/>
                <w:iCs/>
                <w:color w:val="000000"/>
                <w:sz w:val="24"/>
                <w:szCs w:val="24"/>
                <w:lang w:val="uk-UA" w:eastAsia="ru-RU"/>
              </w:rPr>
              <w:t>7,77218</w:t>
            </w:r>
          </w:p>
        </w:tc>
        <w:tc>
          <w:tcPr>
            <w:tcW w:w="10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uk-UA" w:eastAsia="ru-RU"/>
              </w:rPr>
              <w:t>0,95</w:t>
            </w:r>
          </w:p>
        </w:tc>
      </w:tr>
      <w:tr>
        <w:trPr>
          <w:trHeight w:val="645" w:hRule="atLeast"/>
        </w:trPr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i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послуга з розподілу електроенергії</w:t>
            </w:r>
          </w:p>
        </w:tc>
        <w:tc>
          <w:tcPr>
            <w:tcW w:w="1477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грн/1 кВт*год</w:t>
            </w:r>
          </w:p>
        </w:tc>
        <w:tc>
          <w:tcPr>
            <w:tcW w:w="1644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1,02003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ru-RU"/>
              </w:rPr>
              <w:t>1,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uk-UA" w:eastAsia="ru-RU"/>
              </w:rPr>
              <w:t>85678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1,72253</w:t>
            </w:r>
          </w:p>
        </w:tc>
        <w:tc>
          <w:tcPr>
            <w:tcW w:w="1022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val="uk-UA" w:eastAsia="ru-RU"/>
              </w:rPr>
              <w:t>0,93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 розрахунку статті «Витрати на електроенергію» враховано витрати на виробництво електроенергії на когенераційних установках.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Матеріали на поточні ремонти основних засобів, задіяних у процесі виробництва, транспортування, постачання теплової енергії, розраховані на основі передбачених планом виконання планово-попереджувальних робіт, проєктно-кошторисною документацією, згідно з кошторисами, які виконані у ліцензованому програмному комплексі АВК – 5 (3.2.2)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Планування витрат на оплату праці здійснено відповідно до п. 4 механізму визначення витрат на оплату праці, які враховуються в тарифах на виробництво, транспортування, постачання теплової енергії, затвердженого постановою НКР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>Е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КП від 18.05.2012 № 181 (зі змінами і доповненнями) в установленому законодавством порядку, із забезпеченням мінімальної заробітної  та інших гарантій з оплати праці. </w:t>
      </w:r>
      <w:r>
        <w:rPr>
          <w:rFonts w:ascii="Times New Roman" w:hAnsi="Times New Roman"/>
          <w:bCs/>
          <w:sz w:val="28"/>
          <w:szCs w:val="28"/>
          <w:lang w:val="uk-UA"/>
        </w:rPr>
        <w:t>Штатний розпис підприємства розрахований з урахуванням прожиткового мінімуму для працездатних осіб  на рівні 3 028 грн, встановлений Законом України «Про Державний бюджет України на 2024 рік »  з 01січня 2024 року.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Розмір щомісячної премії в проєкті тарифів та передбачений в діючому тарифі у розмірі 10 %. Штатна чисельність, врахована у розрахунку фонду оплати праці, становить – 725,65 од. Фонд оплати праці складає 167 763,6 тис. грн. Ріст складає 1,5 %.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Витрати, об’єктивне нормування яких неможливе, були сплановані з урахуванням фактичних витрат за попередній рік.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Інвестиційна програма розроблена, із річного обсягу фінансування в розмірі 69 532,52 тис. грн (без ПДВ), в тому числі: 44 091,63 тис. грн (без ПДВ) – амортизаційні відрахування, 4 120,00 тис. грн (без ПДВ) – виробничі інвестиції з прибутку, 21 320,89 тис. грн (без ПДВ) – інші залучені кошти, які не підлягають поверненню (власні кошти) та погоджена рішенням виконавчого комітету від 16.07.2025 №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 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407-1 «Про погодження Інвестиційної програми Державного комунального підприємства 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“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>Луцьктепло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”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 на період з 01.10.2025 по 30.09.2026».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Найбільший ріст тарифів по умовно-постійній частині відбувся для будинків обладнаних системами автономного теплопостачання, оскільки усі витрати, в т. ч. на інвестиційні заходи, відповідно до вимог постанови КМУ від 01.06.2011 №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 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>869 формуються індивідуально по кожному такому будинку.</w:t>
      </w:r>
    </w:p>
    <w:p>
      <w:pPr>
        <w:pStyle w:val="Normal"/>
        <w:spacing w:lineRule="auto" w:line="240" w:before="0" w:after="0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>У проєкті тарифів на теплову енергію, її виробництво, транспортування та постачання враховані обігові кошти за рахунок планованого прибутку в обсязі 2 відсотки повної планованої собівартості виробництва теплової енергії</w:t>
      </w:r>
      <w:bookmarkStart w:id="4" w:name="n1876"/>
      <w:bookmarkEnd w:id="4"/>
      <w:r>
        <w:rPr>
          <w:rStyle w:val="Rvts0"/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Відповідно до вимог законів України «Про теплопостачання» та «Про житлово-комунальні послуги» тарифи на теплову енергію повинні забезпечувати відшкодування всіх економічно обґрунтованих витрат на виробництво, транспортування та постачання теплової енергії; встановлення тарифів на теплову енергію нижче від розміру економічно обґрунтованих витрат на її виробництво, транспортування та постачання не допускається.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Порівняльна таблиця зміни тарифів додається.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Директор департаменту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економічної політики                                                                       Борис СМАЛЬ</w:t>
      </w:r>
    </w:p>
    <w:sectPr>
      <w:headerReference w:type="default" r:id="rId2"/>
      <w:type w:val="nextPage"/>
      <w:pgSz w:w="11906" w:h="16838"/>
      <w:pgMar w:left="1985" w:right="567" w:gutter="0" w:header="0" w:top="1134" w:footer="0" w:bottom="1134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612134482"/>
    </w:sdtPr>
    <w:sdtContent>
      <w:p>
        <w:pPr>
          <w:pStyle w:val="Style24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4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4"/>
          <w:jc w:val="center"/>
          <w:rPr>
            <w:rFonts w:ascii="Times New Roman" w:hAnsi="Times New Roman"/>
            <w:sz w:val="28"/>
            <w:szCs w:val="28"/>
          </w:rPr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ascii="Times New Roman" w:hAnsi="Times New Roman"/>
          </w:rPr>
          <w:instrText xml:space="preserve"> PAGE </w:instrText>
        </w:r>
        <w:r>
          <w:rPr>
            <w:sz w:val="28"/>
            <w:szCs w:val="28"/>
            <w:rFonts w:ascii="Times New Roman" w:hAnsi="Times New Roman"/>
          </w:rPr>
          <w:fldChar w:fldCharType="separate"/>
        </w:r>
        <w:r>
          <w:rPr>
            <w:sz w:val="28"/>
            <w:szCs w:val="28"/>
            <w:rFonts w:ascii="Times New Roman" w:hAnsi="Times New Roman"/>
          </w:rPr>
          <w:t>4</w:t>
        </w:r>
        <w:r>
          <w:rPr>
            <w:sz w:val="28"/>
            <w:szCs w:val="28"/>
            <w:rFonts w:ascii="Times New Roman" w:hAnsi="Times New Roman"/>
          </w:rPr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d648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basedOn w:val="DefaultParagraphFont"/>
    <w:uiPriority w:val="99"/>
    <w:semiHidden/>
    <w:unhideWhenUsed/>
    <w:rsid w:val="008d6484"/>
    <w:rPr>
      <w:rFonts w:ascii="Times New Roman" w:hAnsi="Times New Roman" w:cs="Times New Roman"/>
      <w:color w:val="0000FF"/>
      <w:u w:val="single"/>
    </w:rPr>
  </w:style>
  <w:style w:type="character" w:styleId="Style15" w:customStyle="1">
    <w:name w:val="Текст у виносці Знак"/>
    <w:basedOn w:val="DefaultParagraphFont"/>
    <w:link w:val="BalloonText"/>
    <w:uiPriority w:val="99"/>
    <w:semiHidden/>
    <w:qFormat/>
    <w:rsid w:val="00004ada"/>
    <w:rPr>
      <w:rFonts w:ascii="Segoe UI" w:hAnsi="Segoe UI" w:eastAsia="Calibri" w:cs="Segoe UI"/>
      <w:sz w:val="18"/>
      <w:szCs w:val="18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387534"/>
    <w:rPr>
      <w:rFonts w:ascii="Calibri" w:hAnsi="Calibri" w:eastAsia="Calibri" w:cs="Times New Roman"/>
    </w:rPr>
  </w:style>
  <w:style w:type="character" w:styleId="Style17" w:customStyle="1">
    <w:name w:val="Нижній колонтитул Знак"/>
    <w:basedOn w:val="DefaultParagraphFont"/>
    <w:uiPriority w:val="99"/>
    <w:qFormat/>
    <w:rsid w:val="00387534"/>
    <w:rPr>
      <w:rFonts w:ascii="Calibri" w:hAnsi="Calibri" w:eastAsia="Calibri" w:cs="Times New Roman"/>
    </w:rPr>
  </w:style>
  <w:style w:type="character" w:styleId="Rvts23" w:customStyle="1">
    <w:name w:val="rvts23"/>
    <w:basedOn w:val="DefaultParagraphFont"/>
    <w:qFormat/>
    <w:rsid w:val="006836c3"/>
    <w:rPr/>
  </w:style>
  <w:style w:type="character" w:styleId="Rvts0" w:customStyle="1">
    <w:name w:val="rvts0"/>
    <w:basedOn w:val="DefaultParagraphFont"/>
    <w:qFormat/>
    <w:rsid w:val="00bc5341"/>
    <w:rPr/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8d6484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004ad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Style16"/>
    <w:uiPriority w:val="99"/>
    <w:unhideWhenUsed/>
    <w:rsid w:val="0038753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Style17"/>
    <w:uiPriority w:val="99"/>
    <w:unhideWhenUsed/>
    <w:rsid w:val="0038753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Rvps2" w:customStyle="1">
    <w:name w:val="rvps2"/>
    <w:basedOn w:val="Normal"/>
    <w:qFormat/>
    <w:rsid w:val="00fa620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NormalWeb">
    <w:name w:val="Normal (Web)"/>
    <w:basedOn w:val="Normal"/>
    <w:qFormat/>
    <w:rsid w:val="00d66f6e"/>
    <w:pPr>
      <w:spacing w:lineRule="auto" w:line="240" w:before="280" w:after="280"/>
    </w:pPr>
    <w:rPr>
      <w:rFonts w:ascii="Times New Roman" w:hAnsi="Times New Roman" w:eastAsia="Times New Roman"/>
      <w:sz w:val="24"/>
      <w:szCs w:val="20"/>
      <w:lang w:eastAsia="zh-CN"/>
    </w:rPr>
  </w:style>
  <w:style w:type="paragraph" w:styleId="NoSpacing">
    <w:name w:val="No Spacing"/>
    <w:uiPriority w:val="1"/>
    <w:qFormat/>
    <w:rsid w:val="00d740c2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6" w:customStyle="1">
    <w:name w:val="Обычный (веб)"/>
    <w:basedOn w:val="Normal"/>
    <w:qFormat/>
    <w:pPr>
      <w:spacing w:before="280" w:after="280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Style27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1869F-5251-4482-9FF1-E9011ED47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4874</TotalTime>
  <Application>LibreOffice/7.3.4.2$Windows_X86_64 LibreOffice_project/728fec16bd5f605073805c3c9e7c4212a0120dc5</Application>
  <AppVersion>15.0000</AppVersion>
  <Pages>4</Pages>
  <Words>1355</Words>
  <Characters>9109</Characters>
  <CharactersWithSpaces>10608</CharactersWithSpaces>
  <Paragraphs>58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2017-10-05T21:08:00Z</dcterms:created>
  <dc:creator>User</dc:creator>
  <dc:description/>
  <dc:language>uk-UA</dc:language>
  <cp:lastModifiedBy/>
  <cp:lastPrinted>2025-08-22T06:36:00Z</cp:lastPrinted>
  <dcterms:modified xsi:type="dcterms:W3CDTF">2025-09-11T15:02:04Z</dcterms:modified>
  <cp:revision>177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