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E971" w14:textId="77777777" w:rsidR="00014790" w:rsidRDefault="00014790">
      <w:pPr>
        <w:pStyle w:val="20"/>
        <w:tabs>
          <w:tab w:val="left" w:pos="810"/>
        </w:tabs>
        <w:spacing w:after="0" w:line="240" w:lineRule="auto"/>
        <w:ind w:left="0"/>
        <w:jc w:val="center"/>
      </w:pPr>
      <w:r>
        <w:rPr>
          <w:b/>
          <w:sz w:val="28"/>
          <w:szCs w:val="28"/>
        </w:rPr>
        <w:t>ЗВІТ</w:t>
      </w:r>
    </w:p>
    <w:p w14:paraId="1439A2C8" w14:textId="77777777" w:rsidR="00E831D7" w:rsidRDefault="00014790">
      <w:pPr>
        <w:pStyle w:val="20"/>
        <w:tabs>
          <w:tab w:val="left" w:pos="0"/>
        </w:tabs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роботу</w:t>
      </w:r>
      <w:r w:rsidR="00E831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Луцьк</w:t>
      </w:r>
      <w:r w:rsidR="00E831D7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спеціалізован</w:t>
      </w:r>
      <w:r w:rsidR="00E831D7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комбінат</w:t>
      </w:r>
      <w:r w:rsidR="00E831D7">
        <w:rPr>
          <w:b/>
          <w:sz w:val="28"/>
          <w:szCs w:val="28"/>
        </w:rPr>
        <w:t>у</w:t>
      </w:r>
    </w:p>
    <w:p w14:paraId="79B58185" w14:textId="09635543" w:rsidR="00014790" w:rsidRDefault="00014790">
      <w:pPr>
        <w:pStyle w:val="20"/>
        <w:tabs>
          <w:tab w:val="left" w:pos="0"/>
        </w:tabs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комунально</w:t>
      </w:r>
      <w:r w:rsidR="00E831D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побутового обслуговування </w:t>
      </w:r>
    </w:p>
    <w:p w14:paraId="4336B3B1" w14:textId="77777777" w:rsidR="00014790" w:rsidRDefault="00014790">
      <w:pPr>
        <w:pStyle w:val="20"/>
        <w:tabs>
          <w:tab w:val="left" w:pos="0"/>
        </w:tabs>
        <w:spacing w:after="0" w:line="240" w:lineRule="auto"/>
        <w:ind w:left="0"/>
        <w:jc w:val="center"/>
        <w:rPr>
          <w:b/>
          <w:sz w:val="28"/>
          <w:szCs w:val="28"/>
        </w:rPr>
      </w:pPr>
    </w:p>
    <w:p w14:paraId="24986831" w14:textId="77777777" w:rsidR="00014790" w:rsidRDefault="00014790">
      <w:pPr>
        <w:pStyle w:val="20"/>
        <w:tabs>
          <w:tab w:val="left" w:pos="810"/>
          <w:tab w:val="left" w:pos="3780"/>
        </w:tabs>
        <w:spacing w:after="0" w:line="240" w:lineRule="auto"/>
        <w:ind w:left="0" w:firstLine="567"/>
        <w:jc w:val="center"/>
        <w:rPr>
          <w:spacing w:val="-13"/>
          <w:sz w:val="28"/>
          <w:szCs w:val="28"/>
        </w:rPr>
      </w:pPr>
      <w:r>
        <w:rPr>
          <w:sz w:val="28"/>
          <w:szCs w:val="28"/>
        </w:rPr>
        <w:t xml:space="preserve">І. Загальна характеристика </w:t>
      </w:r>
      <w:r>
        <w:rPr>
          <w:spacing w:val="-13"/>
          <w:sz w:val="28"/>
          <w:szCs w:val="28"/>
        </w:rPr>
        <w:t>та види діяльності підприємства</w:t>
      </w:r>
    </w:p>
    <w:p w14:paraId="465D1724" w14:textId="77777777" w:rsidR="008237E8" w:rsidRPr="008237E8" w:rsidRDefault="008237E8">
      <w:pPr>
        <w:pStyle w:val="20"/>
        <w:tabs>
          <w:tab w:val="left" w:pos="810"/>
          <w:tab w:val="left" w:pos="3780"/>
        </w:tabs>
        <w:spacing w:after="0" w:line="240" w:lineRule="auto"/>
        <w:ind w:left="0" w:firstLine="567"/>
        <w:jc w:val="center"/>
        <w:rPr>
          <w:sz w:val="16"/>
          <w:szCs w:val="16"/>
        </w:rPr>
      </w:pPr>
    </w:p>
    <w:p w14:paraId="05E1DFF1" w14:textId="0AD044CB" w:rsidR="00014790" w:rsidRDefault="00014790">
      <w:pPr>
        <w:ind w:firstLine="567"/>
        <w:jc w:val="both"/>
      </w:pPr>
      <w:r>
        <w:rPr>
          <w:sz w:val="28"/>
          <w:szCs w:val="28"/>
        </w:rPr>
        <w:t>Луцький спеціалізований комбінат комунально</w:t>
      </w:r>
      <w:r w:rsidR="0015124E">
        <w:rPr>
          <w:sz w:val="28"/>
          <w:szCs w:val="28"/>
        </w:rPr>
        <w:t>-</w:t>
      </w:r>
      <w:r>
        <w:rPr>
          <w:sz w:val="28"/>
          <w:szCs w:val="28"/>
        </w:rPr>
        <w:t>побутового обслуговування діє на підставі Статуту, затвердженого рішенням Луцької міської ради від 27.03.2024 № 57/112 (у новій редакції).</w:t>
      </w:r>
    </w:p>
    <w:p w14:paraId="4558E69C" w14:textId="0A2563D8" w:rsidR="00014790" w:rsidRDefault="00014790" w:rsidP="0015124E">
      <w:pPr>
        <w:pStyle w:val="20"/>
        <w:tabs>
          <w:tab w:val="left" w:pos="810"/>
        </w:tabs>
        <w:spacing w:after="0" w:line="240" w:lineRule="auto"/>
        <w:ind w:left="0" w:firstLine="567"/>
        <w:jc w:val="both"/>
      </w:pPr>
      <w:r>
        <w:rPr>
          <w:sz w:val="28"/>
          <w:szCs w:val="28"/>
        </w:rPr>
        <w:t>Підприємство було засноване в 1955 році як «Похоронне бюро», а у 1977</w:t>
      </w:r>
      <w:r w:rsidR="0015124E">
        <w:rPr>
          <w:sz w:val="28"/>
          <w:szCs w:val="28"/>
        </w:rPr>
        <w:t> </w:t>
      </w:r>
      <w:r>
        <w:rPr>
          <w:sz w:val="28"/>
          <w:szCs w:val="28"/>
        </w:rPr>
        <w:t xml:space="preserve">році перейменоване </w:t>
      </w:r>
      <w:r w:rsidR="0015124E">
        <w:rPr>
          <w:sz w:val="28"/>
          <w:szCs w:val="28"/>
        </w:rPr>
        <w:t>в</w:t>
      </w:r>
      <w:r>
        <w:rPr>
          <w:sz w:val="28"/>
          <w:szCs w:val="28"/>
        </w:rPr>
        <w:t xml:space="preserve"> Луцький спеціалізований комбінат комунально-побутового обслуговування</w:t>
      </w:r>
      <w:r w:rsidR="0015124E">
        <w:rPr>
          <w:sz w:val="28"/>
          <w:szCs w:val="28"/>
        </w:rPr>
        <w:t xml:space="preserve"> (далі </w:t>
      </w:r>
      <w:r w:rsidR="0015124E" w:rsidRPr="0015124E">
        <w:rPr>
          <w:sz w:val="28"/>
          <w:szCs w:val="28"/>
        </w:rPr>
        <w:t xml:space="preserve">– Луцький </w:t>
      </w:r>
      <w:proofErr w:type="spellStart"/>
      <w:r w:rsidR="0015124E" w:rsidRPr="0015124E">
        <w:rPr>
          <w:sz w:val="28"/>
          <w:szCs w:val="28"/>
        </w:rPr>
        <w:t>спецкомбінат</w:t>
      </w:r>
      <w:proofErr w:type="spellEnd"/>
      <w:r w:rsidR="0015124E" w:rsidRPr="0015124E">
        <w:rPr>
          <w:sz w:val="28"/>
          <w:szCs w:val="28"/>
        </w:rPr>
        <w:t xml:space="preserve"> КПО</w:t>
      </w:r>
      <w:r w:rsidR="0015124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E93C223" w14:textId="0785ACE1" w:rsidR="00014790" w:rsidRDefault="00014790">
      <w:pPr>
        <w:ind w:firstLine="567"/>
        <w:jc w:val="both"/>
      </w:pPr>
      <w:r>
        <w:rPr>
          <w:sz w:val="28"/>
          <w:szCs w:val="28"/>
        </w:rPr>
        <w:t xml:space="preserve">Засновником (власником) </w:t>
      </w:r>
      <w:r w:rsidR="0015124E">
        <w:rPr>
          <w:sz w:val="28"/>
          <w:szCs w:val="28"/>
        </w:rPr>
        <w:t>п</w:t>
      </w:r>
      <w:r>
        <w:rPr>
          <w:sz w:val="28"/>
          <w:szCs w:val="28"/>
        </w:rPr>
        <w:t xml:space="preserve">ідприємства є Луцька міська рада. Основними видами діяльності Луцького </w:t>
      </w:r>
      <w:proofErr w:type="spellStart"/>
      <w:r>
        <w:rPr>
          <w:sz w:val="28"/>
          <w:szCs w:val="28"/>
        </w:rPr>
        <w:t>спецкомбінату</w:t>
      </w:r>
      <w:proofErr w:type="spellEnd"/>
      <w:r>
        <w:rPr>
          <w:sz w:val="28"/>
          <w:szCs w:val="28"/>
        </w:rPr>
        <w:t xml:space="preserve"> КПО є: організація поховання померлих і надання ритуальних послуг згідно з договорами</w:t>
      </w:r>
      <w:r w:rsidR="006E4149">
        <w:rPr>
          <w:sz w:val="28"/>
          <w:szCs w:val="28"/>
        </w:rPr>
        <w:t>-</w:t>
      </w:r>
      <w:r>
        <w:rPr>
          <w:sz w:val="28"/>
          <w:szCs w:val="28"/>
        </w:rPr>
        <w:t xml:space="preserve">замовленнями; здійснення реєстрації поховання та перепоховання померлих; видача свідоцтва про поховання; роздрібна та оптова торгівля товарами ритуального призначення та іншими товарами; послуги з перевезення тіл померлих та осіб, що їх супроводжують; виконання робіт з благоустрою місць поховань та прилеглих територій; утримання та благоустрій міських кладовищ, місць поховання згідно із встановленими правилами та санітарними нормами, реєстрація намогильних споруд </w:t>
      </w:r>
      <w:r w:rsidR="006E4149">
        <w:rPr>
          <w:sz w:val="28"/>
          <w:szCs w:val="28"/>
        </w:rPr>
        <w:t>тощо</w:t>
      </w:r>
      <w:r>
        <w:rPr>
          <w:spacing w:val="-4"/>
          <w:sz w:val="28"/>
          <w:szCs w:val="28"/>
        </w:rPr>
        <w:t>.</w:t>
      </w:r>
    </w:p>
    <w:p w14:paraId="058BC642" w14:textId="586D671A" w:rsidR="00014790" w:rsidRDefault="00014790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Тарифну політику</w:t>
      </w:r>
      <w:r w:rsidR="006E41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Луцький </w:t>
      </w:r>
      <w:proofErr w:type="spellStart"/>
      <w:r>
        <w:rPr>
          <w:sz w:val="28"/>
          <w:szCs w:val="28"/>
        </w:rPr>
        <w:t>спецкомбінат</w:t>
      </w:r>
      <w:proofErr w:type="spellEnd"/>
      <w:r>
        <w:rPr>
          <w:sz w:val="28"/>
          <w:szCs w:val="28"/>
        </w:rPr>
        <w:t xml:space="preserve"> КПО формує самостійно. Калькуляції, які розробляються підприємством на </w:t>
      </w:r>
      <w:r>
        <w:rPr>
          <w:color w:val="000000"/>
          <w:sz w:val="28"/>
          <w:szCs w:val="28"/>
        </w:rPr>
        <w:t>ритуальні</w:t>
      </w:r>
      <w:r>
        <w:rPr>
          <w:sz w:val="28"/>
          <w:szCs w:val="28"/>
        </w:rPr>
        <w:t xml:space="preserve"> послуги</w:t>
      </w:r>
      <w:r w:rsidR="006E4149">
        <w:rPr>
          <w:sz w:val="28"/>
          <w:szCs w:val="28"/>
        </w:rPr>
        <w:t>,</w:t>
      </w:r>
      <w:r>
        <w:rPr>
          <w:sz w:val="28"/>
          <w:szCs w:val="28"/>
        </w:rPr>
        <w:t xml:space="preserve"> затверджуються згідно </w:t>
      </w:r>
      <w:r w:rsidR="006E4149">
        <w:rPr>
          <w:sz w:val="28"/>
          <w:szCs w:val="28"/>
        </w:rPr>
        <w:t xml:space="preserve">з </w:t>
      </w:r>
      <w:r>
        <w:rPr>
          <w:sz w:val="28"/>
          <w:szCs w:val="28"/>
        </w:rPr>
        <w:t>обліково</w:t>
      </w:r>
      <w:r w:rsidR="006E4149">
        <w:rPr>
          <w:sz w:val="28"/>
          <w:szCs w:val="28"/>
        </w:rPr>
        <w:t>ю</w:t>
      </w:r>
      <w:r>
        <w:rPr>
          <w:sz w:val="28"/>
          <w:szCs w:val="28"/>
        </w:rPr>
        <w:t xml:space="preserve"> політик</w:t>
      </w:r>
      <w:r w:rsidR="006E4149">
        <w:rPr>
          <w:sz w:val="28"/>
          <w:szCs w:val="28"/>
        </w:rPr>
        <w:t>ою</w:t>
      </w:r>
      <w:r>
        <w:rPr>
          <w:sz w:val="28"/>
          <w:szCs w:val="28"/>
        </w:rPr>
        <w:t xml:space="preserve"> підприємства директором. Калькуляції на послуги з копання могил, за якими </w:t>
      </w:r>
      <w:r w:rsidR="00EB77C1">
        <w:rPr>
          <w:sz w:val="28"/>
          <w:szCs w:val="28"/>
        </w:rPr>
        <w:t xml:space="preserve">Луцький </w:t>
      </w:r>
      <w:proofErr w:type="spellStart"/>
      <w:r w:rsidR="00EB77C1">
        <w:rPr>
          <w:sz w:val="28"/>
          <w:szCs w:val="28"/>
        </w:rPr>
        <w:t>спецкомбінат</w:t>
      </w:r>
      <w:proofErr w:type="spellEnd"/>
      <w:r w:rsidR="00EB77C1">
        <w:rPr>
          <w:sz w:val="28"/>
          <w:szCs w:val="28"/>
        </w:rPr>
        <w:t xml:space="preserve"> КПО </w:t>
      </w:r>
      <w:r>
        <w:rPr>
          <w:sz w:val="28"/>
          <w:szCs w:val="28"/>
        </w:rPr>
        <w:t>визнано монополістом, розраховані згідно</w:t>
      </w:r>
      <w:r w:rsidR="00EB77C1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Єдино</w:t>
      </w:r>
      <w:r w:rsidR="00EB77C1">
        <w:rPr>
          <w:sz w:val="28"/>
          <w:szCs w:val="28"/>
        </w:rPr>
        <w:t>ю</w:t>
      </w:r>
      <w:r>
        <w:rPr>
          <w:sz w:val="28"/>
          <w:szCs w:val="28"/>
        </w:rPr>
        <w:t xml:space="preserve"> методик</w:t>
      </w:r>
      <w:r w:rsidR="00EB77C1">
        <w:rPr>
          <w:sz w:val="28"/>
          <w:szCs w:val="28"/>
        </w:rPr>
        <w:t>ою</w:t>
      </w:r>
      <w:r>
        <w:rPr>
          <w:sz w:val="28"/>
          <w:szCs w:val="28"/>
        </w:rPr>
        <w:t xml:space="preserve"> визначення вартості надання громадянам необхідного мінімального переліку окремих видів послуг та затверджені рішенням виконавчого комітету Луцької міської ради від 12.04.2023 №</w:t>
      </w:r>
      <w:r w:rsidR="009B77E9">
        <w:rPr>
          <w:sz w:val="28"/>
          <w:szCs w:val="28"/>
        </w:rPr>
        <w:t> </w:t>
      </w:r>
      <w:r>
        <w:rPr>
          <w:sz w:val="28"/>
          <w:szCs w:val="28"/>
        </w:rPr>
        <w:t>214-1 «Про вартість ритуальних послуг, що надаються Луцьким спеціалізованим комбінатом комунально-побутового обслуговування». Рентабельність на вищезазначені послуги у калькуляції не перевищує 5 %. Свою цінову політику підприємство формує для замовників із різними фінансовими можливостями. Мінімальна вартість проведення поховання становить 5 950,0 грн (труна </w:t>
      </w: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2 400,0 грн, катафалк  –1 830,0 грн, могила – 970,0 грн та хрест із табличкою – 750,0 грн).</w:t>
      </w:r>
      <w:r w:rsidRPr="002D5505">
        <w:rPr>
          <w:sz w:val="28"/>
          <w:szCs w:val="28"/>
          <w:lang w:val="ru-RU"/>
        </w:rPr>
        <w:t xml:space="preserve"> </w:t>
      </w:r>
    </w:p>
    <w:p w14:paraId="5E418A19" w14:textId="77777777" w:rsidR="00014790" w:rsidRDefault="00014790">
      <w:pPr>
        <w:ind w:firstLine="567"/>
        <w:jc w:val="both"/>
        <w:rPr>
          <w:lang w:val="en-US"/>
        </w:rPr>
      </w:pPr>
    </w:p>
    <w:p w14:paraId="61CC01FF" w14:textId="77777777" w:rsidR="00014790" w:rsidRDefault="00014790">
      <w:pPr>
        <w:spacing w:after="113"/>
        <w:jc w:val="center"/>
      </w:pPr>
      <w:r>
        <w:rPr>
          <w:sz w:val="28"/>
          <w:szCs w:val="28"/>
        </w:rPr>
        <w:t>ІІ. Фінансова діяльність підприємства</w:t>
      </w:r>
    </w:p>
    <w:p w14:paraId="6A758227" w14:textId="77777777" w:rsidR="00014790" w:rsidRDefault="00014790">
      <w:pPr>
        <w:jc w:val="center"/>
      </w:pPr>
      <w:r>
        <w:rPr>
          <w:sz w:val="28"/>
          <w:szCs w:val="28"/>
        </w:rPr>
        <w:t>Структура доходів підприємства</w:t>
      </w:r>
    </w:p>
    <w:p w14:paraId="390F0F4D" w14:textId="77777777" w:rsidR="00014790" w:rsidRDefault="00014790">
      <w:pPr>
        <w:ind w:firstLine="567"/>
        <w:jc w:val="right"/>
      </w:pPr>
      <w:r>
        <w:t>тис. грн</w:t>
      </w:r>
    </w:p>
    <w:tbl>
      <w:tblPr>
        <w:tblW w:w="9345" w:type="dxa"/>
        <w:tblInd w:w="223" w:type="dxa"/>
        <w:tblLayout w:type="fixed"/>
        <w:tblLook w:val="0000" w:firstRow="0" w:lastRow="0" w:firstColumn="0" w:lastColumn="0" w:noHBand="0" w:noVBand="0"/>
      </w:tblPr>
      <w:tblGrid>
        <w:gridCol w:w="6165"/>
        <w:gridCol w:w="1602"/>
        <w:gridCol w:w="1578"/>
      </w:tblGrid>
      <w:tr w:rsidR="00014790" w14:paraId="19A40921" w14:textId="77777777">
        <w:trPr>
          <w:trHeight w:val="534"/>
        </w:trPr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ABD7D" w14:textId="77777777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A0721" w14:textId="77777777" w:rsidR="009B77E9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міс. </w:t>
            </w:r>
          </w:p>
          <w:p w14:paraId="29D426F3" w14:textId="1E848168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9B77E9">
              <w:rPr>
                <w:sz w:val="28"/>
                <w:szCs w:val="28"/>
              </w:rPr>
              <w:t xml:space="preserve"> р</w:t>
            </w:r>
            <w:r w:rsidR="00975129">
              <w:rPr>
                <w:sz w:val="28"/>
                <w:szCs w:val="28"/>
              </w:rPr>
              <w:t>оку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D9875" w14:textId="77777777" w:rsidR="009B77E9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міс.</w:t>
            </w:r>
          </w:p>
          <w:p w14:paraId="4AE6F724" w14:textId="4F5B6DD5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9B77E9">
              <w:rPr>
                <w:sz w:val="28"/>
                <w:szCs w:val="28"/>
              </w:rPr>
              <w:t xml:space="preserve"> р</w:t>
            </w:r>
            <w:r w:rsidR="00975129">
              <w:rPr>
                <w:sz w:val="28"/>
                <w:szCs w:val="28"/>
              </w:rPr>
              <w:t>оку</w:t>
            </w:r>
          </w:p>
        </w:tc>
      </w:tr>
      <w:tr w:rsidR="00014790" w14:paraId="052BAC77" w14:textId="77777777">
        <w:trPr>
          <w:trHeight w:hRule="exact" w:val="350"/>
        </w:trPr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F03CA" w14:textId="77777777" w:rsidR="00014790" w:rsidRDefault="00014790">
            <w:pPr>
              <w:widowControl w:val="0"/>
            </w:pPr>
            <w:r>
              <w:rPr>
                <w:sz w:val="28"/>
                <w:szCs w:val="28"/>
              </w:rPr>
              <w:t>Надання ритуальних послуг для фізичних осіб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3D32" w14:textId="77777777" w:rsidR="00014790" w:rsidRDefault="0001479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4 570,0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54E5B" w14:textId="77777777" w:rsidR="00014790" w:rsidRDefault="0001479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4 316,0</w:t>
            </w:r>
          </w:p>
        </w:tc>
      </w:tr>
      <w:tr w:rsidR="00014790" w14:paraId="1266722E" w14:textId="77777777" w:rsidTr="009B77E9">
        <w:trPr>
          <w:trHeight w:val="484"/>
        </w:trPr>
        <w:tc>
          <w:tcPr>
            <w:tcW w:w="61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83F591" w14:textId="77777777" w:rsidR="00014790" w:rsidRDefault="00014790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ритуальних послуг для юридичних осіб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70BF8D" w14:textId="77777777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1 237,0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715213" w14:textId="77777777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1 866,0</w:t>
            </w:r>
          </w:p>
        </w:tc>
      </w:tr>
      <w:tr w:rsidR="00014790" w14:paraId="50ACFEF7" w14:textId="77777777" w:rsidTr="009B77E9">
        <w:trPr>
          <w:trHeight w:hRule="exact" w:val="1177"/>
        </w:trPr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08ED" w14:textId="77777777" w:rsidR="00014790" w:rsidRDefault="00014790">
            <w:pPr>
              <w:rPr>
                <w:i/>
                <w:color w:val="000000"/>
                <w:sz w:val="1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Фінансування робіт з бюджету міста</w:t>
            </w:r>
            <w:r>
              <w:rPr>
                <w:i/>
                <w:color w:val="000000"/>
                <w:sz w:val="28"/>
                <w:szCs w:val="28"/>
              </w:rPr>
              <w:t>:</w:t>
            </w:r>
          </w:p>
          <w:p w14:paraId="7D5E7177" w14:textId="77777777" w:rsidR="00014790" w:rsidRDefault="00014790">
            <w:pPr>
              <w:widowControl w:val="0"/>
            </w:pPr>
            <w:r>
              <w:rPr>
                <w:sz w:val="28"/>
                <w:szCs w:val="28"/>
              </w:rPr>
              <w:t>поховання одиноких громадян, поточний ремонт огорожі на кладовищі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EEB9" w14:textId="77777777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F8DE" w14:textId="77777777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</w:t>
            </w:r>
          </w:p>
        </w:tc>
      </w:tr>
      <w:tr w:rsidR="00014790" w14:paraId="03ABADE9" w14:textId="77777777" w:rsidTr="009B77E9">
        <w:trPr>
          <w:trHeight w:val="534"/>
        </w:trPr>
        <w:tc>
          <w:tcPr>
            <w:tcW w:w="6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2AEB" w14:textId="2E4746ED" w:rsidR="00014790" w:rsidRDefault="0001479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Цільове</w:t>
            </w:r>
            <w:r>
              <w:rPr>
                <w:iCs/>
                <w:sz w:val="28"/>
                <w:szCs w:val="28"/>
              </w:rPr>
              <w:t xml:space="preserve"> фінансування з бюджету міста згідно </w:t>
            </w:r>
            <w:r w:rsidR="009B77E9">
              <w:rPr>
                <w:iCs/>
                <w:sz w:val="28"/>
                <w:szCs w:val="28"/>
              </w:rPr>
              <w:t xml:space="preserve">з </w:t>
            </w:r>
            <w:r>
              <w:rPr>
                <w:iCs/>
                <w:sz w:val="28"/>
                <w:szCs w:val="28"/>
              </w:rPr>
              <w:t>Програм</w:t>
            </w:r>
            <w:r w:rsidR="009B77E9">
              <w:rPr>
                <w:iCs/>
                <w:sz w:val="28"/>
                <w:szCs w:val="28"/>
              </w:rPr>
              <w:t>ою</w:t>
            </w: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підтримки </w:t>
            </w:r>
            <w:r w:rsidR="009B77E9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омунального підприємства </w:t>
            </w:r>
            <w:r w:rsidR="009B77E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Луцький спеціалізований комбінат комунально-побутового обслуговування</w:t>
            </w:r>
            <w:r w:rsidR="009B77E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на 2021</w:t>
            </w:r>
            <w:r w:rsidR="009B77E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2025 роки (утримання кладовищ і меморіальних комплексів, ч</w:t>
            </w:r>
            <w:r>
              <w:rPr>
                <w:color w:val="000000"/>
                <w:sz w:val="28"/>
                <w:szCs w:val="28"/>
              </w:rPr>
              <w:t>ергування авто катафалка, знесення дерев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3409" w14:textId="77777777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5 244,0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4616" w14:textId="77777777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5 585,0</w:t>
            </w:r>
          </w:p>
        </w:tc>
      </w:tr>
      <w:tr w:rsidR="00014790" w14:paraId="0AF986F3" w14:textId="77777777">
        <w:trPr>
          <w:trHeight w:val="414"/>
        </w:trPr>
        <w:tc>
          <w:tcPr>
            <w:tcW w:w="6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B771E" w14:textId="77777777" w:rsidR="00014790" w:rsidRDefault="00014790">
            <w:pPr>
              <w:widowContro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Дохід від здачі приміщення в оренду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B1EF" w14:textId="77777777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F75D" w14:textId="77777777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154,0</w:t>
            </w:r>
          </w:p>
        </w:tc>
      </w:tr>
      <w:tr w:rsidR="00014790" w14:paraId="2BE009C3" w14:textId="77777777">
        <w:trPr>
          <w:trHeight w:hRule="exact" w:val="826"/>
        </w:trPr>
        <w:tc>
          <w:tcPr>
            <w:tcW w:w="6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ADBCA" w14:textId="77777777" w:rsidR="00014790" w:rsidRDefault="00014790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Дохід на суму амортизації від безкоштовно отриманих основних засобів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A11D" w14:textId="77777777" w:rsidR="00014790" w:rsidRDefault="0001479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211,0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8903" w14:textId="77777777" w:rsidR="00014790" w:rsidRDefault="0001479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246,0</w:t>
            </w:r>
          </w:p>
        </w:tc>
      </w:tr>
      <w:tr w:rsidR="00014790" w14:paraId="4BBE00C8" w14:textId="77777777">
        <w:trPr>
          <w:trHeight w:hRule="exact" w:val="454"/>
        </w:trPr>
        <w:tc>
          <w:tcPr>
            <w:tcW w:w="6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3573B" w14:textId="77777777" w:rsidR="00014790" w:rsidRDefault="00014790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Дохід від здачі металобрухту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40A9" w14:textId="77777777" w:rsidR="00014790" w:rsidRDefault="0001479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5F26" w14:textId="77777777" w:rsidR="00014790" w:rsidRPr="00EF6E3E" w:rsidRDefault="00014790">
            <w:pPr>
              <w:widowControl w:val="0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  <w:tr w:rsidR="00014790" w14:paraId="43470324" w14:textId="77777777">
        <w:trPr>
          <w:trHeight w:hRule="exact" w:val="420"/>
        </w:trPr>
        <w:tc>
          <w:tcPr>
            <w:tcW w:w="6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D98A" w14:textId="77777777" w:rsidR="00014790" w:rsidRDefault="00014790">
            <w:pPr>
              <w:widowControl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57A8" w14:textId="77777777" w:rsidR="00014790" w:rsidRDefault="0001479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11 486,0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7750" w14:textId="77777777" w:rsidR="00014790" w:rsidRDefault="0001479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12 290,0</w:t>
            </w:r>
          </w:p>
        </w:tc>
      </w:tr>
    </w:tbl>
    <w:p w14:paraId="16505612" w14:textId="77777777" w:rsidR="00014790" w:rsidRDefault="00014790">
      <w:pPr>
        <w:ind w:firstLine="567"/>
        <w:jc w:val="both"/>
        <w:rPr>
          <w:sz w:val="28"/>
          <w:szCs w:val="28"/>
        </w:rPr>
      </w:pPr>
    </w:p>
    <w:p w14:paraId="2302A9C9" w14:textId="77777777" w:rsidR="00014790" w:rsidRDefault="00014790">
      <w:pPr>
        <w:ind w:firstLine="567"/>
        <w:jc w:val="both"/>
      </w:pPr>
      <w:r>
        <w:rPr>
          <w:sz w:val="28"/>
          <w:szCs w:val="28"/>
        </w:rPr>
        <w:t xml:space="preserve">Класифікація витрат на підприємстві проводиться відповідно до нормативно-правових актів, що діють на підприємствах комунального господарства. </w:t>
      </w:r>
    </w:p>
    <w:p w14:paraId="3838552B" w14:textId="77777777" w:rsidR="00014790" w:rsidRDefault="00014790">
      <w:pPr>
        <w:spacing w:after="113"/>
        <w:jc w:val="center"/>
      </w:pPr>
      <w:r>
        <w:rPr>
          <w:sz w:val="28"/>
          <w:szCs w:val="28"/>
        </w:rPr>
        <w:t xml:space="preserve">Структура операційних витрат  </w:t>
      </w:r>
    </w:p>
    <w:p w14:paraId="64282198" w14:textId="77777777" w:rsidR="00014790" w:rsidRDefault="00014790">
      <w:pPr>
        <w:jc w:val="right"/>
      </w:pPr>
      <w:r>
        <w:t>тис. грн</w:t>
      </w:r>
    </w:p>
    <w:tbl>
      <w:tblPr>
        <w:tblW w:w="9360" w:type="dxa"/>
        <w:tblInd w:w="223" w:type="dxa"/>
        <w:tblLayout w:type="fixed"/>
        <w:tblLook w:val="0000" w:firstRow="0" w:lastRow="0" w:firstColumn="0" w:lastColumn="0" w:noHBand="0" w:noVBand="0"/>
      </w:tblPr>
      <w:tblGrid>
        <w:gridCol w:w="3900"/>
        <w:gridCol w:w="1540"/>
        <w:gridCol w:w="1310"/>
        <w:gridCol w:w="1305"/>
        <w:gridCol w:w="1305"/>
      </w:tblGrid>
      <w:tr w:rsidR="00014790" w14:paraId="27AA1888" w14:textId="77777777">
        <w:trPr>
          <w:trHeight w:val="315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DAF4A" w14:textId="77777777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витрат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A9961" w14:textId="733F3921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міс. 2024</w:t>
            </w:r>
            <w:r w:rsidR="00975129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ADC80" w14:textId="211631E4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міс. 2025</w:t>
            </w:r>
            <w:r w:rsidR="00975129">
              <w:rPr>
                <w:sz w:val="28"/>
                <w:szCs w:val="28"/>
              </w:rPr>
              <w:t xml:space="preserve"> року</w:t>
            </w:r>
          </w:p>
        </w:tc>
      </w:tr>
      <w:tr w:rsidR="00014790" w14:paraId="338DFD53" w14:textId="77777777">
        <w:trPr>
          <w:trHeight w:val="637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BE0F6" w14:textId="77777777" w:rsidR="00014790" w:rsidRDefault="00014790">
            <w:pPr>
              <w:widowControl w:val="0"/>
              <w:snapToGrid w:val="0"/>
              <w:ind w:firstLine="108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2291E" w14:textId="77777777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01F04" w14:textId="77777777" w:rsidR="00014790" w:rsidRDefault="00014790">
            <w:pPr>
              <w:widowControl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Питома вага, 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2C25C" w14:textId="77777777" w:rsidR="00014790" w:rsidRDefault="00014790">
            <w:pPr>
              <w:widowControl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70F2D" w14:textId="77777777" w:rsidR="00014790" w:rsidRDefault="00014790">
            <w:pPr>
              <w:widowControl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Питома вага, %</w:t>
            </w:r>
          </w:p>
        </w:tc>
      </w:tr>
      <w:tr w:rsidR="00014790" w14:paraId="3BBA435C" w14:textId="77777777">
        <w:trPr>
          <w:trHeight w:hRule="exact" w:val="401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C3A08" w14:textId="77777777" w:rsidR="00014790" w:rsidRDefault="00014790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матеріальні витрати: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3FCA" w14:textId="77777777" w:rsidR="00014790" w:rsidRDefault="0001479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2 817,0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FE06" w14:textId="77777777" w:rsidR="00014790" w:rsidRDefault="0001479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24,5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1DA0" w14:textId="77777777" w:rsidR="00014790" w:rsidRDefault="0001479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3 210,0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36C0" w14:textId="77777777" w:rsidR="00014790" w:rsidRDefault="0001479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26,0</w:t>
            </w:r>
          </w:p>
        </w:tc>
      </w:tr>
      <w:tr w:rsidR="00014790" w14:paraId="3257285E" w14:textId="77777777">
        <w:trPr>
          <w:trHeight w:val="394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6F191" w14:textId="77777777" w:rsidR="00014790" w:rsidRDefault="00014790">
            <w:pPr>
              <w:widowContro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сировина і основні матеріали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3D03" w14:textId="77777777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1 802,0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8750" w14:textId="77777777" w:rsidR="00014790" w:rsidRDefault="00014790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DF20" w14:textId="77777777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2 159,0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D160" w14:textId="77777777" w:rsidR="00014790" w:rsidRDefault="00014790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14790" w14:paraId="40D84856" w14:textId="77777777">
        <w:trPr>
          <w:trHeight w:val="284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657B" w14:textId="77777777" w:rsidR="00014790" w:rsidRDefault="00014790">
            <w:pPr>
              <w:widowContro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паливно-мастильні матеріали та електроенергія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5F687" w14:textId="77777777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1 015,0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6087" w14:textId="77777777" w:rsidR="00014790" w:rsidRDefault="00014790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D976" w14:textId="77777777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1 051,0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1431C" w14:textId="77777777" w:rsidR="00014790" w:rsidRDefault="00014790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14790" w14:paraId="7D1AEC8C" w14:textId="77777777">
        <w:trPr>
          <w:trHeight w:hRule="exact" w:val="454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BE9CD" w14:textId="77777777" w:rsidR="00014790" w:rsidRDefault="00014790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витрати на оплату праці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4028" w14:textId="77777777" w:rsidR="00014790" w:rsidRDefault="0001479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6 503,0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FA79" w14:textId="77777777" w:rsidR="00014790" w:rsidRDefault="0001479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D9CA" w14:textId="77777777" w:rsidR="00014790" w:rsidRDefault="0001479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6 920,0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AC817" w14:textId="77777777" w:rsidR="00014790" w:rsidRDefault="0001479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56,0</w:t>
            </w:r>
          </w:p>
        </w:tc>
      </w:tr>
      <w:tr w:rsidR="00014790" w14:paraId="7592F15F" w14:textId="77777777">
        <w:trPr>
          <w:trHeight w:hRule="exact" w:val="776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1C108" w14:textId="77777777" w:rsidR="00014790" w:rsidRDefault="00014790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8"/>
                <w:szCs w:val="28"/>
              </w:rPr>
              <w:t>Відрахування на соціальні заходи</w:t>
            </w:r>
            <w:r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0149" w14:textId="77777777" w:rsidR="00014790" w:rsidRDefault="0001479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1 376,0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1BE6" w14:textId="77777777" w:rsidR="00014790" w:rsidRDefault="0001479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F9E1" w14:textId="77777777" w:rsidR="00014790" w:rsidRDefault="0001479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1 481,0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16D6" w14:textId="77777777" w:rsidR="00014790" w:rsidRDefault="0001479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12,0</w:t>
            </w:r>
          </w:p>
        </w:tc>
      </w:tr>
      <w:tr w:rsidR="00014790" w14:paraId="290DA699" w14:textId="77777777">
        <w:trPr>
          <w:trHeight w:hRule="exact" w:val="454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2BD5A" w14:textId="77777777" w:rsidR="00014790" w:rsidRDefault="00014790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F8A5" w14:textId="77777777" w:rsidR="00014790" w:rsidRDefault="0001479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498,0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8857" w14:textId="77777777" w:rsidR="00014790" w:rsidRDefault="0001479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6,0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4680" w14:textId="77777777" w:rsidR="00014790" w:rsidRDefault="0001479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409,0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6EA0" w14:textId="77777777" w:rsidR="00014790" w:rsidRDefault="0001479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014790" w14:paraId="35552877" w14:textId="77777777">
        <w:trPr>
          <w:trHeight w:hRule="exact" w:val="454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D1773" w14:textId="77777777" w:rsidR="00014790" w:rsidRDefault="00014790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інші витрати: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3E69" w14:textId="77777777" w:rsidR="00014790" w:rsidRDefault="0001479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281,0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45B8" w14:textId="77777777" w:rsidR="00014790" w:rsidRDefault="0001479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7C2F" w14:textId="77777777" w:rsidR="00014790" w:rsidRDefault="0001479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267,0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F6D4" w14:textId="77777777" w:rsidR="00014790" w:rsidRDefault="0001479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2,0</w:t>
            </w:r>
          </w:p>
        </w:tc>
      </w:tr>
      <w:tr w:rsidR="00014790" w14:paraId="69EBC66F" w14:textId="77777777">
        <w:trPr>
          <w:trHeight w:hRule="exact" w:val="454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E240A" w14:textId="77777777" w:rsidR="00014790" w:rsidRDefault="00014790">
            <w:pPr>
              <w:widowContro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податки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6010" w14:textId="77777777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03C7" w14:textId="77777777" w:rsidR="00014790" w:rsidRDefault="00014790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CB74" w14:textId="77777777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D2AB" w14:textId="77777777" w:rsidR="00014790" w:rsidRDefault="00014790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14790" w14:paraId="1A2E0CA5" w14:textId="77777777">
        <w:trPr>
          <w:trHeight w:hRule="exact" w:val="694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78C7" w14:textId="77777777" w:rsidR="00014790" w:rsidRDefault="00014790">
            <w:pPr>
              <w:widowContro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послуги сторонніх організацій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25B6" w14:textId="77777777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239,0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9287" w14:textId="77777777" w:rsidR="00014790" w:rsidRDefault="00014790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35F6" w14:textId="77777777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EDF0" w14:textId="77777777" w:rsidR="00014790" w:rsidRDefault="00014790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14790" w14:paraId="19F09D33" w14:textId="77777777">
        <w:trPr>
          <w:trHeight w:hRule="exact" w:val="543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E48A" w14:textId="77777777" w:rsidR="00014790" w:rsidRDefault="00014790">
            <w:pPr>
              <w:widowControl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70BB" w14:textId="77777777" w:rsidR="00014790" w:rsidRDefault="00014790">
            <w:pPr>
              <w:widowControl w:val="0"/>
              <w:ind w:lef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11 475,0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6D4E" w14:textId="77777777" w:rsidR="00014790" w:rsidRDefault="0001479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2C17" w14:textId="77777777" w:rsidR="00014790" w:rsidRDefault="00014790">
            <w:pPr>
              <w:widowControl w:val="0"/>
              <w:ind w:lef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12 287,0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57A1" w14:textId="77777777" w:rsidR="00014790" w:rsidRDefault="0001479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100,0</w:t>
            </w:r>
          </w:p>
        </w:tc>
      </w:tr>
    </w:tbl>
    <w:p w14:paraId="3ECB5B9C" w14:textId="77777777" w:rsidR="00014790" w:rsidRDefault="00014790">
      <w:pPr>
        <w:rPr>
          <w:vanish/>
        </w:rPr>
      </w:pPr>
    </w:p>
    <w:p w14:paraId="1A863E59" w14:textId="77777777" w:rsidR="00014790" w:rsidRDefault="00014790">
      <w:pPr>
        <w:jc w:val="center"/>
        <w:rPr>
          <w:sz w:val="28"/>
          <w:szCs w:val="28"/>
        </w:rPr>
      </w:pPr>
    </w:p>
    <w:p w14:paraId="2B12AB88" w14:textId="59127F8A" w:rsidR="00014790" w:rsidRDefault="00014790">
      <w:pPr>
        <w:ind w:firstLine="567"/>
        <w:jc w:val="both"/>
      </w:pPr>
      <w:r>
        <w:rPr>
          <w:sz w:val="28"/>
          <w:szCs w:val="28"/>
        </w:rPr>
        <w:lastRenderedPageBreak/>
        <w:t>Прибуток від діяльності Луцьк</w:t>
      </w:r>
      <w:r w:rsidR="00975129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спецкомбінат</w:t>
      </w:r>
      <w:r w:rsidR="00975129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КПО за 6 міс. 2024</w:t>
      </w:r>
      <w:r w:rsidR="00975129">
        <w:rPr>
          <w:sz w:val="28"/>
          <w:szCs w:val="28"/>
        </w:rPr>
        <w:t> року</w:t>
      </w:r>
      <w:r>
        <w:rPr>
          <w:sz w:val="28"/>
          <w:szCs w:val="28"/>
        </w:rPr>
        <w:t> – 11,0 тис. грн, за 6 міс. 2025 </w:t>
      </w:r>
      <w:r w:rsidR="00975129">
        <w:rPr>
          <w:sz w:val="28"/>
          <w:szCs w:val="28"/>
        </w:rPr>
        <w:t xml:space="preserve">року </w:t>
      </w:r>
      <w:r>
        <w:rPr>
          <w:sz w:val="28"/>
          <w:szCs w:val="28"/>
        </w:rPr>
        <w:t>– 3,0 тис. грн.</w:t>
      </w:r>
    </w:p>
    <w:p w14:paraId="064B5A06" w14:textId="77777777" w:rsidR="00014790" w:rsidRDefault="00014790">
      <w:pPr>
        <w:spacing w:after="113"/>
        <w:jc w:val="center"/>
        <w:rPr>
          <w:sz w:val="28"/>
          <w:szCs w:val="28"/>
        </w:rPr>
      </w:pPr>
    </w:p>
    <w:p w14:paraId="13C954F3" w14:textId="77777777" w:rsidR="00014790" w:rsidRDefault="00014790">
      <w:pPr>
        <w:spacing w:after="113"/>
        <w:jc w:val="center"/>
      </w:pPr>
      <w:r>
        <w:rPr>
          <w:sz w:val="28"/>
          <w:szCs w:val="28"/>
        </w:rPr>
        <w:t>Сплата податків та обов’язкових платежів</w:t>
      </w:r>
    </w:p>
    <w:p w14:paraId="2DCCADAB" w14:textId="77777777" w:rsidR="00014790" w:rsidRDefault="00014790">
      <w:pPr>
        <w:jc w:val="right"/>
      </w:pPr>
      <w:r>
        <w:t>тис. грн</w:t>
      </w:r>
    </w:p>
    <w:tbl>
      <w:tblPr>
        <w:tblW w:w="9360" w:type="dxa"/>
        <w:tblInd w:w="202" w:type="dxa"/>
        <w:tblLayout w:type="fixed"/>
        <w:tblCellMar>
          <w:right w:w="0" w:type="dxa"/>
        </w:tblCellMar>
        <w:tblLook w:val="0000" w:firstRow="0" w:lastRow="0" w:firstColumn="0" w:lastColumn="0" w:noHBand="0" w:noVBand="0"/>
      </w:tblPr>
      <w:tblGrid>
        <w:gridCol w:w="5979"/>
        <w:gridCol w:w="1715"/>
        <w:gridCol w:w="1666"/>
      </w:tblGrid>
      <w:tr w:rsidR="00014790" w14:paraId="27FEC7F0" w14:textId="77777777" w:rsidTr="00975129">
        <w:trPr>
          <w:trHeight w:hRule="exact" w:val="770"/>
        </w:trPr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F4639" w14:textId="77777777" w:rsidR="00014790" w:rsidRDefault="00014790">
            <w:pPr>
              <w:pStyle w:val="5"/>
              <w:widowControl w:val="0"/>
              <w:numPr>
                <w:ilvl w:val="4"/>
                <w:numId w:val="2"/>
              </w:numPr>
              <w:tabs>
                <w:tab w:val="left" w:pos="2940"/>
              </w:tabs>
              <w:ind w:firstLine="1080"/>
              <w:jc w:val="left"/>
            </w:pPr>
            <w:r>
              <w:t>Показники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4889A" w14:textId="5F6B00CB" w:rsidR="00014790" w:rsidRDefault="000147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міс. 2024</w:t>
            </w:r>
            <w:r w:rsidR="00975129">
              <w:rPr>
                <w:sz w:val="28"/>
                <w:szCs w:val="28"/>
              </w:rPr>
              <w:t> року</w:t>
            </w:r>
          </w:p>
          <w:p w14:paraId="50A5CF06" w14:textId="25308367" w:rsidR="00975129" w:rsidRDefault="0097512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FC9D" w14:textId="508C781F" w:rsidR="00975129" w:rsidRDefault="00014790" w:rsidP="0097512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міс. 2025</w:t>
            </w:r>
            <w:r w:rsidR="00975129">
              <w:rPr>
                <w:sz w:val="28"/>
                <w:szCs w:val="28"/>
              </w:rPr>
              <w:t> року</w:t>
            </w:r>
          </w:p>
        </w:tc>
      </w:tr>
      <w:tr w:rsidR="00014790" w14:paraId="210310A9" w14:textId="77777777">
        <w:trPr>
          <w:trHeight w:hRule="exact" w:val="374"/>
        </w:trPr>
        <w:tc>
          <w:tcPr>
            <w:tcW w:w="5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48FECD" w14:textId="77777777" w:rsidR="00014790" w:rsidRDefault="0001479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Податок на прибуток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63FCA7" w14:textId="77777777" w:rsidR="00014790" w:rsidRDefault="00014790">
            <w:pPr>
              <w:widowControl w:val="0"/>
              <w:ind w:hanging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8,0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6803" w14:textId="77777777" w:rsidR="00014790" w:rsidRDefault="00014790">
            <w:pPr>
              <w:widowControl w:val="0"/>
              <w:ind w:hanging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24,0</w:t>
            </w:r>
          </w:p>
        </w:tc>
      </w:tr>
      <w:tr w:rsidR="00014790" w14:paraId="3C3432F8" w14:textId="77777777">
        <w:trPr>
          <w:trHeight w:hRule="exact" w:val="333"/>
        </w:trPr>
        <w:tc>
          <w:tcPr>
            <w:tcW w:w="5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A2E782" w14:textId="77777777" w:rsidR="00014790" w:rsidRDefault="0001479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ПДВ, що підлягає сплаті до бюджету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981DF9" w14:textId="77777777" w:rsidR="00014790" w:rsidRDefault="00014790">
            <w:pPr>
              <w:widowControl w:val="0"/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B8B2" w14:textId="77777777" w:rsidR="00014790" w:rsidRDefault="00014790">
            <w:pPr>
              <w:widowControl w:val="0"/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</w:tr>
      <w:tr w:rsidR="00014790" w14:paraId="76B293A0" w14:textId="77777777">
        <w:trPr>
          <w:trHeight w:hRule="exact" w:val="376"/>
        </w:trPr>
        <w:tc>
          <w:tcPr>
            <w:tcW w:w="5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9437AD" w14:textId="77777777" w:rsidR="00014790" w:rsidRDefault="0001479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єдиний соціальний внесок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28AAB0" w14:textId="77777777" w:rsidR="00014790" w:rsidRDefault="00014790">
            <w:pPr>
              <w:widowControl w:val="0"/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1 355,0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D650" w14:textId="77777777" w:rsidR="00014790" w:rsidRDefault="00014790">
            <w:pPr>
              <w:widowControl w:val="0"/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1 399,0</w:t>
            </w:r>
          </w:p>
        </w:tc>
      </w:tr>
      <w:tr w:rsidR="00014790" w14:paraId="1800ECE8" w14:textId="77777777">
        <w:trPr>
          <w:trHeight w:hRule="exact" w:val="372"/>
        </w:trPr>
        <w:tc>
          <w:tcPr>
            <w:tcW w:w="5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D655CA" w14:textId="77777777" w:rsidR="00014790" w:rsidRDefault="0001479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земельний податок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A5F92E" w14:textId="77777777" w:rsidR="00014790" w:rsidRDefault="00014790">
            <w:pPr>
              <w:widowControl w:val="0"/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288A" w14:textId="77777777" w:rsidR="00014790" w:rsidRDefault="00014790">
            <w:pPr>
              <w:widowControl w:val="0"/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</w:t>
            </w:r>
          </w:p>
        </w:tc>
      </w:tr>
      <w:tr w:rsidR="00014790" w14:paraId="1AA6CBBB" w14:textId="77777777">
        <w:trPr>
          <w:trHeight w:hRule="exact" w:val="433"/>
        </w:trPr>
        <w:tc>
          <w:tcPr>
            <w:tcW w:w="5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8D51A7" w14:textId="77777777" w:rsidR="00014790" w:rsidRDefault="0001479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оренда комунальної власності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826E8D" w14:textId="77777777" w:rsidR="00014790" w:rsidRDefault="00014790">
            <w:pPr>
              <w:widowControl w:val="0"/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7ECDD" w14:textId="77777777" w:rsidR="00014790" w:rsidRDefault="00014790">
            <w:pPr>
              <w:widowControl w:val="0"/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64,0</w:t>
            </w:r>
          </w:p>
        </w:tc>
      </w:tr>
      <w:tr w:rsidR="00014790" w14:paraId="3767DE76" w14:textId="77777777">
        <w:trPr>
          <w:trHeight w:hRule="exact" w:val="365"/>
        </w:trPr>
        <w:tc>
          <w:tcPr>
            <w:tcW w:w="5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E278B6" w14:textId="77777777" w:rsidR="00014790" w:rsidRDefault="0001479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військовий збір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3DA54D" w14:textId="77777777" w:rsidR="00014790" w:rsidRDefault="00014790">
            <w:pPr>
              <w:widowControl w:val="0"/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43E0" w14:textId="77777777" w:rsidR="00014790" w:rsidRDefault="00014790">
            <w:pPr>
              <w:widowControl w:val="0"/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</w:t>
            </w:r>
          </w:p>
        </w:tc>
      </w:tr>
      <w:tr w:rsidR="00014790" w14:paraId="686B28B6" w14:textId="77777777">
        <w:trPr>
          <w:trHeight w:hRule="exact" w:val="303"/>
        </w:trPr>
        <w:tc>
          <w:tcPr>
            <w:tcW w:w="5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E38E6" w14:textId="77777777" w:rsidR="00014790" w:rsidRDefault="0001479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екологічний податок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6995D6" w14:textId="77777777" w:rsidR="00014790" w:rsidRDefault="00014790">
            <w:pPr>
              <w:widowControl w:val="0"/>
              <w:ind w:hanging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2,0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1B1D" w14:textId="77777777" w:rsidR="00014790" w:rsidRDefault="00014790">
            <w:pPr>
              <w:widowControl w:val="0"/>
              <w:ind w:hanging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3,0</w:t>
            </w:r>
          </w:p>
        </w:tc>
      </w:tr>
      <w:tr w:rsidR="00014790" w14:paraId="611D7A89" w14:textId="77777777">
        <w:trPr>
          <w:trHeight w:hRule="exact" w:val="355"/>
        </w:trPr>
        <w:tc>
          <w:tcPr>
            <w:tcW w:w="5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05ADA6" w14:textId="77777777" w:rsidR="00014790" w:rsidRDefault="0001479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податок з доходів громадян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E3A9D8" w14:textId="77777777" w:rsidR="00014790" w:rsidRDefault="0001479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1 161,0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7BD13" w14:textId="77777777" w:rsidR="00014790" w:rsidRDefault="00014790">
            <w:pPr>
              <w:widowControl w:val="0"/>
              <w:ind w:hanging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1 214,0</w:t>
            </w:r>
          </w:p>
        </w:tc>
      </w:tr>
      <w:tr w:rsidR="00014790" w14:paraId="042F6B8D" w14:textId="77777777">
        <w:trPr>
          <w:trHeight w:hRule="exact" w:val="948"/>
        </w:trPr>
        <w:tc>
          <w:tcPr>
            <w:tcW w:w="5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F2C48B" w14:textId="77777777" w:rsidR="00014790" w:rsidRDefault="00014790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Всього сплачено податків та обов’язкових платежів до бюджету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6ADC1D" w14:textId="77777777" w:rsidR="00014790" w:rsidRDefault="0001479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2 811,0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39A5" w14:textId="77777777" w:rsidR="00014790" w:rsidRDefault="00014790">
            <w:pPr>
              <w:widowControl w:val="0"/>
              <w:tabs>
                <w:tab w:val="center" w:pos="954"/>
                <w:tab w:val="right" w:pos="2016"/>
              </w:tabs>
              <w:ind w:hanging="108"/>
              <w:jc w:val="center"/>
            </w:pPr>
            <w:r>
              <w:rPr>
                <w:rFonts w:cs="Gautami"/>
                <w:b/>
                <w:bCs/>
                <w:sz w:val="28"/>
                <w:szCs w:val="28"/>
              </w:rPr>
              <w:t>3 097,0</w:t>
            </w:r>
          </w:p>
        </w:tc>
      </w:tr>
    </w:tbl>
    <w:p w14:paraId="2A3DB666" w14:textId="77777777" w:rsidR="00014790" w:rsidRDefault="00014790">
      <w:pPr>
        <w:jc w:val="both"/>
        <w:rPr>
          <w:sz w:val="28"/>
          <w:szCs w:val="28"/>
        </w:rPr>
      </w:pPr>
    </w:p>
    <w:p w14:paraId="1C8B270C" w14:textId="77777777" w:rsidR="00014790" w:rsidRDefault="00014790">
      <w:pPr>
        <w:spacing w:after="170"/>
        <w:jc w:val="center"/>
      </w:pPr>
      <w:r>
        <w:rPr>
          <w:sz w:val="28"/>
          <w:szCs w:val="28"/>
        </w:rPr>
        <w:t xml:space="preserve">ІІІ. Чисельність працівників. Фонд оплати праці </w:t>
      </w:r>
    </w:p>
    <w:p w14:paraId="2165AF7C" w14:textId="2259786D" w:rsidR="00014790" w:rsidRDefault="000147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Станом на 01.07.2025 середньооблікова чисельність працівників на підприємстві складала 62 </w:t>
      </w:r>
      <w:r w:rsidR="00975129">
        <w:rPr>
          <w:sz w:val="28"/>
          <w:szCs w:val="28"/>
        </w:rPr>
        <w:t>ос</w:t>
      </w:r>
      <w:r w:rsidR="005F4FFA">
        <w:rPr>
          <w:sz w:val="28"/>
          <w:szCs w:val="28"/>
        </w:rPr>
        <w:t>оби</w:t>
      </w:r>
      <w:r>
        <w:rPr>
          <w:sz w:val="28"/>
          <w:szCs w:val="28"/>
        </w:rPr>
        <w:t>, з них: 49 </w:t>
      </w:r>
      <w:r w:rsidR="00975129">
        <w:rPr>
          <w:sz w:val="28"/>
          <w:szCs w:val="28"/>
        </w:rPr>
        <w:t>осіб</w:t>
      </w:r>
      <w:r>
        <w:rPr>
          <w:sz w:val="28"/>
          <w:szCs w:val="28"/>
        </w:rPr>
        <w:t> – штатних.</w:t>
      </w:r>
    </w:p>
    <w:p w14:paraId="5509DD65" w14:textId="56247565" w:rsidR="00014790" w:rsidRDefault="000147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Фонд оплати праці за 6 місяців 2025 року збільшився в порівнянні з аналогічним періодом минулого року на 417,0 тис.</w:t>
      </w:r>
      <w:r w:rsidR="00975129">
        <w:rPr>
          <w:sz w:val="28"/>
          <w:szCs w:val="28"/>
        </w:rPr>
        <w:t> </w:t>
      </w:r>
      <w:r>
        <w:rPr>
          <w:sz w:val="28"/>
          <w:szCs w:val="28"/>
        </w:rPr>
        <w:t>грн та становить 6</w:t>
      </w:r>
      <w:r w:rsidR="005F4FFA">
        <w:rPr>
          <w:sz w:val="28"/>
          <w:szCs w:val="28"/>
        </w:rPr>
        <w:t> </w:t>
      </w:r>
      <w:r>
        <w:rPr>
          <w:sz w:val="28"/>
          <w:szCs w:val="28"/>
        </w:rPr>
        <w:t>920,0 тис.</w:t>
      </w:r>
      <w:r w:rsidR="00975129">
        <w:rPr>
          <w:sz w:val="28"/>
          <w:szCs w:val="28"/>
        </w:rPr>
        <w:t> </w:t>
      </w:r>
      <w:r>
        <w:rPr>
          <w:sz w:val="28"/>
          <w:szCs w:val="28"/>
        </w:rPr>
        <w:t xml:space="preserve">грн. Середньомісячна заробітна плата на підприємстві також зросла і за 6 місяців 2025 року склала </w:t>
      </w:r>
      <w:r>
        <w:rPr>
          <w:color w:val="000000"/>
          <w:sz w:val="28"/>
          <w:szCs w:val="28"/>
        </w:rPr>
        <w:t>18 602,0 грн</w:t>
      </w:r>
      <w:r>
        <w:rPr>
          <w:sz w:val="28"/>
          <w:szCs w:val="28"/>
        </w:rPr>
        <w:t xml:space="preserve"> (за 6 місяців 2024 року –</w:t>
      </w:r>
      <w:r>
        <w:rPr>
          <w:color w:val="000000"/>
          <w:sz w:val="28"/>
          <w:szCs w:val="28"/>
        </w:rPr>
        <w:t>17 768,0 грн).</w:t>
      </w:r>
    </w:p>
    <w:p w14:paraId="757AC7A4" w14:textId="77777777" w:rsidR="005F4FFA" w:rsidRDefault="005F4FFA">
      <w:pPr>
        <w:spacing w:after="170"/>
        <w:jc w:val="center"/>
        <w:rPr>
          <w:sz w:val="28"/>
          <w:szCs w:val="28"/>
        </w:rPr>
      </w:pPr>
    </w:p>
    <w:p w14:paraId="0D7E2E5B" w14:textId="4FB8895E" w:rsidR="00014790" w:rsidRDefault="00014790">
      <w:pPr>
        <w:spacing w:after="17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Господарська діяльність</w:t>
      </w:r>
    </w:p>
    <w:p w14:paraId="3CC50A70" w14:textId="1C725FE0" w:rsidR="00014790" w:rsidRDefault="00014790">
      <w:pPr>
        <w:ind w:firstLine="567"/>
        <w:jc w:val="both"/>
      </w:pPr>
      <w:r>
        <w:rPr>
          <w:sz w:val="28"/>
          <w:szCs w:val="28"/>
        </w:rPr>
        <w:t>За період з 01.01.2025 по 30.06.2025 Луцьки</w:t>
      </w:r>
      <w:r w:rsidR="005F4FFA">
        <w:rPr>
          <w:sz w:val="28"/>
          <w:szCs w:val="28"/>
        </w:rPr>
        <w:t>м</w:t>
      </w:r>
      <w:r w:rsidRPr="00A1171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спецкомбінат</w:t>
      </w:r>
      <w:r w:rsidR="005F4FFA">
        <w:rPr>
          <w:sz w:val="28"/>
          <w:szCs w:val="28"/>
        </w:rPr>
        <w:t>ом</w:t>
      </w:r>
      <w:proofErr w:type="spellEnd"/>
      <w:r>
        <w:rPr>
          <w:sz w:val="28"/>
          <w:szCs w:val="28"/>
        </w:rPr>
        <w:t xml:space="preserve"> КПО виконан</w:t>
      </w:r>
      <w:r w:rsidR="005F4FF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5F4FFA">
        <w:rPr>
          <w:sz w:val="28"/>
          <w:szCs w:val="28"/>
        </w:rPr>
        <w:t xml:space="preserve">такі </w:t>
      </w:r>
      <w:r>
        <w:rPr>
          <w:sz w:val="28"/>
          <w:szCs w:val="28"/>
        </w:rPr>
        <w:t>роботи з благоустрою та утримання кладовищ Луцької міської територіальної громади:</w:t>
      </w:r>
    </w:p>
    <w:p w14:paraId="6E2E390F" w14:textId="77777777" w:rsidR="00014790" w:rsidRDefault="00014790">
      <w:pPr>
        <w:ind w:firstLine="567"/>
        <w:jc w:val="both"/>
      </w:pPr>
      <w:r>
        <w:rPr>
          <w:sz w:val="28"/>
          <w:szCs w:val="28"/>
        </w:rPr>
        <w:t>1. Видалення аварійних дерев на міських кладовищах:</w:t>
      </w:r>
    </w:p>
    <w:p w14:paraId="7E4FF480" w14:textId="111D6B29" w:rsidR="00014790" w:rsidRDefault="00014790">
      <w:pPr>
        <w:ind w:firstLine="567"/>
        <w:jc w:val="both"/>
      </w:pPr>
      <w:proofErr w:type="spellStart"/>
      <w:r>
        <w:rPr>
          <w:sz w:val="28"/>
          <w:szCs w:val="28"/>
        </w:rPr>
        <w:t>Гаразджа</w:t>
      </w:r>
      <w:proofErr w:type="spellEnd"/>
      <w:r>
        <w:rPr>
          <w:sz w:val="28"/>
          <w:szCs w:val="28"/>
        </w:rPr>
        <w:t> – у кількості 36 дерев, на вул</w:t>
      </w:r>
      <w:r w:rsidR="00A273D4">
        <w:rPr>
          <w:sz w:val="28"/>
          <w:szCs w:val="28"/>
        </w:rPr>
        <w:t>.</w:t>
      </w:r>
      <w:r>
        <w:rPr>
          <w:sz w:val="28"/>
          <w:szCs w:val="28"/>
        </w:rPr>
        <w:t xml:space="preserve"> Рівненській – у кількості 27</w:t>
      </w:r>
      <w:r w:rsidR="00A273D4">
        <w:rPr>
          <w:sz w:val="28"/>
          <w:szCs w:val="28"/>
        </w:rPr>
        <w:t> </w:t>
      </w:r>
      <w:r>
        <w:rPr>
          <w:sz w:val="28"/>
          <w:szCs w:val="28"/>
        </w:rPr>
        <w:t>дерев</w:t>
      </w:r>
      <w:r w:rsidR="00A273D4">
        <w:rPr>
          <w:sz w:val="28"/>
          <w:szCs w:val="28"/>
        </w:rPr>
        <w:t>.</w:t>
      </w:r>
    </w:p>
    <w:p w14:paraId="5C63BCAC" w14:textId="397A906D" w:rsidR="00014790" w:rsidRDefault="00014790">
      <w:pPr>
        <w:ind w:firstLine="567"/>
        <w:jc w:val="both"/>
      </w:pPr>
      <w:r>
        <w:rPr>
          <w:sz w:val="28"/>
          <w:szCs w:val="28"/>
        </w:rPr>
        <w:t>2.</w:t>
      </w:r>
      <w:r w:rsidR="00A273D4">
        <w:rPr>
          <w:sz w:val="28"/>
          <w:szCs w:val="28"/>
        </w:rPr>
        <w:t> </w:t>
      </w:r>
      <w:r>
        <w:rPr>
          <w:sz w:val="28"/>
          <w:szCs w:val="28"/>
        </w:rPr>
        <w:t xml:space="preserve">Побудоване побутове приміщення на кладовищі </w:t>
      </w:r>
      <w:proofErr w:type="spellStart"/>
      <w:r>
        <w:rPr>
          <w:sz w:val="28"/>
          <w:szCs w:val="28"/>
        </w:rPr>
        <w:t>Гаразджа</w:t>
      </w:r>
      <w:proofErr w:type="spellEnd"/>
      <w:r>
        <w:rPr>
          <w:sz w:val="28"/>
          <w:szCs w:val="28"/>
        </w:rPr>
        <w:t xml:space="preserve"> для прибиральників і землекопів</w:t>
      </w:r>
      <w:r w:rsidR="00A273D4">
        <w:rPr>
          <w:sz w:val="28"/>
          <w:szCs w:val="28"/>
        </w:rPr>
        <w:t>.</w:t>
      </w:r>
    </w:p>
    <w:p w14:paraId="7949FB28" w14:textId="6AD3954A" w:rsidR="00014790" w:rsidRDefault="00014790">
      <w:pPr>
        <w:ind w:firstLine="567"/>
        <w:jc w:val="both"/>
      </w:pPr>
      <w:r>
        <w:rPr>
          <w:sz w:val="28"/>
          <w:szCs w:val="28"/>
        </w:rPr>
        <w:t xml:space="preserve">3. Встановлено 6 майданчиків для збору сміття на кладовищах Луцької </w:t>
      </w:r>
      <w:r w:rsidR="00A273D4">
        <w:rPr>
          <w:sz w:val="28"/>
          <w:szCs w:val="28"/>
        </w:rPr>
        <w:t>міської територіальної громади</w:t>
      </w:r>
      <w:r>
        <w:rPr>
          <w:sz w:val="28"/>
          <w:szCs w:val="28"/>
        </w:rPr>
        <w:t>.</w:t>
      </w:r>
    </w:p>
    <w:p w14:paraId="26352438" w14:textId="4239A555" w:rsidR="00014790" w:rsidRDefault="00014790">
      <w:pPr>
        <w:ind w:firstLine="567"/>
        <w:jc w:val="both"/>
      </w:pPr>
      <w:r>
        <w:rPr>
          <w:sz w:val="28"/>
          <w:szCs w:val="28"/>
        </w:rPr>
        <w:t xml:space="preserve">4. Вивезено 523 </w:t>
      </w:r>
      <w:proofErr w:type="spellStart"/>
      <w:r>
        <w:rPr>
          <w:sz w:val="28"/>
          <w:szCs w:val="28"/>
        </w:rPr>
        <w:t>тон</w:t>
      </w:r>
      <w:r w:rsidR="00A273D4">
        <w:rPr>
          <w:sz w:val="28"/>
          <w:szCs w:val="28"/>
        </w:rPr>
        <w:t>ни</w:t>
      </w:r>
      <w:proofErr w:type="spellEnd"/>
      <w:r>
        <w:rPr>
          <w:sz w:val="28"/>
          <w:szCs w:val="28"/>
        </w:rPr>
        <w:t xml:space="preserve"> сміття на полігон </w:t>
      </w:r>
      <w:proofErr w:type="spellStart"/>
      <w:r>
        <w:rPr>
          <w:sz w:val="28"/>
          <w:szCs w:val="28"/>
        </w:rPr>
        <w:t>Брище</w:t>
      </w:r>
      <w:proofErr w:type="spellEnd"/>
      <w:r>
        <w:rPr>
          <w:sz w:val="28"/>
          <w:szCs w:val="28"/>
        </w:rPr>
        <w:t>.</w:t>
      </w:r>
    </w:p>
    <w:p w14:paraId="5FBB4764" w14:textId="6713A34D" w:rsidR="00014790" w:rsidRDefault="00014790">
      <w:pPr>
        <w:ind w:firstLine="567"/>
        <w:jc w:val="both"/>
      </w:pPr>
      <w:r>
        <w:rPr>
          <w:sz w:val="28"/>
          <w:szCs w:val="28"/>
        </w:rPr>
        <w:lastRenderedPageBreak/>
        <w:t>5.</w:t>
      </w:r>
      <w:r w:rsidR="00A273D4">
        <w:rPr>
          <w:sz w:val="28"/>
          <w:szCs w:val="28"/>
        </w:rPr>
        <w:t> </w:t>
      </w:r>
      <w:r>
        <w:rPr>
          <w:sz w:val="28"/>
          <w:szCs w:val="28"/>
        </w:rPr>
        <w:t>Облаштована дорога з щебеневим покриттям в секторі військових поховань та в нових секторах.</w:t>
      </w:r>
    </w:p>
    <w:p w14:paraId="2EAEB95F" w14:textId="501B2B85" w:rsidR="00014790" w:rsidRDefault="00014790">
      <w:pPr>
        <w:ind w:firstLine="567"/>
        <w:jc w:val="both"/>
      </w:pPr>
      <w:r>
        <w:rPr>
          <w:sz w:val="28"/>
          <w:szCs w:val="28"/>
        </w:rPr>
        <w:t>Протягом звітного періоду Луцьки</w:t>
      </w:r>
      <w:r w:rsidR="00A273D4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спецкомбінат</w:t>
      </w:r>
      <w:r w:rsidR="00A273D4">
        <w:rPr>
          <w:sz w:val="28"/>
          <w:szCs w:val="28"/>
        </w:rPr>
        <w:t>ом</w:t>
      </w:r>
      <w:proofErr w:type="spellEnd"/>
      <w:r>
        <w:rPr>
          <w:sz w:val="28"/>
          <w:szCs w:val="28"/>
        </w:rPr>
        <w:t xml:space="preserve"> КПО здійснювалися всі необхідні заходи для стабільної та безперервної діяльності підприємства в умовах воєнного стану, а саме: забезпечено безперебійне чергування катафалка, організ</w:t>
      </w:r>
      <w:r w:rsidRPr="00614D08">
        <w:rPr>
          <w:sz w:val="28"/>
          <w:szCs w:val="28"/>
        </w:rPr>
        <w:t>овано</w:t>
      </w:r>
      <w:r>
        <w:rPr>
          <w:sz w:val="28"/>
          <w:szCs w:val="28"/>
        </w:rPr>
        <w:t xml:space="preserve"> та проведено поховання тіл загиблих воїнів, а також роботи з благоустрою та утримання кладовищ Луцької міської територіальної громади.</w:t>
      </w:r>
    </w:p>
    <w:p w14:paraId="000A3686" w14:textId="77777777" w:rsidR="00014790" w:rsidRDefault="00014790">
      <w:pPr>
        <w:ind w:firstLine="567"/>
        <w:jc w:val="both"/>
        <w:rPr>
          <w:sz w:val="28"/>
          <w:szCs w:val="28"/>
        </w:rPr>
      </w:pPr>
    </w:p>
    <w:p w14:paraId="22DA7152" w14:textId="77777777" w:rsidR="00014790" w:rsidRDefault="00014790">
      <w:pPr>
        <w:spacing w:after="170"/>
        <w:jc w:val="center"/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Претензійно-позовна робота</w:t>
      </w:r>
    </w:p>
    <w:p w14:paraId="313A2AF0" w14:textId="23BB27B1" w:rsidR="00014790" w:rsidRDefault="00014790">
      <w:pPr>
        <w:ind w:firstLine="567"/>
        <w:jc w:val="both"/>
      </w:pPr>
      <w:r>
        <w:rPr>
          <w:sz w:val="28"/>
          <w:szCs w:val="28"/>
        </w:rPr>
        <w:t>Основний акцент в роботі Луцьк</w:t>
      </w:r>
      <w:r w:rsidR="00F964F1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спецкомбінат</w:t>
      </w:r>
      <w:r w:rsidR="00F964F1">
        <w:rPr>
          <w:sz w:val="28"/>
          <w:szCs w:val="28"/>
        </w:rPr>
        <w:t>ом</w:t>
      </w:r>
      <w:proofErr w:type="spellEnd"/>
      <w:r>
        <w:rPr>
          <w:sz w:val="28"/>
          <w:szCs w:val="28"/>
        </w:rPr>
        <w:t xml:space="preserve"> КПО зроблений на досудове та позасудове стягнення дебіторської заборгованості шляхом перевірки майбутніх контрагентів, правильного формулювання умов договорів та налагодження системи їх виконання, здійснення контролю над проведенням розрахунків, постійного ведення переговорів з боржниками.</w:t>
      </w:r>
    </w:p>
    <w:p w14:paraId="1F8DF9A1" w14:textId="77777777" w:rsidR="00014790" w:rsidRDefault="00014790">
      <w:pPr>
        <w:ind w:firstLine="567"/>
        <w:jc w:val="both"/>
      </w:pPr>
      <w:r>
        <w:rPr>
          <w:sz w:val="28"/>
          <w:szCs w:val="28"/>
        </w:rPr>
        <w:t xml:space="preserve">Зараз на підприємстві відсутня </w:t>
      </w:r>
      <w:proofErr w:type="spellStart"/>
      <w:r>
        <w:rPr>
          <w:sz w:val="28"/>
          <w:szCs w:val="28"/>
        </w:rPr>
        <w:t>протермінована</w:t>
      </w:r>
      <w:proofErr w:type="spellEnd"/>
      <w:r>
        <w:rPr>
          <w:sz w:val="28"/>
          <w:szCs w:val="28"/>
        </w:rPr>
        <w:t xml:space="preserve"> дебіторська заборгованість за оренду нерухомого майна, постачання ритуальної продукції та надання ритуальних послуг. Є лише незначна поточна заборгованість, що в кінці місяця, як правило, погашається в повному обсязі.</w:t>
      </w:r>
    </w:p>
    <w:p w14:paraId="24AE510F" w14:textId="77777777" w:rsidR="00014790" w:rsidRDefault="00014790">
      <w:pPr>
        <w:ind w:firstLine="567"/>
        <w:jc w:val="both"/>
        <w:rPr>
          <w:sz w:val="28"/>
          <w:szCs w:val="28"/>
        </w:rPr>
      </w:pPr>
    </w:p>
    <w:p w14:paraId="4E686F6F" w14:textId="77777777" w:rsidR="00014790" w:rsidRDefault="00014790">
      <w:pPr>
        <w:spacing w:after="17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План розвитку</w:t>
      </w:r>
    </w:p>
    <w:p w14:paraId="1787DE00" w14:textId="35D0853D" w:rsidR="00014790" w:rsidRDefault="00014790">
      <w:pPr>
        <w:ind w:firstLine="567"/>
        <w:jc w:val="both"/>
      </w:pPr>
      <w:r>
        <w:rPr>
          <w:sz w:val="28"/>
          <w:szCs w:val="28"/>
        </w:rPr>
        <w:t xml:space="preserve">До кінця року Луцький </w:t>
      </w:r>
      <w:proofErr w:type="spellStart"/>
      <w:r>
        <w:rPr>
          <w:sz w:val="28"/>
          <w:szCs w:val="28"/>
        </w:rPr>
        <w:t>спецкомбінат</w:t>
      </w:r>
      <w:proofErr w:type="spellEnd"/>
      <w:r>
        <w:rPr>
          <w:sz w:val="28"/>
          <w:szCs w:val="28"/>
        </w:rPr>
        <w:t xml:space="preserve"> КПО планує:</w:t>
      </w:r>
    </w:p>
    <w:p w14:paraId="525C7653" w14:textId="77777777" w:rsidR="00014790" w:rsidRDefault="00014790">
      <w:pPr>
        <w:ind w:firstLine="567"/>
        <w:jc w:val="both"/>
      </w:pPr>
      <w:r>
        <w:rPr>
          <w:sz w:val="28"/>
          <w:szCs w:val="28"/>
        </w:rPr>
        <w:t xml:space="preserve">демонтувати огорожу між старими та новими секторами (кладовище </w:t>
      </w:r>
      <w:proofErr w:type="spellStart"/>
      <w:r>
        <w:rPr>
          <w:sz w:val="28"/>
          <w:szCs w:val="28"/>
        </w:rPr>
        <w:t>Гаразджа</w:t>
      </w:r>
      <w:proofErr w:type="spellEnd"/>
      <w:r>
        <w:rPr>
          <w:sz w:val="28"/>
          <w:szCs w:val="28"/>
        </w:rPr>
        <w:t>);</w:t>
      </w:r>
    </w:p>
    <w:p w14:paraId="40341D34" w14:textId="77777777" w:rsidR="00014790" w:rsidRDefault="00014790">
      <w:pPr>
        <w:ind w:firstLine="567"/>
        <w:jc w:val="both"/>
      </w:pPr>
      <w:r>
        <w:rPr>
          <w:sz w:val="28"/>
          <w:szCs w:val="28"/>
        </w:rPr>
        <w:t xml:space="preserve">облаштувати навіс для зберігання дров (кладовище </w:t>
      </w:r>
      <w:proofErr w:type="spellStart"/>
      <w:r>
        <w:rPr>
          <w:sz w:val="28"/>
          <w:szCs w:val="28"/>
        </w:rPr>
        <w:t>Гаразджа</w:t>
      </w:r>
      <w:proofErr w:type="spellEnd"/>
      <w:r>
        <w:rPr>
          <w:sz w:val="28"/>
          <w:szCs w:val="28"/>
        </w:rPr>
        <w:t>);</w:t>
      </w:r>
    </w:p>
    <w:p w14:paraId="2A511F92" w14:textId="77777777" w:rsidR="00014790" w:rsidRDefault="00014790">
      <w:pPr>
        <w:ind w:firstLine="567"/>
        <w:jc w:val="both"/>
      </w:pPr>
      <w:r>
        <w:rPr>
          <w:sz w:val="28"/>
          <w:szCs w:val="28"/>
        </w:rPr>
        <w:t>підготувати місця поховання до зимового періоду (утеплення секторів опалим листям).</w:t>
      </w:r>
    </w:p>
    <w:p w14:paraId="0534E90D" w14:textId="77777777" w:rsidR="00014790" w:rsidRDefault="00014790">
      <w:pPr>
        <w:ind w:left="180" w:hanging="180"/>
        <w:jc w:val="both"/>
        <w:rPr>
          <w:sz w:val="28"/>
          <w:szCs w:val="28"/>
        </w:rPr>
      </w:pPr>
    </w:p>
    <w:p w14:paraId="59DD565D" w14:textId="77777777" w:rsidR="00014790" w:rsidRDefault="00014790">
      <w:pPr>
        <w:ind w:left="180" w:hanging="180"/>
        <w:jc w:val="both"/>
        <w:rPr>
          <w:sz w:val="28"/>
          <w:szCs w:val="28"/>
        </w:rPr>
      </w:pPr>
    </w:p>
    <w:p w14:paraId="1B4701EF" w14:textId="77777777" w:rsidR="00014790" w:rsidRDefault="00014790">
      <w:pPr>
        <w:ind w:left="180" w:hanging="180"/>
        <w:jc w:val="both"/>
        <w:rPr>
          <w:sz w:val="28"/>
          <w:szCs w:val="28"/>
        </w:rPr>
      </w:pPr>
    </w:p>
    <w:p w14:paraId="0E21E0A1" w14:textId="77777777" w:rsidR="00014790" w:rsidRDefault="00014790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14:paraId="44B339CF" w14:textId="0DCA6825" w:rsidR="00014790" w:rsidRDefault="00014790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Луцьк</w:t>
      </w:r>
      <w:r w:rsidR="00A273D4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спецкомбінат</w:t>
      </w:r>
      <w:r w:rsidR="00A273D4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КПО                                             Василь ЦЕТНАР</w:t>
      </w:r>
    </w:p>
    <w:sectPr w:rsidR="00014790" w:rsidSect="009B33F8">
      <w:headerReference w:type="even" r:id="rId7"/>
      <w:headerReference w:type="default" r:id="rId8"/>
      <w:headerReference w:type="first" r:id="rId9"/>
      <w:pgSz w:w="11906" w:h="16838"/>
      <w:pgMar w:top="1191" w:right="567" w:bottom="1134" w:left="198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8318" w14:textId="77777777" w:rsidR="0016318C" w:rsidRDefault="0016318C" w:rsidP="009B33F8">
      <w:r>
        <w:separator/>
      </w:r>
    </w:p>
  </w:endnote>
  <w:endnote w:type="continuationSeparator" w:id="0">
    <w:p w14:paraId="14D5B760" w14:textId="77777777" w:rsidR="0016318C" w:rsidRDefault="0016318C" w:rsidP="009B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roman"/>
    <w:pitch w:val="variable"/>
  </w:font>
  <w:font w:name="Gautami">
    <w:panose1 w:val="02000500000000000000"/>
    <w:charset w:val="01"/>
    <w:family w:val="roman"/>
    <w:notTrueType/>
    <w:pitch w:val="variable"/>
    <w:sig w:usb0="0000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2600" w14:textId="77777777" w:rsidR="0016318C" w:rsidRDefault="0016318C" w:rsidP="009B33F8">
      <w:r>
        <w:separator/>
      </w:r>
    </w:p>
  </w:footnote>
  <w:footnote w:type="continuationSeparator" w:id="0">
    <w:p w14:paraId="0AD78717" w14:textId="77777777" w:rsidR="0016318C" w:rsidRDefault="0016318C" w:rsidP="009B3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2EA1" w14:textId="77777777" w:rsidR="00014790" w:rsidRDefault="0001479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487F" w14:textId="77777777" w:rsidR="00014790" w:rsidRDefault="00014790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37B2" w14:textId="77777777" w:rsidR="00014790" w:rsidRDefault="0001479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5198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51C52D5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79283E78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2040468471">
    <w:abstractNumId w:val="1"/>
  </w:num>
  <w:num w:numId="2" w16cid:durableId="783816020">
    <w:abstractNumId w:val="2"/>
  </w:num>
  <w:num w:numId="3" w16cid:durableId="30902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3F8"/>
    <w:rsid w:val="00014790"/>
    <w:rsid w:val="0012000D"/>
    <w:rsid w:val="0015124E"/>
    <w:rsid w:val="0016318C"/>
    <w:rsid w:val="001E72AF"/>
    <w:rsid w:val="00223311"/>
    <w:rsid w:val="002A1F74"/>
    <w:rsid w:val="002D5505"/>
    <w:rsid w:val="005F4FFA"/>
    <w:rsid w:val="00614D08"/>
    <w:rsid w:val="006615D0"/>
    <w:rsid w:val="006621D6"/>
    <w:rsid w:val="006B0157"/>
    <w:rsid w:val="006E4149"/>
    <w:rsid w:val="0074456C"/>
    <w:rsid w:val="007F6956"/>
    <w:rsid w:val="008237E8"/>
    <w:rsid w:val="00857996"/>
    <w:rsid w:val="008B194B"/>
    <w:rsid w:val="008E78F5"/>
    <w:rsid w:val="00953498"/>
    <w:rsid w:val="00975129"/>
    <w:rsid w:val="009B33F8"/>
    <w:rsid w:val="009B77E9"/>
    <w:rsid w:val="00A11713"/>
    <w:rsid w:val="00A273D4"/>
    <w:rsid w:val="00C652E9"/>
    <w:rsid w:val="00D1162F"/>
    <w:rsid w:val="00E831D7"/>
    <w:rsid w:val="00EB77C1"/>
    <w:rsid w:val="00EF6E3E"/>
    <w:rsid w:val="00F9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62AB3"/>
  <w15:docId w15:val="{303A5F14-F2A5-4BC7-B7C2-B194A42E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hAnsi="Times New Roman" w:cs="Times New Roman"/>
      <w:sz w:val="24"/>
      <w:szCs w:val="24"/>
      <w:lang w:eastAsia="zh-CN" w:bidi="ar-SA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ind w:left="-180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1"/>
      </w:numPr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uiPriority w:val="99"/>
    <w:rPr>
      <w:rFonts w:ascii="Times New Roman" w:hAnsi="Times New Roman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Times New Roman" w:hAnsi="Times New Roman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2z3">
    <w:name w:val="WW8Num2z3"/>
    <w:uiPriority w:val="99"/>
    <w:rPr>
      <w:rFonts w:ascii="Symbol" w:hAnsi="Symbol"/>
    </w:rPr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  <w:rPr>
      <w:rFonts w:ascii="Times New Roman" w:hAnsi="Times New Roman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5z3">
    <w:name w:val="WW8Num5z3"/>
    <w:uiPriority w:val="99"/>
    <w:rPr>
      <w:rFonts w:ascii="Symbol" w:hAnsi="Symbol"/>
    </w:rPr>
  </w:style>
  <w:style w:type="character" w:customStyle="1" w:styleId="WW8Num6z0">
    <w:name w:val="WW8Num6z0"/>
    <w:uiPriority w:val="99"/>
    <w:rPr>
      <w:rFonts w:ascii="Times New Roman" w:hAnsi="Times New Roman"/>
    </w:rPr>
  </w:style>
  <w:style w:type="character" w:customStyle="1" w:styleId="WW8Num6z1">
    <w:name w:val="WW8Num6z1"/>
    <w:uiPriority w:val="99"/>
    <w:rPr>
      <w:rFonts w:ascii="Courier New" w:hAnsi="Courier New"/>
    </w:rPr>
  </w:style>
  <w:style w:type="character" w:customStyle="1" w:styleId="WW8Num6z2">
    <w:name w:val="WW8Num6z2"/>
    <w:uiPriority w:val="99"/>
    <w:rPr>
      <w:rFonts w:ascii="Wingdings" w:hAnsi="Wingdings"/>
    </w:rPr>
  </w:style>
  <w:style w:type="character" w:customStyle="1" w:styleId="WW8Num6z3">
    <w:name w:val="WW8Num6z3"/>
    <w:uiPriority w:val="99"/>
    <w:rPr>
      <w:rFonts w:ascii="Symbol" w:hAnsi="Symbol"/>
    </w:rPr>
  </w:style>
  <w:style w:type="character" w:customStyle="1" w:styleId="WW8Num7z0">
    <w:name w:val="WW8Num7z0"/>
    <w:uiPriority w:val="99"/>
  </w:style>
  <w:style w:type="character" w:customStyle="1" w:styleId="WW8Num8z0">
    <w:name w:val="WW8Num8z0"/>
    <w:uiPriority w:val="99"/>
    <w:rPr>
      <w:rFonts w:ascii="Times New Roman" w:hAnsi="Times New Roman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2">
    <w:name w:val="WW8Num8z2"/>
    <w:uiPriority w:val="99"/>
    <w:rPr>
      <w:rFonts w:ascii="Wingdings" w:hAnsi="Wingdings"/>
    </w:rPr>
  </w:style>
  <w:style w:type="character" w:customStyle="1" w:styleId="WW8Num8z3">
    <w:name w:val="WW8Num8z3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Times New Roman" w:hAnsi="Times New Roman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9z3">
    <w:name w:val="WW8Num9z3"/>
    <w:uiPriority w:val="99"/>
    <w:rPr>
      <w:rFonts w:ascii="Symbol" w:hAnsi="Symbol"/>
    </w:rPr>
  </w:style>
  <w:style w:type="character" w:customStyle="1" w:styleId="WW8Num10z0">
    <w:name w:val="WW8Num10z0"/>
    <w:uiPriority w:val="99"/>
    <w:rPr>
      <w:rFonts w:ascii="Times New Roman" w:hAnsi="Times New Roman"/>
    </w:rPr>
  </w:style>
  <w:style w:type="character" w:customStyle="1" w:styleId="WW8Num10z1">
    <w:name w:val="WW8Num10z1"/>
    <w:uiPriority w:val="99"/>
    <w:rPr>
      <w:rFonts w:ascii="Courier New" w:hAnsi="Courier New"/>
    </w:rPr>
  </w:style>
  <w:style w:type="character" w:customStyle="1" w:styleId="WW8Num10z2">
    <w:name w:val="WW8Num10z2"/>
    <w:uiPriority w:val="99"/>
    <w:rPr>
      <w:rFonts w:ascii="Wingdings" w:hAnsi="Wingdings"/>
    </w:rPr>
  </w:style>
  <w:style w:type="character" w:customStyle="1" w:styleId="WW8Num10z3">
    <w:name w:val="WW8Num10z3"/>
    <w:uiPriority w:val="99"/>
    <w:rPr>
      <w:rFonts w:ascii="Symbol" w:hAnsi="Symbol"/>
    </w:rPr>
  </w:style>
  <w:style w:type="character" w:customStyle="1" w:styleId="WW8Num11z0">
    <w:name w:val="WW8Num11z0"/>
    <w:uiPriority w:val="99"/>
  </w:style>
  <w:style w:type="character" w:customStyle="1" w:styleId="WW8Num12z0">
    <w:name w:val="WW8Num12z0"/>
    <w:uiPriority w:val="99"/>
    <w:rPr>
      <w:rFonts w:ascii="Times New Roman" w:hAnsi="Times New Roman"/>
    </w:rPr>
  </w:style>
  <w:style w:type="character" w:customStyle="1" w:styleId="WW8Num12z1">
    <w:name w:val="WW8Num12z1"/>
    <w:uiPriority w:val="99"/>
    <w:rPr>
      <w:rFonts w:ascii="Courier New" w:hAnsi="Courier New"/>
    </w:rPr>
  </w:style>
  <w:style w:type="character" w:customStyle="1" w:styleId="WW8Num12z2">
    <w:name w:val="WW8Num12z2"/>
    <w:uiPriority w:val="99"/>
    <w:rPr>
      <w:rFonts w:ascii="Wingdings" w:hAnsi="Wingdings"/>
    </w:rPr>
  </w:style>
  <w:style w:type="character" w:customStyle="1" w:styleId="WW8Num12z3">
    <w:name w:val="WW8Num12z3"/>
    <w:uiPriority w:val="99"/>
    <w:rPr>
      <w:rFonts w:ascii="Symbol" w:hAnsi="Symbol"/>
    </w:rPr>
  </w:style>
  <w:style w:type="character" w:customStyle="1" w:styleId="WW8Num13z0">
    <w:name w:val="WW8Num13z0"/>
    <w:uiPriority w:val="99"/>
    <w:rPr>
      <w:rFonts w:ascii="Symbol" w:hAnsi="Symbol"/>
    </w:rPr>
  </w:style>
  <w:style w:type="character" w:customStyle="1" w:styleId="WW8Num13z1">
    <w:name w:val="WW8Num13z1"/>
    <w:uiPriority w:val="99"/>
    <w:rPr>
      <w:rFonts w:ascii="Courier New" w:hAnsi="Courier New"/>
    </w:rPr>
  </w:style>
  <w:style w:type="character" w:customStyle="1" w:styleId="WW8Num13z2">
    <w:name w:val="WW8Num13z2"/>
    <w:uiPriority w:val="99"/>
    <w:rPr>
      <w:rFonts w:ascii="Wingdings" w:hAnsi="Wingdings"/>
    </w:rPr>
  </w:style>
  <w:style w:type="character" w:customStyle="1" w:styleId="WW8Num14z0">
    <w:name w:val="WW8Num14z0"/>
    <w:uiPriority w:val="99"/>
  </w:style>
  <w:style w:type="character" w:customStyle="1" w:styleId="WW8Num15z0">
    <w:name w:val="WW8Num15z0"/>
    <w:uiPriority w:val="99"/>
    <w:rPr>
      <w:rFonts w:ascii="Times New Roman" w:hAnsi="Times New Roman"/>
    </w:rPr>
  </w:style>
  <w:style w:type="character" w:customStyle="1" w:styleId="WW8Num15z1">
    <w:name w:val="WW8Num15z1"/>
    <w:uiPriority w:val="99"/>
    <w:rPr>
      <w:rFonts w:ascii="Courier New" w:hAnsi="Courier New"/>
    </w:rPr>
  </w:style>
  <w:style w:type="character" w:customStyle="1" w:styleId="WW8Num15z2">
    <w:name w:val="WW8Num15z2"/>
    <w:uiPriority w:val="99"/>
    <w:rPr>
      <w:rFonts w:ascii="Wingdings" w:hAnsi="Wingdings"/>
    </w:rPr>
  </w:style>
  <w:style w:type="character" w:customStyle="1" w:styleId="WW8Num15z3">
    <w:name w:val="WW8Num15z3"/>
    <w:uiPriority w:val="99"/>
    <w:rPr>
      <w:rFonts w:ascii="Symbol" w:hAnsi="Symbol"/>
    </w:rPr>
  </w:style>
  <w:style w:type="character" w:customStyle="1" w:styleId="WW8Num16z0">
    <w:name w:val="WW8Num16z0"/>
    <w:uiPriority w:val="99"/>
  </w:style>
  <w:style w:type="character" w:customStyle="1" w:styleId="WW8Num16z1">
    <w:name w:val="WW8Num16z1"/>
    <w:uiPriority w:val="99"/>
  </w:style>
  <w:style w:type="character" w:customStyle="1" w:styleId="WW8Num16z2">
    <w:name w:val="WW8Num16z2"/>
    <w:uiPriority w:val="99"/>
  </w:style>
  <w:style w:type="character" w:customStyle="1" w:styleId="WW8Num16z3">
    <w:name w:val="WW8Num16z3"/>
    <w:uiPriority w:val="99"/>
  </w:style>
  <w:style w:type="character" w:customStyle="1" w:styleId="WW8Num16z4">
    <w:name w:val="WW8Num16z4"/>
    <w:uiPriority w:val="99"/>
  </w:style>
  <w:style w:type="character" w:customStyle="1" w:styleId="WW8Num16z5">
    <w:name w:val="WW8Num16z5"/>
    <w:uiPriority w:val="99"/>
  </w:style>
  <w:style w:type="character" w:customStyle="1" w:styleId="WW8Num16z6">
    <w:name w:val="WW8Num16z6"/>
    <w:uiPriority w:val="99"/>
  </w:style>
  <w:style w:type="character" w:customStyle="1" w:styleId="WW8Num16z7">
    <w:name w:val="WW8Num16z7"/>
    <w:uiPriority w:val="99"/>
  </w:style>
  <w:style w:type="character" w:customStyle="1" w:styleId="WW8Num16z8">
    <w:name w:val="WW8Num16z8"/>
    <w:uiPriority w:val="99"/>
  </w:style>
  <w:style w:type="character" w:customStyle="1" w:styleId="WW8Num17z0">
    <w:name w:val="WW8Num17z0"/>
    <w:uiPriority w:val="99"/>
    <w:rPr>
      <w:rFonts w:ascii="Times New Roman" w:hAnsi="Times New Roman"/>
    </w:rPr>
  </w:style>
  <w:style w:type="character" w:customStyle="1" w:styleId="WW8Num17z1">
    <w:name w:val="WW8Num17z1"/>
    <w:uiPriority w:val="99"/>
    <w:rPr>
      <w:rFonts w:ascii="Courier New" w:hAnsi="Courier New"/>
    </w:rPr>
  </w:style>
  <w:style w:type="character" w:customStyle="1" w:styleId="WW8Num17z2">
    <w:name w:val="WW8Num17z2"/>
    <w:uiPriority w:val="99"/>
    <w:rPr>
      <w:rFonts w:ascii="Wingdings" w:hAnsi="Wingdings"/>
    </w:rPr>
  </w:style>
  <w:style w:type="character" w:customStyle="1" w:styleId="WW8Num17z3">
    <w:name w:val="WW8Num17z3"/>
    <w:uiPriority w:val="99"/>
    <w:rPr>
      <w:rFonts w:ascii="Symbol" w:hAnsi="Symbol"/>
    </w:rPr>
  </w:style>
  <w:style w:type="character" w:customStyle="1" w:styleId="WW8Num18z0">
    <w:name w:val="WW8Num18z0"/>
    <w:uiPriority w:val="99"/>
    <w:rPr>
      <w:rFonts w:ascii="Times New Roman" w:hAnsi="Times New Roman"/>
    </w:rPr>
  </w:style>
  <w:style w:type="character" w:customStyle="1" w:styleId="WW8Num18z1">
    <w:name w:val="WW8Num18z1"/>
    <w:uiPriority w:val="99"/>
    <w:rPr>
      <w:rFonts w:ascii="Courier New" w:hAnsi="Courier New"/>
    </w:rPr>
  </w:style>
  <w:style w:type="character" w:customStyle="1" w:styleId="WW8Num18z2">
    <w:name w:val="WW8Num18z2"/>
    <w:uiPriority w:val="99"/>
    <w:rPr>
      <w:rFonts w:ascii="Wingdings" w:hAnsi="Wingdings"/>
    </w:rPr>
  </w:style>
  <w:style w:type="character" w:customStyle="1" w:styleId="WW8Num18z3">
    <w:name w:val="WW8Num18z3"/>
    <w:uiPriority w:val="99"/>
    <w:rPr>
      <w:rFonts w:ascii="Symbol" w:hAnsi="Symbol"/>
    </w:rPr>
  </w:style>
  <w:style w:type="character" w:customStyle="1" w:styleId="WW8Num19z0">
    <w:name w:val="WW8Num19z0"/>
    <w:uiPriority w:val="99"/>
    <w:rPr>
      <w:rFonts w:ascii="Times New Roman" w:hAnsi="Times New Roman"/>
      <w:i/>
    </w:rPr>
  </w:style>
  <w:style w:type="character" w:customStyle="1" w:styleId="WW8Num19z1">
    <w:name w:val="WW8Num19z1"/>
    <w:uiPriority w:val="99"/>
    <w:rPr>
      <w:rFonts w:ascii="Courier New" w:hAnsi="Courier New"/>
    </w:rPr>
  </w:style>
  <w:style w:type="character" w:customStyle="1" w:styleId="WW8Num19z2">
    <w:name w:val="WW8Num19z2"/>
    <w:uiPriority w:val="99"/>
    <w:rPr>
      <w:rFonts w:ascii="Wingdings" w:hAnsi="Wingdings"/>
    </w:rPr>
  </w:style>
  <w:style w:type="character" w:customStyle="1" w:styleId="WW8Num19z3">
    <w:name w:val="WW8Num19z3"/>
    <w:uiPriority w:val="99"/>
    <w:rPr>
      <w:rFonts w:ascii="Symbol" w:hAnsi="Symbol"/>
    </w:rPr>
  </w:style>
  <w:style w:type="character" w:customStyle="1" w:styleId="WW8Num20z0">
    <w:name w:val="WW8Num20z0"/>
    <w:uiPriority w:val="99"/>
    <w:rPr>
      <w:rFonts w:ascii="Times New Roman" w:hAnsi="Times New Roman"/>
    </w:rPr>
  </w:style>
  <w:style w:type="character" w:customStyle="1" w:styleId="WW8Num20z1">
    <w:name w:val="WW8Num20z1"/>
    <w:uiPriority w:val="99"/>
    <w:rPr>
      <w:rFonts w:ascii="Courier New" w:hAnsi="Courier New"/>
    </w:rPr>
  </w:style>
  <w:style w:type="character" w:customStyle="1" w:styleId="WW8Num20z2">
    <w:name w:val="WW8Num20z2"/>
    <w:uiPriority w:val="99"/>
    <w:rPr>
      <w:rFonts w:ascii="Wingdings" w:hAnsi="Wingdings"/>
    </w:rPr>
  </w:style>
  <w:style w:type="character" w:customStyle="1" w:styleId="WW8Num20z3">
    <w:name w:val="WW8Num20z3"/>
    <w:uiPriority w:val="99"/>
    <w:rPr>
      <w:rFonts w:ascii="Symbol" w:hAnsi="Symbol"/>
    </w:rPr>
  </w:style>
  <w:style w:type="character" w:customStyle="1" w:styleId="WW8Num21z0">
    <w:name w:val="WW8Num21z0"/>
    <w:uiPriority w:val="99"/>
  </w:style>
  <w:style w:type="character" w:customStyle="1" w:styleId="WW8Num22z0">
    <w:name w:val="WW8Num22z0"/>
    <w:uiPriority w:val="99"/>
    <w:rPr>
      <w:rFonts w:ascii="Times New Roman" w:hAnsi="Times New Roman"/>
    </w:rPr>
  </w:style>
  <w:style w:type="character" w:customStyle="1" w:styleId="WW8Num22z1">
    <w:name w:val="WW8Num22z1"/>
    <w:uiPriority w:val="99"/>
    <w:rPr>
      <w:rFonts w:ascii="Courier New" w:hAnsi="Courier New"/>
    </w:rPr>
  </w:style>
  <w:style w:type="character" w:customStyle="1" w:styleId="WW8Num22z2">
    <w:name w:val="WW8Num22z2"/>
    <w:uiPriority w:val="99"/>
    <w:rPr>
      <w:rFonts w:ascii="Wingdings" w:hAnsi="Wingdings"/>
    </w:rPr>
  </w:style>
  <w:style w:type="character" w:customStyle="1" w:styleId="WW8Num22z3">
    <w:name w:val="WW8Num22z3"/>
    <w:uiPriority w:val="99"/>
    <w:rPr>
      <w:rFonts w:ascii="Symbol" w:hAnsi="Symbol"/>
    </w:rPr>
  </w:style>
  <w:style w:type="character" w:customStyle="1" w:styleId="WW8Num23z0">
    <w:name w:val="WW8Num23z0"/>
    <w:uiPriority w:val="99"/>
    <w:rPr>
      <w:rFonts w:ascii="Times New Roman" w:hAnsi="Times New Roman"/>
    </w:rPr>
  </w:style>
  <w:style w:type="character" w:customStyle="1" w:styleId="WW8Num23z1">
    <w:name w:val="WW8Num23z1"/>
    <w:uiPriority w:val="99"/>
    <w:rPr>
      <w:rFonts w:ascii="Courier New" w:hAnsi="Courier New"/>
    </w:rPr>
  </w:style>
  <w:style w:type="character" w:customStyle="1" w:styleId="WW8Num23z2">
    <w:name w:val="WW8Num23z2"/>
    <w:uiPriority w:val="99"/>
    <w:rPr>
      <w:rFonts w:ascii="Wingdings" w:hAnsi="Wingdings"/>
    </w:rPr>
  </w:style>
  <w:style w:type="character" w:customStyle="1" w:styleId="WW8Num23z3">
    <w:name w:val="WW8Num23z3"/>
    <w:uiPriority w:val="99"/>
    <w:rPr>
      <w:rFonts w:ascii="Symbol" w:hAnsi="Symbol"/>
    </w:rPr>
  </w:style>
  <w:style w:type="character" w:customStyle="1" w:styleId="WW8Num24z0">
    <w:name w:val="WW8Num24z0"/>
    <w:uiPriority w:val="99"/>
    <w:rPr>
      <w:rFonts w:ascii="Times New Roman" w:hAnsi="Times New Roman"/>
      <w:sz w:val="28"/>
    </w:rPr>
  </w:style>
  <w:style w:type="character" w:customStyle="1" w:styleId="WW8Num24z1">
    <w:name w:val="WW8Num24z1"/>
    <w:uiPriority w:val="99"/>
    <w:rPr>
      <w:rFonts w:ascii="Courier New" w:hAnsi="Courier New"/>
    </w:rPr>
  </w:style>
  <w:style w:type="character" w:customStyle="1" w:styleId="WW8Num24z2">
    <w:name w:val="WW8Num24z2"/>
    <w:uiPriority w:val="99"/>
    <w:rPr>
      <w:rFonts w:ascii="Wingdings" w:hAnsi="Wingdings"/>
    </w:rPr>
  </w:style>
  <w:style w:type="character" w:customStyle="1" w:styleId="WW8Num24z3">
    <w:name w:val="WW8Num24z3"/>
    <w:uiPriority w:val="99"/>
    <w:rPr>
      <w:rFonts w:ascii="Symbol" w:hAnsi="Symbol"/>
    </w:rPr>
  </w:style>
  <w:style w:type="character" w:customStyle="1" w:styleId="WW8Num25z0">
    <w:name w:val="WW8Num25z0"/>
    <w:uiPriority w:val="99"/>
    <w:rPr>
      <w:rFonts w:ascii="Times New Roman" w:hAnsi="Times New Roman"/>
    </w:rPr>
  </w:style>
  <w:style w:type="character" w:customStyle="1" w:styleId="WW8Num25z1">
    <w:name w:val="WW8Num25z1"/>
    <w:uiPriority w:val="99"/>
    <w:rPr>
      <w:rFonts w:ascii="Courier New" w:hAnsi="Courier New"/>
    </w:rPr>
  </w:style>
  <w:style w:type="character" w:customStyle="1" w:styleId="WW8Num25z2">
    <w:name w:val="WW8Num25z2"/>
    <w:uiPriority w:val="99"/>
    <w:rPr>
      <w:rFonts w:ascii="Wingdings" w:hAnsi="Wingdings"/>
    </w:rPr>
  </w:style>
  <w:style w:type="character" w:customStyle="1" w:styleId="WW8Num25z3">
    <w:name w:val="WW8Num25z3"/>
    <w:uiPriority w:val="99"/>
    <w:rPr>
      <w:rFonts w:ascii="Symbol" w:hAnsi="Symbol"/>
    </w:rPr>
  </w:style>
  <w:style w:type="character" w:customStyle="1" w:styleId="WW8Num26z0">
    <w:name w:val="WW8Num26z0"/>
    <w:uiPriority w:val="99"/>
  </w:style>
  <w:style w:type="character" w:customStyle="1" w:styleId="WW8Num27z0">
    <w:name w:val="WW8Num27z0"/>
    <w:uiPriority w:val="99"/>
    <w:rPr>
      <w:rFonts w:ascii="Times New Roman" w:hAnsi="Times New Roman"/>
    </w:rPr>
  </w:style>
  <w:style w:type="character" w:customStyle="1" w:styleId="WW8Num27z1">
    <w:name w:val="WW8Num27z1"/>
    <w:uiPriority w:val="99"/>
    <w:rPr>
      <w:rFonts w:ascii="Courier New" w:hAnsi="Courier New"/>
    </w:rPr>
  </w:style>
  <w:style w:type="character" w:customStyle="1" w:styleId="WW8Num27z2">
    <w:name w:val="WW8Num27z2"/>
    <w:uiPriority w:val="99"/>
    <w:rPr>
      <w:rFonts w:ascii="Wingdings" w:hAnsi="Wingdings"/>
    </w:rPr>
  </w:style>
  <w:style w:type="character" w:customStyle="1" w:styleId="WW8Num27z3">
    <w:name w:val="WW8Num27z3"/>
    <w:uiPriority w:val="99"/>
    <w:rPr>
      <w:rFonts w:ascii="Symbol" w:hAnsi="Symbol"/>
    </w:rPr>
  </w:style>
  <w:style w:type="character" w:customStyle="1" w:styleId="WW8Num28z0">
    <w:name w:val="WW8Num28z0"/>
    <w:uiPriority w:val="99"/>
    <w:rPr>
      <w:rFonts w:ascii="Times New Roman" w:hAnsi="Times New Roman"/>
    </w:rPr>
  </w:style>
  <w:style w:type="character" w:customStyle="1" w:styleId="WW8Num28z1">
    <w:name w:val="WW8Num28z1"/>
    <w:uiPriority w:val="99"/>
    <w:rPr>
      <w:rFonts w:ascii="Courier New" w:hAnsi="Courier New"/>
    </w:rPr>
  </w:style>
  <w:style w:type="character" w:customStyle="1" w:styleId="WW8Num28z2">
    <w:name w:val="WW8Num28z2"/>
    <w:uiPriority w:val="99"/>
    <w:rPr>
      <w:rFonts w:ascii="Wingdings" w:hAnsi="Wingdings"/>
    </w:rPr>
  </w:style>
  <w:style w:type="character" w:customStyle="1" w:styleId="WW8Num28z3">
    <w:name w:val="WW8Num28z3"/>
    <w:uiPriority w:val="99"/>
    <w:rPr>
      <w:rFonts w:ascii="Symbol" w:hAnsi="Symbol"/>
    </w:rPr>
  </w:style>
  <w:style w:type="character" w:customStyle="1" w:styleId="WW8Num29z0">
    <w:name w:val="WW8Num29z0"/>
    <w:uiPriority w:val="99"/>
    <w:rPr>
      <w:rFonts w:ascii="Times New Roman" w:hAnsi="Times New Roman"/>
    </w:rPr>
  </w:style>
  <w:style w:type="character" w:customStyle="1" w:styleId="WW8Num29z1">
    <w:name w:val="WW8Num29z1"/>
    <w:uiPriority w:val="99"/>
    <w:rPr>
      <w:rFonts w:ascii="Courier New" w:hAnsi="Courier New"/>
    </w:rPr>
  </w:style>
  <w:style w:type="character" w:customStyle="1" w:styleId="WW8Num29z2">
    <w:name w:val="WW8Num29z2"/>
    <w:uiPriority w:val="99"/>
    <w:rPr>
      <w:rFonts w:ascii="Wingdings" w:hAnsi="Wingdings"/>
    </w:rPr>
  </w:style>
  <w:style w:type="character" w:customStyle="1" w:styleId="WW8Num29z3">
    <w:name w:val="WW8Num29z3"/>
    <w:uiPriority w:val="99"/>
    <w:rPr>
      <w:rFonts w:ascii="Symbol" w:hAnsi="Symbol"/>
    </w:rPr>
  </w:style>
  <w:style w:type="character" w:customStyle="1" w:styleId="WW8Num30z0">
    <w:name w:val="WW8Num30z0"/>
    <w:uiPriority w:val="99"/>
  </w:style>
  <w:style w:type="character" w:customStyle="1" w:styleId="WW8Num31z0">
    <w:name w:val="WW8Num31z0"/>
    <w:uiPriority w:val="99"/>
    <w:rPr>
      <w:rFonts w:ascii="Times New Roman" w:hAnsi="Times New Roman"/>
    </w:rPr>
  </w:style>
  <w:style w:type="character" w:customStyle="1" w:styleId="WW8Num31z1">
    <w:name w:val="WW8Num31z1"/>
    <w:uiPriority w:val="99"/>
    <w:rPr>
      <w:rFonts w:ascii="Courier New" w:hAnsi="Courier New"/>
    </w:rPr>
  </w:style>
  <w:style w:type="character" w:customStyle="1" w:styleId="WW8Num31z2">
    <w:name w:val="WW8Num31z2"/>
    <w:uiPriority w:val="99"/>
    <w:rPr>
      <w:rFonts w:ascii="Wingdings" w:hAnsi="Wingdings"/>
    </w:rPr>
  </w:style>
  <w:style w:type="character" w:customStyle="1" w:styleId="WW8Num31z3">
    <w:name w:val="WW8Num31z3"/>
    <w:uiPriority w:val="99"/>
    <w:rPr>
      <w:rFonts w:ascii="Symbol" w:hAnsi="Symbol"/>
    </w:rPr>
  </w:style>
  <w:style w:type="character" w:customStyle="1" w:styleId="1">
    <w:name w:val="Шрифт абзацу за замовчуванням1"/>
    <w:uiPriority w:val="99"/>
  </w:style>
  <w:style w:type="character" w:customStyle="1" w:styleId="a3">
    <w:name w:val="Текст у виносці Знак"/>
    <w:uiPriority w:val="99"/>
    <w:rPr>
      <w:rFonts w:ascii="Segoe UI" w:hAnsi="Segoe UI"/>
      <w:sz w:val="18"/>
      <w:lang w:val="uk-UA"/>
    </w:rPr>
  </w:style>
  <w:style w:type="character" w:customStyle="1" w:styleId="a4">
    <w:name w:val="Основний текст Знак"/>
    <w:link w:val="a5"/>
    <w:uiPriority w:val="99"/>
    <w:semiHidden/>
    <w:locked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BodyTextIndent2Char">
    <w:name w:val="Body Text Indent 2 Char"/>
    <w:uiPriority w:val="99"/>
    <w:semiHidden/>
    <w:locked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HTMLPreformattedChar">
    <w:name w:val="HTML Preformatted Char"/>
    <w:uiPriority w:val="99"/>
    <w:semiHidden/>
    <w:locked/>
    <w:rPr>
      <w:rFonts w:ascii="Courier New" w:hAnsi="Courier New" w:cs="Courier New"/>
      <w:sz w:val="20"/>
      <w:szCs w:val="20"/>
      <w:lang w:eastAsia="zh-CN"/>
    </w:rPr>
  </w:style>
  <w:style w:type="character" w:customStyle="1" w:styleId="BalloonTextChar">
    <w:name w:val="Balloon Text Char"/>
    <w:uiPriority w:val="99"/>
    <w:semiHidden/>
    <w:locked/>
    <w:rPr>
      <w:rFonts w:ascii="Times New Roman" w:hAnsi="Times New Roman" w:cs="Times New Roman"/>
      <w:sz w:val="2"/>
      <w:lang w:eastAsia="zh-CN"/>
    </w:rPr>
  </w:style>
  <w:style w:type="character" w:customStyle="1" w:styleId="BodyTextChar1">
    <w:name w:val="Body Text Char1"/>
    <w:uiPriority w:val="99"/>
    <w:semiHidden/>
    <w:locked/>
    <w:rPr>
      <w:rFonts w:ascii="Times New Roman" w:hAnsi="Times New Roman" w:cs="Times New Roman"/>
      <w:sz w:val="24"/>
      <w:szCs w:val="24"/>
      <w:lang w:val="uk-UA" w:eastAsia="zh-CN"/>
    </w:rPr>
  </w:style>
  <w:style w:type="character" w:customStyle="1" w:styleId="2">
    <w:name w:val="Основний текст з відступом 2 Знак"/>
    <w:link w:val="20"/>
    <w:uiPriority w:val="99"/>
    <w:semiHidden/>
    <w:locked/>
    <w:rPr>
      <w:rFonts w:ascii="Times New Roman" w:hAnsi="Times New Roman" w:cs="Times New Roman"/>
      <w:sz w:val="24"/>
      <w:szCs w:val="24"/>
      <w:lang w:val="uk-UA" w:eastAsia="zh-CN"/>
    </w:rPr>
  </w:style>
  <w:style w:type="character" w:customStyle="1" w:styleId="HTML">
    <w:name w:val="Стандартний HTML Знак"/>
    <w:link w:val="HTML0"/>
    <w:uiPriority w:val="99"/>
    <w:semiHidden/>
    <w:locked/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10">
    <w:name w:val="Текст у виносці Знак1"/>
    <w:link w:val="a6"/>
    <w:uiPriority w:val="99"/>
    <w:semiHidden/>
    <w:locked/>
    <w:rPr>
      <w:rFonts w:ascii="Times New Roman" w:hAnsi="Times New Roman" w:cs="Times New Roman"/>
      <w:sz w:val="2"/>
      <w:lang w:val="uk-UA" w:eastAsia="zh-CN"/>
    </w:rPr>
  </w:style>
  <w:style w:type="character" w:customStyle="1" w:styleId="a7">
    <w:name w:val="Верхній колонтитул Знак"/>
    <w:link w:val="a8"/>
    <w:uiPriority w:val="99"/>
    <w:locked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9">
    <w:name w:val="Нижній колонтитул Знак"/>
    <w:link w:val="aa"/>
    <w:uiPriority w:val="99"/>
    <w:locked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b">
    <w:name w:val="Заголовок"/>
    <w:basedOn w:val="a"/>
    <w:next w:val="a5"/>
    <w:uiPriority w:val="99"/>
    <w:rsid w:val="009B33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uiPriority w:val="99"/>
    <w:pPr>
      <w:spacing w:after="140" w:line="276" w:lineRule="auto"/>
    </w:pPr>
  </w:style>
  <w:style w:type="character" w:customStyle="1" w:styleId="BodyTextChar2">
    <w:name w:val="Body Text Char2"/>
    <w:uiPriority w:val="99"/>
    <w:semiHidden/>
    <w:rsid w:val="00FE76CE"/>
    <w:rPr>
      <w:rFonts w:ascii="Times New Roman" w:hAnsi="Times New Roman" w:cs="Times New Roman"/>
      <w:sz w:val="24"/>
      <w:szCs w:val="24"/>
      <w:lang w:eastAsia="zh-CN"/>
    </w:rPr>
  </w:style>
  <w:style w:type="paragraph" w:styleId="ac">
    <w:name w:val="List"/>
    <w:basedOn w:val="a5"/>
    <w:uiPriority w:val="99"/>
    <w:rPr>
      <w:rFonts w:cs="Arial"/>
    </w:rPr>
  </w:style>
  <w:style w:type="paragraph" w:styleId="ad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uiPriority w:val="99"/>
    <w:rsid w:val="009B33F8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uiPriority w:val="99"/>
    <w:pPr>
      <w:suppressLineNumbers/>
    </w:pPr>
    <w:rPr>
      <w:rFonts w:cs="Arial"/>
    </w:rPr>
  </w:style>
  <w:style w:type="paragraph" w:styleId="20">
    <w:name w:val="Body Text Indent 2"/>
    <w:basedOn w:val="a"/>
    <w:link w:val="2"/>
    <w:uiPriority w:val="99"/>
    <w:pPr>
      <w:spacing w:after="120" w:line="480" w:lineRule="auto"/>
      <w:ind w:left="283"/>
    </w:pPr>
  </w:style>
  <w:style w:type="character" w:customStyle="1" w:styleId="BodyTextIndent2Char2">
    <w:name w:val="Body Text Indent 2 Char2"/>
    <w:uiPriority w:val="99"/>
    <w:semiHidden/>
    <w:rsid w:val="00FE76CE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">
    <w:name w:val="Знак Знак Знак Знак Знак Знак Знак Знак Знак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styleId="af0">
    <w:name w:val="Normal (Web)"/>
    <w:basedOn w:val="a"/>
    <w:uiPriority w:val="99"/>
    <w:pPr>
      <w:spacing w:before="280" w:after="280"/>
    </w:pPr>
    <w:rPr>
      <w:lang w:val="ru-RU"/>
    </w:rPr>
  </w:style>
  <w:style w:type="paragraph" w:styleId="HTML0">
    <w:name w:val="HTML Preformatted"/>
    <w:basedOn w:val="a"/>
    <w:link w:val="HTML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PreformattedChar2">
    <w:name w:val="HTML Preformatted Char2"/>
    <w:uiPriority w:val="99"/>
    <w:semiHidden/>
    <w:rsid w:val="00FE76CE"/>
    <w:rPr>
      <w:rFonts w:ascii="Courier New" w:hAnsi="Courier New" w:cs="Courier New"/>
      <w:sz w:val="20"/>
      <w:szCs w:val="20"/>
      <w:lang w:eastAsia="zh-CN"/>
    </w:rPr>
  </w:style>
  <w:style w:type="paragraph" w:customStyle="1" w:styleId="af1">
    <w:name w:val="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styleId="a6">
    <w:name w:val="Balloon Text"/>
    <w:basedOn w:val="a"/>
    <w:link w:val="10"/>
    <w:uiPriority w:val="99"/>
    <w:rPr>
      <w:rFonts w:ascii="Segoe UI" w:hAnsi="Segoe UI" w:cs="Segoe UI"/>
      <w:sz w:val="18"/>
      <w:szCs w:val="18"/>
    </w:rPr>
  </w:style>
  <w:style w:type="character" w:customStyle="1" w:styleId="BalloonTextChar2">
    <w:name w:val="Balloon Text Char2"/>
    <w:uiPriority w:val="99"/>
    <w:semiHidden/>
    <w:rsid w:val="00FE76CE"/>
    <w:rPr>
      <w:rFonts w:ascii="Times New Roman" w:hAnsi="Times New Roman" w:cs="Times New Roman"/>
      <w:sz w:val="0"/>
      <w:szCs w:val="0"/>
      <w:lang w:eastAsia="zh-CN"/>
    </w:rPr>
  </w:style>
  <w:style w:type="paragraph" w:customStyle="1" w:styleId="user1">
    <w:name w:val="Вміст рамки (user)"/>
    <w:basedOn w:val="a"/>
    <w:uiPriority w:val="99"/>
  </w:style>
  <w:style w:type="paragraph" w:customStyle="1" w:styleId="user2">
    <w:name w:val="Вміст таблиці (user)"/>
    <w:basedOn w:val="a"/>
    <w:uiPriority w:val="99"/>
    <w:pPr>
      <w:widowControl w:val="0"/>
      <w:suppressLineNumbers/>
    </w:pPr>
  </w:style>
  <w:style w:type="paragraph" w:customStyle="1" w:styleId="user3">
    <w:name w:val="Заголовок таблиці (user)"/>
    <w:basedOn w:val="user2"/>
    <w:uiPriority w:val="99"/>
    <w:pPr>
      <w:jc w:val="center"/>
    </w:pPr>
    <w:rPr>
      <w:b/>
      <w:bCs/>
    </w:rPr>
  </w:style>
  <w:style w:type="paragraph" w:customStyle="1" w:styleId="11">
    <w:name w:val="Звичайна таблиця1"/>
    <w:uiPriority w:val="99"/>
    <w:pPr>
      <w:suppressAutoHyphens/>
    </w:pPr>
    <w:rPr>
      <w:rFonts w:ascii="Times New Roman" w:hAnsi="Times New Roman" w:cs="Times New Roman"/>
      <w:lang w:bidi="ar-SA"/>
    </w:rPr>
  </w:style>
  <w:style w:type="paragraph" w:customStyle="1" w:styleId="af2">
    <w:name w:val="Верхній і нижній колонтитули"/>
    <w:basedOn w:val="a"/>
    <w:uiPriority w:val="99"/>
    <w:rsid w:val="009B33F8"/>
  </w:style>
  <w:style w:type="paragraph" w:customStyle="1" w:styleId="user4">
    <w:name w:val="Верхній і нижній колонтитули (user)"/>
    <w:basedOn w:val="a"/>
    <w:uiPriority w:val="99"/>
    <w:rsid w:val="009B33F8"/>
  </w:style>
  <w:style w:type="paragraph" w:styleId="a8">
    <w:name w:val="header"/>
    <w:basedOn w:val="a"/>
    <w:link w:val="a7"/>
    <w:uiPriority w:val="99"/>
    <w:pPr>
      <w:tabs>
        <w:tab w:val="center" w:pos="4819"/>
        <w:tab w:val="right" w:pos="9639"/>
      </w:tabs>
    </w:pPr>
  </w:style>
  <w:style w:type="character" w:customStyle="1" w:styleId="HeaderChar1">
    <w:name w:val="Header Char1"/>
    <w:uiPriority w:val="99"/>
    <w:semiHidden/>
    <w:rsid w:val="00FE76CE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9"/>
    <w:uiPriority w:val="99"/>
    <w:pPr>
      <w:tabs>
        <w:tab w:val="center" w:pos="4819"/>
        <w:tab w:val="right" w:pos="9639"/>
      </w:tabs>
    </w:pPr>
  </w:style>
  <w:style w:type="character" w:customStyle="1" w:styleId="FooterChar1">
    <w:name w:val="Footer Char1"/>
    <w:uiPriority w:val="99"/>
    <w:semiHidden/>
    <w:rsid w:val="00FE76CE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4359</Words>
  <Characters>2486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 про роботу</vt:lpstr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роботу</dc:title>
  <dc:subject/>
  <dc:creator>www</dc:creator>
  <cp:keywords> </cp:keywords>
  <dc:description/>
  <cp:lastModifiedBy>Ірина Демидюк</cp:lastModifiedBy>
  <cp:revision>58</cp:revision>
  <cp:lastPrinted>2024-09-30T11:20:00Z</cp:lastPrinted>
  <dcterms:created xsi:type="dcterms:W3CDTF">2024-09-30T09:22:00Z</dcterms:created>
  <dcterms:modified xsi:type="dcterms:W3CDTF">2025-09-26T11:25:00Z</dcterms:modified>
</cp:coreProperties>
</file>