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2F20" w14:textId="77777777" w:rsidR="003B2804" w:rsidRDefault="00000000">
      <w:pPr>
        <w:jc w:val="center"/>
        <w:rPr>
          <w:sz w:val="28"/>
          <w:szCs w:val="28"/>
        </w:rPr>
      </w:pPr>
      <w:r>
        <w:rPr>
          <w:sz w:val="28"/>
          <w:szCs w:val="28"/>
        </w:rPr>
        <w:t>Департамент економічної політики</w:t>
      </w:r>
    </w:p>
    <w:p w14:paraId="11DFCF3F" w14:textId="77777777" w:rsidR="003B2804" w:rsidRDefault="00000000">
      <w:pPr>
        <w:jc w:val="center"/>
        <w:rPr>
          <w:sz w:val="28"/>
          <w:szCs w:val="28"/>
        </w:rPr>
      </w:pPr>
      <w:r>
        <w:rPr>
          <w:sz w:val="28"/>
          <w:szCs w:val="28"/>
        </w:rPr>
        <w:t>Луцької міської ради</w:t>
      </w:r>
    </w:p>
    <w:p w14:paraId="521E5796" w14:textId="77777777" w:rsidR="003B2804" w:rsidRDefault="003B2804">
      <w:pPr>
        <w:rPr>
          <w:sz w:val="28"/>
          <w:szCs w:val="28"/>
        </w:rPr>
      </w:pPr>
    </w:p>
    <w:p w14:paraId="7112FC11" w14:textId="77777777" w:rsidR="003B2804" w:rsidRDefault="003B2804">
      <w:pPr>
        <w:rPr>
          <w:sz w:val="28"/>
          <w:szCs w:val="28"/>
        </w:rPr>
      </w:pPr>
    </w:p>
    <w:p w14:paraId="005D0B92" w14:textId="77777777" w:rsidR="003B2804" w:rsidRDefault="003B2804">
      <w:pPr>
        <w:rPr>
          <w:sz w:val="28"/>
          <w:szCs w:val="28"/>
        </w:rPr>
      </w:pPr>
    </w:p>
    <w:p w14:paraId="0C918907" w14:textId="77777777" w:rsidR="003B2804" w:rsidRDefault="003B2804">
      <w:pPr>
        <w:rPr>
          <w:sz w:val="28"/>
          <w:szCs w:val="28"/>
        </w:rPr>
      </w:pPr>
    </w:p>
    <w:p w14:paraId="464292BB" w14:textId="77777777" w:rsidR="003B2804" w:rsidRDefault="003B2804">
      <w:pPr>
        <w:rPr>
          <w:sz w:val="28"/>
          <w:szCs w:val="28"/>
        </w:rPr>
      </w:pPr>
    </w:p>
    <w:p w14:paraId="0303F934" w14:textId="77777777" w:rsidR="003B2804" w:rsidRDefault="003B2804">
      <w:pPr>
        <w:rPr>
          <w:sz w:val="28"/>
          <w:szCs w:val="28"/>
        </w:rPr>
      </w:pPr>
    </w:p>
    <w:p w14:paraId="4A7BEBF3" w14:textId="77777777" w:rsidR="003B2804" w:rsidRDefault="003B2804">
      <w:pPr>
        <w:rPr>
          <w:sz w:val="28"/>
          <w:szCs w:val="28"/>
        </w:rPr>
      </w:pPr>
    </w:p>
    <w:p w14:paraId="0F179BA1" w14:textId="77777777" w:rsidR="003B2804" w:rsidRDefault="003B2804">
      <w:pPr>
        <w:rPr>
          <w:sz w:val="28"/>
          <w:szCs w:val="28"/>
        </w:rPr>
      </w:pPr>
    </w:p>
    <w:p w14:paraId="17BA2B82" w14:textId="77777777" w:rsidR="003B2804" w:rsidRDefault="003B2804">
      <w:pPr>
        <w:rPr>
          <w:sz w:val="28"/>
          <w:szCs w:val="28"/>
        </w:rPr>
      </w:pPr>
    </w:p>
    <w:p w14:paraId="5C23E0A8" w14:textId="77777777" w:rsidR="003B2804" w:rsidRDefault="003B2804">
      <w:pPr>
        <w:rPr>
          <w:sz w:val="28"/>
          <w:szCs w:val="28"/>
        </w:rPr>
      </w:pPr>
    </w:p>
    <w:p w14:paraId="676E8357" w14:textId="77777777" w:rsidR="003B2804" w:rsidRDefault="003B2804">
      <w:pPr>
        <w:rPr>
          <w:sz w:val="28"/>
          <w:szCs w:val="28"/>
        </w:rPr>
      </w:pPr>
    </w:p>
    <w:p w14:paraId="15B1998B" w14:textId="77777777" w:rsidR="003B2804" w:rsidRDefault="003B2804">
      <w:pPr>
        <w:rPr>
          <w:sz w:val="28"/>
          <w:szCs w:val="28"/>
        </w:rPr>
      </w:pPr>
    </w:p>
    <w:p w14:paraId="595C236A" w14:textId="77777777" w:rsidR="003B2804" w:rsidRDefault="003B2804">
      <w:pPr>
        <w:rPr>
          <w:sz w:val="28"/>
          <w:szCs w:val="28"/>
        </w:rPr>
      </w:pPr>
    </w:p>
    <w:p w14:paraId="3EC78302" w14:textId="77777777" w:rsidR="003B2804" w:rsidRDefault="003B2804">
      <w:pPr>
        <w:rPr>
          <w:sz w:val="28"/>
          <w:szCs w:val="28"/>
        </w:rPr>
      </w:pPr>
    </w:p>
    <w:p w14:paraId="06F9B3FB" w14:textId="77777777" w:rsidR="003B2804" w:rsidRDefault="00000000">
      <w:pPr>
        <w:jc w:val="center"/>
        <w:rPr>
          <w:b/>
          <w:sz w:val="32"/>
          <w:szCs w:val="32"/>
        </w:rPr>
      </w:pPr>
      <w:r>
        <w:rPr>
          <w:b/>
          <w:sz w:val="32"/>
          <w:szCs w:val="32"/>
        </w:rPr>
        <w:t>КОНЦЕПТУАЛЬНА ЗАПИСКА</w:t>
      </w:r>
    </w:p>
    <w:p w14:paraId="347A45E7" w14:textId="5A1A49F3" w:rsidR="003B2804" w:rsidRDefault="00000000">
      <w:pPr>
        <w:ind w:firstLine="709"/>
        <w:jc w:val="center"/>
        <w:rPr>
          <w:sz w:val="28"/>
          <w:szCs w:val="28"/>
        </w:rPr>
      </w:pPr>
      <w:r>
        <w:rPr>
          <w:sz w:val="32"/>
          <w:szCs w:val="32"/>
        </w:rPr>
        <w:t xml:space="preserve">здійснення публічно-приватного партнерства щодо </w:t>
      </w:r>
      <w:proofErr w:type="spellStart"/>
      <w:r>
        <w:rPr>
          <w:sz w:val="32"/>
          <w:szCs w:val="32"/>
        </w:rPr>
        <w:t>проєкту</w:t>
      </w:r>
      <w:proofErr w:type="spellEnd"/>
      <w:r>
        <w:rPr>
          <w:sz w:val="32"/>
          <w:szCs w:val="32"/>
        </w:rPr>
        <w:t xml:space="preserve"> «Будівництво та експлуатація стадіону з штучним покриттям за </w:t>
      </w:r>
      <w:proofErr w:type="spellStart"/>
      <w:r>
        <w:rPr>
          <w:sz w:val="32"/>
          <w:szCs w:val="32"/>
        </w:rPr>
        <w:t>адресою</w:t>
      </w:r>
      <w:proofErr w:type="spellEnd"/>
      <w:r w:rsidR="00810DF3">
        <w:rPr>
          <w:sz w:val="32"/>
          <w:szCs w:val="32"/>
        </w:rPr>
        <w:t>:</w:t>
      </w:r>
      <w:r>
        <w:rPr>
          <w:sz w:val="32"/>
          <w:szCs w:val="32"/>
        </w:rPr>
        <w:t xml:space="preserve"> м. Луцьк, вул. </w:t>
      </w:r>
      <w:proofErr w:type="spellStart"/>
      <w:r>
        <w:rPr>
          <w:sz w:val="32"/>
          <w:szCs w:val="32"/>
        </w:rPr>
        <w:t>Теремнівська</w:t>
      </w:r>
      <w:proofErr w:type="spellEnd"/>
      <w:r>
        <w:rPr>
          <w:sz w:val="32"/>
          <w:szCs w:val="32"/>
        </w:rPr>
        <w:t>, 40-г»</w:t>
      </w:r>
      <w:bookmarkStart w:id="0" w:name="_Hlk213362938"/>
      <w:bookmarkEnd w:id="0"/>
    </w:p>
    <w:p w14:paraId="51D87EB7" w14:textId="77777777" w:rsidR="003B2804" w:rsidRDefault="003B2804">
      <w:pPr>
        <w:ind w:firstLine="709"/>
        <w:jc w:val="center"/>
        <w:rPr>
          <w:sz w:val="28"/>
          <w:szCs w:val="28"/>
        </w:rPr>
      </w:pPr>
    </w:p>
    <w:p w14:paraId="79821D7A" w14:textId="77777777" w:rsidR="003B2804" w:rsidRDefault="003B2804">
      <w:pPr>
        <w:ind w:firstLine="709"/>
        <w:jc w:val="center"/>
        <w:rPr>
          <w:sz w:val="28"/>
          <w:szCs w:val="28"/>
        </w:rPr>
      </w:pPr>
    </w:p>
    <w:p w14:paraId="0FB1B9D9" w14:textId="77777777" w:rsidR="003B2804" w:rsidRDefault="003B2804">
      <w:pPr>
        <w:ind w:firstLine="709"/>
        <w:jc w:val="center"/>
        <w:rPr>
          <w:sz w:val="28"/>
          <w:szCs w:val="28"/>
        </w:rPr>
      </w:pPr>
    </w:p>
    <w:p w14:paraId="30337C4B" w14:textId="77777777" w:rsidR="003B2804" w:rsidRDefault="003B2804">
      <w:pPr>
        <w:ind w:firstLine="709"/>
        <w:jc w:val="center"/>
        <w:rPr>
          <w:sz w:val="28"/>
          <w:szCs w:val="28"/>
        </w:rPr>
      </w:pPr>
    </w:p>
    <w:p w14:paraId="42342782" w14:textId="77777777" w:rsidR="003B2804" w:rsidRDefault="003B2804">
      <w:pPr>
        <w:ind w:firstLine="709"/>
        <w:jc w:val="center"/>
        <w:rPr>
          <w:sz w:val="28"/>
          <w:szCs w:val="28"/>
        </w:rPr>
      </w:pPr>
    </w:p>
    <w:p w14:paraId="65DC6D08" w14:textId="77777777" w:rsidR="003B2804" w:rsidRDefault="003B2804">
      <w:pPr>
        <w:ind w:firstLine="709"/>
        <w:jc w:val="center"/>
        <w:rPr>
          <w:sz w:val="28"/>
          <w:szCs w:val="28"/>
        </w:rPr>
      </w:pPr>
    </w:p>
    <w:p w14:paraId="544FBEB2" w14:textId="77777777" w:rsidR="003B2804" w:rsidRDefault="003B2804">
      <w:pPr>
        <w:ind w:firstLine="709"/>
        <w:jc w:val="center"/>
        <w:rPr>
          <w:sz w:val="28"/>
          <w:szCs w:val="28"/>
        </w:rPr>
      </w:pPr>
    </w:p>
    <w:p w14:paraId="125396FF" w14:textId="77777777" w:rsidR="003B2804" w:rsidRDefault="003B2804">
      <w:pPr>
        <w:ind w:firstLine="709"/>
        <w:jc w:val="center"/>
        <w:rPr>
          <w:sz w:val="28"/>
          <w:szCs w:val="28"/>
        </w:rPr>
      </w:pPr>
    </w:p>
    <w:p w14:paraId="2BD4706E" w14:textId="77777777" w:rsidR="003B2804" w:rsidRDefault="003B2804">
      <w:pPr>
        <w:ind w:firstLine="709"/>
        <w:jc w:val="center"/>
        <w:rPr>
          <w:sz w:val="28"/>
          <w:szCs w:val="28"/>
        </w:rPr>
      </w:pPr>
    </w:p>
    <w:p w14:paraId="0FEA03DB" w14:textId="77777777" w:rsidR="003B2804" w:rsidRDefault="003B2804">
      <w:pPr>
        <w:ind w:firstLine="709"/>
        <w:jc w:val="center"/>
        <w:rPr>
          <w:sz w:val="28"/>
          <w:szCs w:val="28"/>
        </w:rPr>
      </w:pPr>
    </w:p>
    <w:p w14:paraId="1FA29E82" w14:textId="77777777" w:rsidR="003B2804" w:rsidRDefault="003B2804">
      <w:pPr>
        <w:ind w:firstLine="709"/>
        <w:jc w:val="center"/>
        <w:rPr>
          <w:sz w:val="28"/>
          <w:szCs w:val="28"/>
        </w:rPr>
      </w:pPr>
    </w:p>
    <w:p w14:paraId="3CA7B2AD" w14:textId="77777777" w:rsidR="003B2804" w:rsidRDefault="003B2804">
      <w:pPr>
        <w:ind w:firstLine="709"/>
        <w:jc w:val="center"/>
        <w:rPr>
          <w:sz w:val="28"/>
          <w:szCs w:val="28"/>
        </w:rPr>
      </w:pPr>
    </w:p>
    <w:p w14:paraId="087E5B56" w14:textId="77777777" w:rsidR="003B2804" w:rsidRDefault="003B2804">
      <w:pPr>
        <w:ind w:firstLine="709"/>
        <w:jc w:val="center"/>
        <w:rPr>
          <w:sz w:val="28"/>
          <w:szCs w:val="28"/>
        </w:rPr>
      </w:pPr>
    </w:p>
    <w:p w14:paraId="7282A677" w14:textId="77777777" w:rsidR="003B2804" w:rsidRDefault="003B2804">
      <w:pPr>
        <w:ind w:firstLine="709"/>
        <w:jc w:val="center"/>
        <w:rPr>
          <w:sz w:val="28"/>
          <w:szCs w:val="28"/>
        </w:rPr>
      </w:pPr>
    </w:p>
    <w:p w14:paraId="1939143A" w14:textId="77777777" w:rsidR="003B2804" w:rsidRDefault="003B2804">
      <w:pPr>
        <w:ind w:firstLine="709"/>
        <w:jc w:val="center"/>
        <w:rPr>
          <w:sz w:val="28"/>
          <w:szCs w:val="28"/>
        </w:rPr>
      </w:pPr>
    </w:p>
    <w:p w14:paraId="3DC9A540" w14:textId="77777777" w:rsidR="003B2804" w:rsidRDefault="003B2804">
      <w:pPr>
        <w:ind w:firstLine="709"/>
        <w:jc w:val="center"/>
        <w:rPr>
          <w:sz w:val="28"/>
          <w:szCs w:val="28"/>
        </w:rPr>
      </w:pPr>
    </w:p>
    <w:p w14:paraId="7BD55A38" w14:textId="77777777" w:rsidR="003B2804" w:rsidRDefault="003B2804">
      <w:pPr>
        <w:ind w:firstLine="709"/>
        <w:jc w:val="center"/>
        <w:rPr>
          <w:sz w:val="28"/>
          <w:szCs w:val="28"/>
        </w:rPr>
      </w:pPr>
    </w:p>
    <w:p w14:paraId="42F30B9B" w14:textId="77777777" w:rsidR="003B2804" w:rsidRDefault="003B2804">
      <w:pPr>
        <w:ind w:firstLine="709"/>
        <w:jc w:val="center"/>
        <w:rPr>
          <w:sz w:val="28"/>
          <w:szCs w:val="28"/>
        </w:rPr>
      </w:pPr>
    </w:p>
    <w:p w14:paraId="01111D7E" w14:textId="77777777" w:rsidR="003B2804" w:rsidRDefault="003B2804">
      <w:pPr>
        <w:ind w:firstLine="709"/>
        <w:jc w:val="center"/>
        <w:rPr>
          <w:sz w:val="28"/>
          <w:szCs w:val="28"/>
        </w:rPr>
      </w:pPr>
    </w:p>
    <w:p w14:paraId="08A518A2" w14:textId="77777777" w:rsidR="003B2804" w:rsidRDefault="003B2804">
      <w:pPr>
        <w:ind w:firstLine="709"/>
        <w:jc w:val="center"/>
        <w:rPr>
          <w:sz w:val="28"/>
          <w:szCs w:val="28"/>
        </w:rPr>
      </w:pPr>
    </w:p>
    <w:p w14:paraId="40AEB89F" w14:textId="77777777" w:rsidR="003B2804" w:rsidRPr="004131DD" w:rsidRDefault="00000000">
      <w:pPr>
        <w:ind w:firstLine="709"/>
        <w:jc w:val="center"/>
        <w:rPr>
          <w:sz w:val="28"/>
          <w:szCs w:val="28"/>
        </w:rPr>
      </w:pPr>
      <w:r w:rsidRPr="004131DD">
        <w:rPr>
          <w:sz w:val="28"/>
          <w:szCs w:val="28"/>
        </w:rPr>
        <w:t>м. Луцьк 2025</w:t>
      </w:r>
    </w:p>
    <w:p w14:paraId="09ED92D4" w14:textId="77777777" w:rsidR="003B2804" w:rsidRDefault="00000000">
      <w:pPr>
        <w:rPr>
          <w:sz w:val="28"/>
          <w:szCs w:val="28"/>
        </w:rPr>
      </w:pPr>
      <w:r>
        <w:br w:type="page"/>
      </w:r>
    </w:p>
    <w:p w14:paraId="7A268FC0" w14:textId="77777777" w:rsidR="003B2804" w:rsidRDefault="00000000">
      <w:pPr>
        <w:ind w:left="567"/>
        <w:jc w:val="center"/>
        <w:rPr>
          <w:b/>
          <w:sz w:val="28"/>
          <w:szCs w:val="28"/>
        </w:rPr>
      </w:pPr>
      <w:r>
        <w:rPr>
          <w:b/>
          <w:sz w:val="28"/>
          <w:szCs w:val="28"/>
        </w:rPr>
        <w:lastRenderedPageBreak/>
        <w:t>Зміст</w:t>
      </w:r>
    </w:p>
    <w:p w14:paraId="3465B68E" w14:textId="77777777" w:rsidR="003B2804" w:rsidRDefault="003B2804">
      <w:pPr>
        <w:ind w:firstLine="709"/>
        <w:jc w:val="center"/>
        <w:rPr>
          <w:sz w:val="28"/>
          <w:szCs w:val="28"/>
        </w:rPr>
      </w:pPr>
    </w:p>
    <w:p w14:paraId="3D193E87" w14:textId="77777777" w:rsidR="003B2804" w:rsidRDefault="003B2804">
      <w:pPr>
        <w:ind w:firstLine="709"/>
        <w:jc w:val="center"/>
        <w:rPr>
          <w:sz w:val="28"/>
          <w:szCs w:val="28"/>
        </w:rPr>
      </w:pPr>
    </w:p>
    <w:p w14:paraId="0C808BD3" w14:textId="14B38823" w:rsidR="003B2804" w:rsidRPr="004131DD" w:rsidRDefault="00000000">
      <w:pPr>
        <w:ind w:left="567"/>
        <w:jc w:val="both"/>
        <w:rPr>
          <w:sz w:val="28"/>
          <w:szCs w:val="28"/>
        </w:rPr>
      </w:pPr>
      <w:r>
        <w:rPr>
          <w:sz w:val="28"/>
          <w:szCs w:val="28"/>
        </w:rPr>
        <w:t>1. Інформація про об'єкт публічно-приватного партнерства</w:t>
      </w:r>
      <w:r w:rsidRPr="004131DD">
        <w:rPr>
          <w:sz w:val="28"/>
          <w:szCs w:val="28"/>
        </w:rPr>
        <w:tab/>
      </w:r>
      <w:r w:rsidR="009467E5">
        <w:rPr>
          <w:sz w:val="28"/>
          <w:szCs w:val="28"/>
        </w:rPr>
        <w:t xml:space="preserve">        </w:t>
      </w:r>
      <w:proofErr w:type="spellStart"/>
      <w:r w:rsidRPr="004131DD">
        <w:rPr>
          <w:sz w:val="28"/>
          <w:szCs w:val="28"/>
        </w:rPr>
        <w:t>стор</w:t>
      </w:r>
      <w:proofErr w:type="spellEnd"/>
      <w:r w:rsidRPr="004131DD">
        <w:rPr>
          <w:sz w:val="28"/>
          <w:szCs w:val="28"/>
        </w:rPr>
        <w:t>.</w:t>
      </w:r>
      <w:r w:rsidR="00946F41" w:rsidRPr="004131DD">
        <w:rPr>
          <w:sz w:val="28"/>
          <w:szCs w:val="28"/>
        </w:rPr>
        <w:t> </w:t>
      </w:r>
      <w:r w:rsidR="009467E5">
        <w:rPr>
          <w:sz w:val="28"/>
          <w:szCs w:val="28"/>
        </w:rPr>
        <w:t>3</w:t>
      </w:r>
    </w:p>
    <w:p w14:paraId="3A80DBC5" w14:textId="77777777" w:rsidR="003B2804" w:rsidRPr="00946F41" w:rsidRDefault="003B2804">
      <w:pPr>
        <w:ind w:left="567"/>
        <w:jc w:val="both"/>
        <w:rPr>
          <w:color w:val="EE0000"/>
          <w:sz w:val="28"/>
          <w:szCs w:val="28"/>
        </w:rPr>
      </w:pPr>
    </w:p>
    <w:p w14:paraId="7C7BDE4B" w14:textId="3F0DD5D5" w:rsidR="003B2804" w:rsidRDefault="00000000">
      <w:pPr>
        <w:ind w:left="567"/>
        <w:rPr>
          <w:sz w:val="28"/>
          <w:szCs w:val="28"/>
        </w:rPr>
      </w:pPr>
      <w:r>
        <w:rPr>
          <w:sz w:val="28"/>
          <w:szCs w:val="28"/>
        </w:rPr>
        <w:t xml:space="preserve">2. Мета </w:t>
      </w:r>
      <w:proofErr w:type="spellStart"/>
      <w:r>
        <w:rPr>
          <w:sz w:val="28"/>
          <w:szCs w:val="28"/>
        </w:rPr>
        <w:t>проєкту</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467E5">
        <w:rPr>
          <w:sz w:val="28"/>
          <w:szCs w:val="28"/>
        </w:rPr>
        <w:t xml:space="preserve">        </w:t>
      </w:r>
      <w:proofErr w:type="spellStart"/>
      <w:r>
        <w:rPr>
          <w:sz w:val="28"/>
          <w:szCs w:val="28"/>
        </w:rPr>
        <w:t>стор</w:t>
      </w:r>
      <w:proofErr w:type="spellEnd"/>
      <w:r>
        <w:rPr>
          <w:sz w:val="28"/>
          <w:szCs w:val="28"/>
        </w:rPr>
        <w:t>.</w:t>
      </w:r>
      <w:r w:rsidR="00946F41">
        <w:rPr>
          <w:sz w:val="28"/>
          <w:szCs w:val="28"/>
        </w:rPr>
        <w:t> </w:t>
      </w:r>
      <w:r w:rsidR="009467E5">
        <w:rPr>
          <w:sz w:val="28"/>
          <w:szCs w:val="28"/>
        </w:rPr>
        <w:t>5</w:t>
      </w:r>
    </w:p>
    <w:p w14:paraId="370BD942" w14:textId="77777777" w:rsidR="003B2804" w:rsidRDefault="003B2804">
      <w:pPr>
        <w:ind w:left="567"/>
        <w:rPr>
          <w:sz w:val="28"/>
          <w:szCs w:val="28"/>
        </w:rPr>
      </w:pPr>
    </w:p>
    <w:p w14:paraId="5C9A961C" w14:textId="17A8FF4D" w:rsidR="003B2804" w:rsidRDefault="00000000">
      <w:pPr>
        <w:ind w:firstLine="567"/>
        <w:jc w:val="both"/>
        <w:rPr>
          <w:sz w:val="28"/>
          <w:szCs w:val="28"/>
        </w:rPr>
      </w:pPr>
      <w:r>
        <w:rPr>
          <w:sz w:val="28"/>
          <w:szCs w:val="28"/>
        </w:rPr>
        <w:t xml:space="preserve">3. Проблеми, які передбачається розв’язати у результаті реалізації </w:t>
      </w:r>
      <w:proofErr w:type="spellStart"/>
      <w:r>
        <w:rPr>
          <w:sz w:val="28"/>
          <w:szCs w:val="28"/>
        </w:rPr>
        <w:t>проєкту</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467E5">
        <w:rPr>
          <w:sz w:val="28"/>
          <w:szCs w:val="28"/>
        </w:rPr>
        <w:t xml:space="preserve">        </w:t>
      </w:r>
      <w:proofErr w:type="spellStart"/>
      <w:r>
        <w:rPr>
          <w:sz w:val="28"/>
          <w:szCs w:val="28"/>
        </w:rPr>
        <w:t>стор</w:t>
      </w:r>
      <w:proofErr w:type="spellEnd"/>
      <w:r>
        <w:rPr>
          <w:sz w:val="28"/>
          <w:szCs w:val="28"/>
        </w:rPr>
        <w:t>.</w:t>
      </w:r>
      <w:r w:rsidR="00946F41">
        <w:rPr>
          <w:sz w:val="28"/>
          <w:szCs w:val="28"/>
        </w:rPr>
        <w:t> </w:t>
      </w:r>
      <w:r w:rsidR="009467E5">
        <w:rPr>
          <w:sz w:val="28"/>
          <w:szCs w:val="28"/>
        </w:rPr>
        <w:t>5</w:t>
      </w:r>
    </w:p>
    <w:p w14:paraId="317DA7E9" w14:textId="77777777" w:rsidR="003B2804" w:rsidRDefault="003B2804">
      <w:pPr>
        <w:ind w:firstLine="567"/>
        <w:rPr>
          <w:sz w:val="28"/>
          <w:szCs w:val="28"/>
        </w:rPr>
      </w:pPr>
    </w:p>
    <w:p w14:paraId="3C9F5329" w14:textId="1D7FCC6C" w:rsidR="003B2804" w:rsidRDefault="00000000">
      <w:pPr>
        <w:ind w:firstLine="567"/>
        <w:jc w:val="both"/>
        <w:rPr>
          <w:sz w:val="28"/>
          <w:szCs w:val="28"/>
        </w:rPr>
      </w:pPr>
      <w:r>
        <w:rPr>
          <w:sz w:val="28"/>
          <w:szCs w:val="28"/>
        </w:rPr>
        <w:t>4. Результати попереднього аналізу можливих альтернативних варіантів розв’язання зазначених проблем</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467E5">
        <w:rPr>
          <w:sz w:val="28"/>
          <w:szCs w:val="28"/>
        </w:rPr>
        <w:t xml:space="preserve">        </w:t>
      </w:r>
      <w:proofErr w:type="spellStart"/>
      <w:r>
        <w:rPr>
          <w:sz w:val="28"/>
          <w:szCs w:val="28"/>
        </w:rPr>
        <w:t>стор</w:t>
      </w:r>
      <w:proofErr w:type="spellEnd"/>
      <w:r>
        <w:rPr>
          <w:sz w:val="28"/>
          <w:szCs w:val="28"/>
        </w:rPr>
        <w:t>.</w:t>
      </w:r>
      <w:r w:rsidR="00946F41">
        <w:rPr>
          <w:sz w:val="28"/>
          <w:szCs w:val="28"/>
        </w:rPr>
        <w:t> </w:t>
      </w:r>
      <w:r w:rsidR="009467E5">
        <w:rPr>
          <w:sz w:val="28"/>
          <w:szCs w:val="28"/>
        </w:rPr>
        <w:t>7</w:t>
      </w:r>
    </w:p>
    <w:p w14:paraId="47462A9B" w14:textId="77777777" w:rsidR="003B2804" w:rsidRDefault="003B2804">
      <w:pPr>
        <w:ind w:firstLine="567"/>
        <w:jc w:val="both"/>
        <w:rPr>
          <w:sz w:val="28"/>
          <w:szCs w:val="28"/>
        </w:rPr>
      </w:pPr>
    </w:p>
    <w:p w14:paraId="68E8DC60" w14:textId="29C592AB" w:rsidR="003B2804" w:rsidRDefault="00000000" w:rsidP="00222EDC">
      <w:pPr>
        <w:ind w:firstLine="567"/>
        <w:jc w:val="both"/>
        <w:rPr>
          <w:sz w:val="28"/>
          <w:szCs w:val="28"/>
        </w:rPr>
      </w:pPr>
      <w:r>
        <w:rPr>
          <w:sz w:val="28"/>
          <w:szCs w:val="28"/>
        </w:rPr>
        <w:t xml:space="preserve">5. Прогнозовані обсяги витрат та оціночна вартість експлуатації об’єкта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22EDC">
        <w:rPr>
          <w:sz w:val="28"/>
          <w:szCs w:val="28"/>
        </w:rPr>
        <w:t xml:space="preserve">                  </w:t>
      </w:r>
      <w:proofErr w:type="spellStart"/>
      <w:r>
        <w:rPr>
          <w:sz w:val="28"/>
          <w:szCs w:val="28"/>
        </w:rPr>
        <w:t>стор</w:t>
      </w:r>
      <w:proofErr w:type="spellEnd"/>
      <w:r>
        <w:rPr>
          <w:sz w:val="28"/>
          <w:szCs w:val="28"/>
        </w:rPr>
        <w:t>.</w:t>
      </w:r>
      <w:r w:rsidR="00946F41">
        <w:rPr>
          <w:sz w:val="28"/>
          <w:szCs w:val="28"/>
        </w:rPr>
        <w:t> </w:t>
      </w:r>
      <w:r w:rsidR="009467E5">
        <w:rPr>
          <w:sz w:val="28"/>
          <w:szCs w:val="28"/>
        </w:rPr>
        <w:t>8</w:t>
      </w:r>
    </w:p>
    <w:p w14:paraId="485B3574" w14:textId="77777777" w:rsidR="003B2804" w:rsidRDefault="003B2804">
      <w:pPr>
        <w:ind w:firstLine="567"/>
        <w:jc w:val="both"/>
        <w:rPr>
          <w:sz w:val="28"/>
          <w:szCs w:val="28"/>
        </w:rPr>
      </w:pPr>
    </w:p>
    <w:p w14:paraId="20C1F0F9" w14:textId="2D598280" w:rsidR="003B2804" w:rsidRDefault="00000000" w:rsidP="00222EDC">
      <w:pPr>
        <w:ind w:firstLine="567"/>
        <w:jc w:val="both"/>
        <w:rPr>
          <w:sz w:val="28"/>
          <w:szCs w:val="28"/>
        </w:rPr>
      </w:pPr>
      <w:r>
        <w:rPr>
          <w:sz w:val="28"/>
          <w:szCs w:val="28"/>
        </w:rPr>
        <w:t xml:space="preserve">6. Результати попереднього аналізу ефективності реалізації </w:t>
      </w:r>
      <w:proofErr w:type="spellStart"/>
      <w:r>
        <w:rPr>
          <w:sz w:val="28"/>
          <w:szCs w:val="28"/>
        </w:rPr>
        <w:t>проєкту</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22EDC">
        <w:rPr>
          <w:sz w:val="28"/>
          <w:szCs w:val="28"/>
        </w:rPr>
        <w:t xml:space="preserve">                           </w:t>
      </w:r>
      <w:r w:rsidR="009467E5">
        <w:rPr>
          <w:sz w:val="28"/>
          <w:szCs w:val="28"/>
        </w:rPr>
        <w:t xml:space="preserve">         </w:t>
      </w:r>
      <w:r w:rsidR="00222EDC">
        <w:rPr>
          <w:sz w:val="28"/>
          <w:szCs w:val="28"/>
        </w:rPr>
        <w:t xml:space="preserve">  </w:t>
      </w:r>
      <w:proofErr w:type="spellStart"/>
      <w:r>
        <w:rPr>
          <w:sz w:val="28"/>
          <w:szCs w:val="28"/>
        </w:rPr>
        <w:t>стор</w:t>
      </w:r>
      <w:proofErr w:type="spellEnd"/>
      <w:r>
        <w:rPr>
          <w:sz w:val="28"/>
          <w:szCs w:val="28"/>
        </w:rPr>
        <w:t>.</w:t>
      </w:r>
      <w:r w:rsidR="00946F41">
        <w:rPr>
          <w:sz w:val="28"/>
          <w:szCs w:val="28"/>
        </w:rPr>
        <w:t> </w:t>
      </w:r>
      <w:r w:rsidR="009467E5">
        <w:rPr>
          <w:sz w:val="28"/>
          <w:szCs w:val="28"/>
        </w:rPr>
        <w:t>10</w:t>
      </w:r>
    </w:p>
    <w:p w14:paraId="4B4641B8" w14:textId="77777777" w:rsidR="003B2804" w:rsidRDefault="003B2804">
      <w:pPr>
        <w:ind w:firstLine="567"/>
        <w:jc w:val="both"/>
        <w:rPr>
          <w:sz w:val="28"/>
          <w:szCs w:val="28"/>
        </w:rPr>
      </w:pPr>
    </w:p>
    <w:p w14:paraId="615411B3" w14:textId="77777777" w:rsidR="003B2804" w:rsidRDefault="00000000">
      <w:pPr>
        <w:rPr>
          <w:sz w:val="28"/>
          <w:szCs w:val="28"/>
        </w:rPr>
      </w:pPr>
      <w:r>
        <w:br w:type="page"/>
      </w:r>
    </w:p>
    <w:p w14:paraId="7137E268" w14:textId="4C1AB2D1" w:rsidR="003B2804" w:rsidRDefault="00000000" w:rsidP="00EA31D5">
      <w:pPr>
        <w:ind w:firstLine="567"/>
        <w:jc w:val="both"/>
        <w:rPr>
          <w:sz w:val="28"/>
          <w:szCs w:val="28"/>
        </w:rPr>
      </w:pPr>
      <w:r>
        <w:rPr>
          <w:sz w:val="28"/>
          <w:szCs w:val="28"/>
        </w:rPr>
        <w:lastRenderedPageBreak/>
        <w:t>Відповідно до статті 10 Закону України «Про публічно-приватне партнерство» та Порядку проведення аналізу ефективності здійснення державно-приватного партнерства, затвердженого постановою Кабінету Міністрів України від 11 квітня 2011 року № 384,</w:t>
      </w:r>
      <w:r w:rsidR="00675537">
        <w:rPr>
          <w:sz w:val="28"/>
          <w:szCs w:val="28"/>
        </w:rPr>
        <w:t xml:space="preserve"> зі змінами,</w:t>
      </w:r>
      <w:r>
        <w:rPr>
          <w:sz w:val="28"/>
          <w:szCs w:val="28"/>
        </w:rPr>
        <w:t xml:space="preserve"> розроблена Концептуальна записка доцільності здійснення публічно-приватного партнерства щодо </w:t>
      </w:r>
      <w:proofErr w:type="spellStart"/>
      <w:r>
        <w:rPr>
          <w:sz w:val="28"/>
          <w:szCs w:val="28"/>
        </w:rPr>
        <w:t>проєкту</w:t>
      </w:r>
      <w:proofErr w:type="spellEnd"/>
      <w:r>
        <w:rPr>
          <w:sz w:val="28"/>
          <w:szCs w:val="28"/>
        </w:rPr>
        <w:t xml:space="preserve"> «Будівництво та експлуатація стадіону з штучним покриттям за </w:t>
      </w:r>
      <w:proofErr w:type="spellStart"/>
      <w:r>
        <w:rPr>
          <w:sz w:val="28"/>
          <w:szCs w:val="28"/>
        </w:rPr>
        <w:t>адресою</w:t>
      </w:r>
      <w:proofErr w:type="spellEnd"/>
      <w:r w:rsidR="00675537">
        <w:rPr>
          <w:sz w:val="28"/>
          <w:szCs w:val="28"/>
        </w:rPr>
        <w:t>:</w:t>
      </w:r>
      <w:r>
        <w:rPr>
          <w:sz w:val="28"/>
          <w:szCs w:val="28"/>
        </w:rPr>
        <w:t xml:space="preserve"> м. Луцьк, вул. </w:t>
      </w:r>
      <w:proofErr w:type="spellStart"/>
      <w:r>
        <w:rPr>
          <w:sz w:val="28"/>
          <w:szCs w:val="28"/>
        </w:rPr>
        <w:t>Теремнівська</w:t>
      </w:r>
      <w:proofErr w:type="spellEnd"/>
      <w:r>
        <w:rPr>
          <w:sz w:val="28"/>
          <w:szCs w:val="28"/>
        </w:rPr>
        <w:t>, 40-г».</w:t>
      </w:r>
    </w:p>
    <w:p w14:paraId="07F59C95" w14:textId="77777777" w:rsidR="003B2804" w:rsidRDefault="003B2804">
      <w:pPr>
        <w:ind w:firstLine="709"/>
        <w:jc w:val="both"/>
        <w:rPr>
          <w:sz w:val="28"/>
          <w:szCs w:val="28"/>
        </w:rPr>
      </w:pPr>
    </w:p>
    <w:p w14:paraId="7484A9B6" w14:textId="77777777" w:rsidR="003B2804" w:rsidRDefault="00000000" w:rsidP="00EA31D5">
      <w:pPr>
        <w:ind w:firstLine="567"/>
        <w:jc w:val="both"/>
        <w:rPr>
          <w:b/>
          <w:sz w:val="28"/>
          <w:szCs w:val="28"/>
        </w:rPr>
      </w:pPr>
      <w:r>
        <w:rPr>
          <w:b/>
          <w:sz w:val="28"/>
          <w:szCs w:val="28"/>
        </w:rPr>
        <w:t>1. Інформація про об'єкт публічно-приватного партнерства</w:t>
      </w:r>
    </w:p>
    <w:p w14:paraId="206FA40E" w14:textId="58548910" w:rsidR="003B2804" w:rsidRDefault="00000000" w:rsidP="00EA31D5">
      <w:pPr>
        <w:ind w:firstLine="567"/>
        <w:jc w:val="both"/>
        <w:rPr>
          <w:sz w:val="28"/>
          <w:szCs w:val="28"/>
        </w:rPr>
      </w:pPr>
      <w:r>
        <w:rPr>
          <w:sz w:val="28"/>
          <w:szCs w:val="28"/>
        </w:rPr>
        <w:t xml:space="preserve">Об’єктом публічно-приватного партнерства є спортивний стадіон з футбольним полем із штучним покриттям та комплексом допоміжних споруд (трибуни, лави для запасних гравців, </w:t>
      </w:r>
      <w:proofErr w:type="spellStart"/>
      <w:r>
        <w:rPr>
          <w:sz w:val="28"/>
          <w:szCs w:val="28"/>
        </w:rPr>
        <w:t>флаштоки</w:t>
      </w:r>
      <w:proofErr w:type="spellEnd"/>
      <w:r>
        <w:rPr>
          <w:sz w:val="28"/>
          <w:szCs w:val="28"/>
        </w:rPr>
        <w:t xml:space="preserve">, роздягальні, пункт першої невідкладної медичної допомоги, </w:t>
      </w:r>
      <w:proofErr w:type="spellStart"/>
      <w:r>
        <w:rPr>
          <w:sz w:val="28"/>
          <w:szCs w:val="28"/>
        </w:rPr>
        <w:t>паркувальна</w:t>
      </w:r>
      <w:proofErr w:type="spellEnd"/>
      <w:r>
        <w:rPr>
          <w:sz w:val="28"/>
          <w:szCs w:val="28"/>
        </w:rPr>
        <w:t xml:space="preserve"> зона, адміністративні, господарські та технічні приміщенн</w:t>
      </w:r>
      <w:r w:rsidR="00EA31D5">
        <w:rPr>
          <w:sz w:val="28"/>
          <w:szCs w:val="28"/>
        </w:rPr>
        <w:t>я</w:t>
      </w:r>
      <w:r>
        <w:rPr>
          <w:sz w:val="28"/>
          <w:szCs w:val="28"/>
        </w:rPr>
        <w:t xml:space="preserve">), що планується збудувати на земельній ділянці комунальної власності за </w:t>
      </w:r>
      <w:proofErr w:type="spellStart"/>
      <w:r>
        <w:rPr>
          <w:sz w:val="28"/>
          <w:szCs w:val="28"/>
        </w:rPr>
        <w:t>адресою</w:t>
      </w:r>
      <w:proofErr w:type="spellEnd"/>
      <w:r>
        <w:rPr>
          <w:sz w:val="28"/>
          <w:szCs w:val="28"/>
        </w:rPr>
        <w:t xml:space="preserve">: м. Луцьк, вул. </w:t>
      </w:r>
      <w:proofErr w:type="spellStart"/>
      <w:r>
        <w:rPr>
          <w:sz w:val="28"/>
          <w:szCs w:val="28"/>
        </w:rPr>
        <w:t>Теремнівська</w:t>
      </w:r>
      <w:proofErr w:type="spellEnd"/>
      <w:r>
        <w:rPr>
          <w:sz w:val="28"/>
          <w:szCs w:val="28"/>
        </w:rPr>
        <w:t>, 40-г.</w:t>
      </w:r>
    </w:p>
    <w:p w14:paraId="75F56727" w14:textId="2C971777" w:rsidR="003B2804" w:rsidRDefault="00000000" w:rsidP="00EA31D5">
      <w:pPr>
        <w:ind w:firstLine="567"/>
        <w:jc w:val="both"/>
        <w:rPr>
          <w:sz w:val="28"/>
          <w:szCs w:val="28"/>
        </w:rPr>
      </w:pPr>
      <w:r>
        <w:rPr>
          <w:sz w:val="28"/>
          <w:szCs w:val="28"/>
        </w:rPr>
        <w:t xml:space="preserve">Земельна ділянка комунальної власності площею 1 га, що має цільове призначення 03.15 «Для будівництва та обслуговування інших будівель громадської забудови»,  категорія </w:t>
      </w:r>
      <w:r w:rsidR="00EA31D5">
        <w:rPr>
          <w:sz w:val="28"/>
          <w:szCs w:val="28"/>
        </w:rPr>
        <w:t>–</w:t>
      </w:r>
      <w:r>
        <w:rPr>
          <w:sz w:val="28"/>
          <w:szCs w:val="28"/>
        </w:rPr>
        <w:t xml:space="preserve"> землі житлової та громадської забудови.</w:t>
      </w:r>
    </w:p>
    <w:p w14:paraId="62833A9A" w14:textId="0A2C4182" w:rsidR="003B2804" w:rsidRDefault="00000000" w:rsidP="00EA31D5">
      <w:pPr>
        <w:ind w:firstLine="567"/>
        <w:jc w:val="both"/>
        <w:rPr>
          <w:sz w:val="28"/>
          <w:szCs w:val="28"/>
        </w:rPr>
      </w:pPr>
      <w:r>
        <w:rPr>
          <w:sz w:val="28"/>
          <w:szCs w:val="28"/>
        </w:rPr>
        <w:t>Об</w:t>
      </w:r>
      <w:r>
        <w:rPr>
          <w:sz w:val="28"/>
          <w:szCs w:val="28"/>
          <w:lang w:val="en-US"/>
        </w:rPr>
        <w:t>’</w:t>
      </w:r>
      <w:proofErr w:type="spellStart"/>
      <w:r>
        <w:rPr>
          <w:sz w:val="28"/>
          <w:szCs w:val="28"/>
        </w:rPr>
        <w:t>єкт</w:t>
      </w:r>
      <w:proofErr w:type="spellEnd"/>
      <w:r>
        <w:rPr>
          <w:sz w:val="28"/>
          <w:szCs w:val="28"/>
        </w:rPr>
        <w:t xml:space="preserve"> публічно-приватного партнерства, що буде збудований в результаті реалізації </w:t>
      </w:r>
      <w:proofErr w:type="spellStart"/>
      <w:r>
        <w:rPr>
          <w:sz w:val="28"/>
          <w:szCs w:val="28"/>
        </w:rPr>
        <w:t>проєкту</w:t>
      </w:r>
      <w:proofErr w:type="spellEnd"/>
      <w:r>
        <w:rPr>
          <w:sz w:val="28"/>
          <w:szCs w:val="28"/>
        </w:rPr>
        <w:t xml:space="preserve"> на зазначеній земельній ділянці </w:t>
      </w:r>
      <w:r w:rsidR="00606E18">
        <w:rPr>
          <w:sz w:val="28"/>
          <w:szCs w:val="28"/>
        </w:rPr>
        <w:t>–</w:t>
      </w:r>
      <w:r>
        <w:rPr>
          <w:sz w:val="28"/>
          <w:szCs w:val="28"/>
        </w:rPr>
        <w:t xml:space="preserve"> це багатофункціональний спортивний комплекс, придатний для:</w:t>
      </w:r>
    </w:p>
    <w:p w14:paraId="5F6C1477" w14:textId="77777777" w:rsidR="003B2804" w:rsidRDefault="00000000" w:rsidP="00EA31D5">
      <w:pPr>
        <w:ind w:firstLine="567"/>
        <w:jc w:val="both"/>
        <w:rPr>
          <w:sz w:val="28"/>
          <w:szCs w:val="28"/>
        </w:rPr>
      </w:pPr>
      <w:r>
        <w:rPr>
          <w:sz w:val="28"/>
          <w:szCs w:val="28"/>
        </w:rPr>
        <w:t>проведення навчально-тренувальних занять з футболу, легкої атлетики, фізичної культури;</w:t>
      </w:r>
    </w:p>
    <w:p w14:paraId="5059EFFF" w14:textId="77777777" w:rsidR="003B2804" w:rsidRDefault="00000000" w:rsidP="00EA31D5">
      <w:pPr>
        <w:ind w:firstLine="567"/>
        <w:jc w:val="both"/>
        <w:rPr>
          <w:sz w:val="28"/>
          <w:szCs w:val="28"/>
        </w:rPr>
      </w:pPr>
      <w:r>
        <w:rPr>
          <w:sz w:val="28"/>
          <w:szCs w:val="28"/>
        </w:rPr>
        <w:t>організації міських, регіональних та міжнародних турнірів, змагань та фестивалів спорту;</w:t>
      </w:r>
    </w:p>
    <w:p w14:paraId="2558F084" w14:textId="77777777" w:rsidR="003B2804" w:rsidRDefault="00000000" w:rsidP="00EA31D5">
      <w:pPr>
        <w:ind w:firstLine="567"/>
        <w:jc w:val="both"/>
        <w:rPr>
          <w:sz w:val="28"/>
          <w:szCs w:val="28"/>
        </w:rPr>
      </w:pPr>
      <w:r>
        <w:rPr>
          <w:sz w:val="28"/>
          <w:szCs w:val="28"/>
        </w:rPr>
        <w:t>проведення культурно-масових заходів місцевого рівня;</w:t>
      </w:r>
    </w:p>
    <w:p w14:paraId="600FBA7D" w14:textId="77777777" w:rsidR="003B2804" w:rsidRDefault="00000000" w:rsidP="00EA31D5">
      <w:pPr>
        <w:ind w:firstLine="567"/>
        <w:jc w:val="both"/>
        <w:rPr>
          <w:sz w:val="28"/>
          <w:szCs w:val="28"/>
        </w:rPr>
      </w:pPr>
      <w:r>
        <w:rPr>
          <w:sz w:val="28"/>
          <w:szCs w:val="28"/>
        </w:rPr>
        <w:t>розвитку дитячо-юнацького спорту, роботи спортивних секцій та шкіл;</w:t>
      </w:r>
    </w:p>
    <w:p w14:paraId="567232A3" w14:textId="77777777" w:rsidR="003B2804" w:rsidRDefault="00000000" w:rsidP="00EA31D5">
      <w:pPr>
        <w:ind w:firstLine="567"/>
        <w:jc w:val="both"/>
        <w:rPr>
          <w:sz w:val="28"/>
          <w:szCs w:val="28"/>
        </w:rPr>
      </w:pPr>
      <w:r>
        <w:rPr>
          <w:sz w:val="28"/>
          <w:szCs w:val="28"/>
        </w:rPr>
        <w:t>забезпечення рівного доступу всіх категорій населення, включно з особами з інвалідністю та іншими маломобільними групами населення, до користування спортивною інфраструктурою.</w:t>
      </w:r>
    </w:p>
    <w:p w14:paraId="16ECD59D" w14:textId="77777777" w:rsidR="00E64FE5" w:rsidRDefault="00E64FE5" w:rsidP="00EA31D5">
      <w:pPr>
        <w:ind w:firstLine="567"/>
        <w:jc w:val="both"/>
        <w:rPr>
          <w:sz w:val="28"/>
          <w:szCs w:val="28"/>
        </w:rPr>
      </w:pPr>
    </w:p>
    <w:p w14:paraId="760D8043" w14:textId="3C25F320" w:rsidR="003B2804" w:rsidRDefault="00000000" w:rsidP="00EA31D5">
      <w:pPr>
        <w:ind w:firstLine="567"/>
        <w:jc w:val="both"/>
        <w:rPr>
          <w:sz w:val="28"/>
          <w:szCs w:val="28"/>
        </w:rPr>
      </w:pPr>
      <w:r>
        <w:rPr>
          <w:sz w:val="28"/>
          <w:szCs w:val="28"/>
        </w:rPr>
        <w:t>Основні технічні характеристики (орієнтовно):</w:t>
      </w:r>
    </w:p>
    <w:p w14:paraId="1E52E8A8" w14:textId="77777777" w:rsidR="00E64FE5" w:rsidRDefault="00E64FE5" w:rsidP="00EA31D5">
      <w:pPr>
        <w:ind w:firstLine="567"/>
        <w:jc w:val="both"/>
        <w:rPr>
          <w:sz w:val="28"/>
          <w:szCs w:val="28"/>
        </w:rPr>
      </w:pPr>
    </w:p>
    <w:tbl>
      <w:tblPr>
        <w:tblStyle w:val="af1"/>
        <w:tblW w:w="9344" w:type="dxa"/>
        <w:tblLayout w:type="fixed"/>
        <w:tblLook w:val="04A0" w:firstRow="1" w:lastRow="0" w:firstColumn="1" w:lastColumn="0" w:noHBand="0" w:noVBand="1"/>
      </w:tblPr>
      <w:tblGrid>
        <w:gridCol w:w="4106"/>
        <w:gridCol w:w="5238"/>
      </w:tblGrid>
      <w:tr w:rsidR="003B2804" w14:paraId="18D3D9FC" w14:textId="77777777" w:rsidTr="00BB0D0D">
        <w:tc>
          <w:tcPr>
            <w:tcW w:w="4106" w:type="dxa"/>
          </w:tcPr>
          <w:p w14:paraId="7EFE7D80" w14:textId="77777777" w:rsidR="003B2804" w:rsidRDefault="00000000">
            <w:pPr>
              <w:jc w:val="center"/>
              <w:rPr>
                <w:sz w:val="28"/>
                <w:szCs w:val="28"/>
              </w:rPr>
            </w:pPr>
            <w:r>
              <w:rPr>
                <w:rFonts w:eastAsia="Calibri"/>
                <w:sz w:val="28"/>
                <w:szCs w:val="28"/>
              </w:rPr>
              <w:t>Показник</w:t>
            </w:r>
          </w:p>
        </w:tc>
        <w:tc>
          <w:tcPr>
            <w:tcW w:w="5238" w:type="dxa"/>
          </w:tcPr>
          <w:p w14:paraId="04219EC0" w14:textId="77777777" w:rsidR="003B2804" w:rsidRDefault="00000000">
            <w:pPr>
              <w:jc w:val="center"/>
              <w:rPr>
                <w:sz w:val="28"/>
                <w:szCs w:val="28"/>
              </w:rPr>
            </w:pPr>
            <w:r>
              <w:rPr>
                <w:rFonts w:eastAsia="Calibri"/>
                <w:sz w:val="28"/>
                <w:szCs w:val="28"/>
              </w:rPr>
              <w:t>Опис</w:t>
            </w:r>
          </w:p>
        </w:tc>
      </w:tr>
      <w:tr w:rsidR="003B2804" w14:paraId="26A5F98B" w14:textId="77777777" w:rsidTr="00BB0D0D">
        <w:tc>
          <w:tcPr>
            <w:tcW w:w="4106" w:type="dxa"/>
          </w:tcPr>
          <w:p w14:paraId="125E4ECC" w14:textId="77777777" w:rsidR="003B2804" w:rsidRDefault="00000000">
            <w:pPr>
              <w:jc w:val="both"/>
              <w:rPr>
                <w:sz w:val="28"/>
                <w:szCs w:val="28"/>
              </w:rPr>
            </w:pPr>
            <w:r>
              <w:rPr>
                <w:rFonts w:eastAsia="Calibri"/>
                <w:sz w:val="28"/>
                <w:szCs w:val="28"/>
              </w:rPr>
              <w:t>Футбольне поле</w:t>
            </w:r>
          </w:p>
        </w:tc>
        <w:tc>
          <w:tcPr>
            <w:tcW w:w="5238" w:type="dxa"/>
          </w:tcPr>
          <w:p w14:paraId="4701AF11" w14:textId="6AD32179" w:rsidR="003B2804" w:rsidRDefault="00000000">
            <w:pPr>
              <w:jc w:val="both"/>
              <w:rPr>
                <w:sz w:val="28"/>
                <w:szCs w:val="28"/>
              </w:rPr>
            </w:pPr>
            <w:r>
              <w:rPr>
                <w:rFonts w:eastAsia="Calibri"/>
                <w:sz w:val="28"/>
                <w:szCs w:val="28"/>
              </w:rPr>
              <w:t>91</w:t>
            </w:r>
            <w:r w:rsidR="00E64FE5">
              <w:rPr>
                <w:rFonts w:eastAsia="Calibri"/>
                <w:sz w:val="28"/>
                <w:szCs w:val="28"/>
              </w:rPr>
              <w:t>–</w:t>
            </w:r>
            <w:r>
              <w:rPr>
                <w:rFonts w:eastAsia="Calibri"/>
                <w:sz w:val="28"/>
                <w:szCs w:val="28"/>
              </w:rPr>
              <w:t>105</w:t>
            </w:r>
            <w:r w:rsidR="00E64FE5">
              <w:rPr>
                <w:rFonts w:eastAsia="Calibri"/>
                <w:sz w:val="28"/>
                <w:szCs w:val="28"/>
              </w:rPr>
              <w:t> </w:t>
            </w:r>
            <w:r>
              <w:rPr>
                <w:rFonts w:eastAsia="Calibri"/>
                <w:sz w:val="28"/>
                <w:szCs w:val="28"/>
              </w:rPr>
              <w:t>м х 61</w:t>
            </w:r>
            <w:r w:rsidR="00E64FE5">
              <w:rPr>
                <w:rFonts w:eastAsia="Calibri"/>
                <w:sz w:val="28"/>
                <w:szCs w:val="28"/>
              </w:rPr>
              <w:t>–</w:t>
            </w:r>
            <w:r>
              <w:rPr>
                <w:rFonts w:eastAsia="Calibri"/>
                <w:sz w:val="28"/>
                <w:szCs w:val="28"/>
              </w:rPr>
              <w:t>68</w:t>
            </w:r>
            <w:r w:rsidR="00E64FE5">
              <w:rPr>
                <w:rFonts w:eastAsia="Calibri"/>
                <w:sz w:val="28"/>
                <w:szCs w:val="28"/>
              </w:rPr>
              <w:t> </w:t>
            </w:r>
            <w:r>
              <w:rPr>
                <w:rFonts w:eastAsia="Calibri"/>
                <w:sz w:val="28"/>
                <w:szCs w:val="28"/>
              </w:rPr>
              <w:t>м; штучне покриття відповідно до ДБН та спортивних стандартів; розмітка відповідно до вимог футбольних асоціацій; оснащене дренажною системою</w:t>
            </w:r>
          </w:p>
        </w:tc>
      </w:tr>
      <w:tr w:rsidR="003B2804" w14:paraId="47586A19" w14:textId="77777777" w:rsidTr="00BB0D0D">
        <w:tc>
          <w:tcPr>
            <w:tcW w:w="4106" w:type="dxa"/>
          </w:tcPr>
          <w:p w14:paraId="4862FF38" w14:textId="77777777" w:rsidR="003B2804" w:rsidRDefault="00000000">
            <w:pPr>
              <w:jc w:val="both"/>
              <w:rPr>
                <w:sz w:val="28"/>
                <w:szCs w:val="28"/>
              </w:rPr>
            </w:pPr>
            <w:r>
              <w:rPr>
                <w:rFonts w:eastAsia="Calibri"/>
                <w:sz w:val="28"/>
                <w:szCs w:val="28"/>
              </w:rPr>
              <w:t>Зона розминки</w:t>
            </w:r>
          </w:p>
        </w:tc>
        <w:tc>
          <w:tcPr>
            <w:tcW w:w="5238" w:type="dxa"/>
          </w:tcPr>
          <w:p w14:paraId="37A4A54F" w14:textId="77777777" w:rsidR="003B2804" w:rsidRDefault="00000000">
            <w:pPr>
              <w:jc w:val="both"/>
              <w:rPr>
                <w:rFonts w:eastAsia="Calibri"/>
                <w:sz w:val="28"/>
                <w:szCs w:val="28"/>
              </w:rPr>
            </w:pPr>
            <w:r>
              <w:rPr>
                <w:rFonts w:eastAsia="Calibri"/>
                <w:sz w:val="28"/>
                <w:szCs w:val="28"/>
              </w:rPr>
              <w:t>облаштована окрема територія з штучним або натуральним трав</w:t>
            </w:r>
            <w:r>
              <w:rPr>
                <w:rFonts w:eastAsia="Calibri"/>
                <w:sz w:val="28"/>
                <w:szCs w:val="28"/>
                <w:lang w:val="en-US"/>
              </w:rPr>
              <w:t>’</w:t>
            </w:r>
            <w:proofErr w:type="spellStart"/>
            <w:r>
              <w:rPr>
                <w:rFonts w:eastAsia="Calibri"/>
                <w:sz w:val="28"/>
                <w:szCs w:val="28"/>
              </w:rPr>
              <w:t>яним</w:t>
            </w:r>
            <w:proofErr w:type="spellEnd"/>
            <w:r>
              <w:rPr>
                <w:rFonts w:eastAsia="Calibri"/>
                <w:sz w:val="28"/>
                <w:szCs w:val="28"/>
              </w:rPr>
              <w:t xml:space="preserve"> покриттям, оснащена елементами безпеки та огорожі</w:t>
            </w:r>
          </w:p>
          <w:p w14:paraId="18E5EA40" w14:textId="77777777" w:rsidR="00E64FE5" w:rsidRDefault="00E64FE5">
            <w:pPr>
              <w:jc w:val="both"/>
              <w:rPr>
                <w:sz w:val="28"/>
                <w:szCs w:val="28"/>
              </w:rPr>
            </w:pPr>
          </w:p>
        </w:tc>
      </w:tr>
      <w:tr w:rsidR="003B2804" w14:paraId="3900DAB8" w14:textId="77777777" w:rsidTr="00BB0D0D">
        <w:tc>
          <w:tcPr>
            <w:tcW w:w="4106" w:type="dxa"/>
          </w:tcPr>
          <w:p w14:paraId="25EB1A8C" w14:textId="77777777" w:rsidR="003B2804" w:rsidRDefault="00000000">
            <w:pPr>
              <w:jc w:val="both"/>
              <w:rPr>
                <w:sz w:val="28"/>
                <w:szCs w:val="28"/>
              </w:rPr>
            </w:pPr>
            <w:r>
              <w:rPr>
                <w:rFonts w:eastAsia="Calibri"/>
                <w:sz w:val="28"/>
                <w:szCs w:val="28"/>
              </w:rPr>
              <w:lastRenderedPageBreak/>
              <w:t>Система освітлення</w:t>
            </w:r>
          </w:p>
        </w:tc>
        <w:tc>
          <w:tcPr>
            <w:tcW w:w="5238" w:type="dxa"/>
          </w:tcPr>
          <w:p w14:paraId="4766420D" w14:textId="77777777" w:rsidR="003B2804" w:rsidRDefault="00000000">
            <w:pPr>
              <w:jc w:val="both"/>
              <w:rPr>
                <w:sz w:val="28"/>
                <w:szCs w:val="28"/>
              </w:rPr>
            </w:pPr>
            <w:r>
              <w:rPr>
                <w:rFonts w:eastAsia="Calibri"/>
                <w:sz w:val="28"/>
                <w:szCs w:val="28"/>
              </w:rPr>
              <w:t xml:space="preserve">стаціонарні LED-прожектори з рівнем освітленості в межах 350 </w:t>
            </w:r>
            <w:proofErr w:type="spellStart"/>
            <w:r>
              <w:rPr>
                <w:rFonts w:eastAsia="Calibri"/>
                <w:sz w:val="28"/>
                <w:szCs w:val="28"/>
              </w:rPr>
              <w:t>Lx</w:t>
            </w:r>
            <w:proofErr w:type="spellEnd"/>
            <w:r>
              <w:rPr>
                <w:rFonts w:eastAsia="Calibri"/>
              </w:rPr>
              <w:t xml:space="preserve">, </w:t>
            </w:r>
            <w:r>
              <w:rPr>
                <w:rFonts w:eastAsia="Calibri"/>
                <w:sz w:val="28"/>
                <w:szCs w:val="28"/>
              </w:rPr>
              <w:t>освітлення відповідає вимогам телевізійної трансляції та безпечного проведення заходів</w:t>
            </w:r>
          </w:p>
        </w:tc>
      </w:tr>
      <w:tr w:rsidR="003B2804" w14:paraId="6E31E31B" w14:textId="77777777" w:rsidTr="00BB0D0D">
        <w:tc>
          <w:tcPr>
            <w:tcW w:w="4106" w:type="dxa"/>
          </w:tcPr>
          <w:p w14:paraId="70D39131" w14:textId="77777777" w:rsidR="003B2804" w:rsidRDefault="00000000">
            <w:pPr>
              <w:jc w:val="both"/>
              <w:rPr>
                <w:sz w:val="28"/>
                <w:szCs w:val="28"/>
              </w:rPr>
            </w:pPr>
            <w:r>
              <w:rPr>
                <w:rFonts w:eastAsia="Calibri"/>
                <w:sz w:val="28"/>
                <w:szCs w:val="28"/>
              </w:rPr>
              <w:t>Система оповіщення</w:t>
            </w:r>
          </w:p>
        </w:tc>
        <w:tc>
          <w:tcPr>
            <w:tcW w:w="5238" w:type="dxa"/>
          </w:tcPr>
          <w:p w14:paraId="7F760885" w14:textId="70EF6C77" w:rsidR="003B2804" w:rsidRDefault="00000000">
            <w:pPr>
              <w:jc w:val="both"/>
              <w:rPr>
                <w:sz w:val="28"/>
                <w:szCs w:val="28"/>
              </w:rPr>
            </w:pPr>
            <w:r>
              <w:rPr>
                <w:rFonts w:eastAsia="Calibri"/>
                <w:sz w:val="28"/>
                <w:szCs w:val="28"/>
              </w:rPr>
              <w:t>гучномовна система та табло для оголошень, сигналів тривоги та коментарів під час змагань); захищена від збоїв живлення основного джерела</w:t>
            </w:r>
          </w:p>
        </w:tc>
      </w:tr>
      <w:tr w:rsidR="003B2804" w14:paraId="10BB4007" w14:textId="77777777" w:rsidTr="00BB0D0D">
        <w:tc>
          <w:tcPr>
            <w:tcW w:w="4106" w:type="dxa"/>
          </w:tcPr>
          <w:p w14:paraId="0AE26857" w14:textId="77777777" w:rsidR="003B2804" w:rsidRDefault="00000000">
            <w:pPr>
              <w:jc w:val="both"/>
              <w:rPr>
                <w:sz w:val="28"/>
                <w:szCs w:val="28"/>
              </w:rPr>
            </w:pPr>
            <w:r>
              <w:rPr>
                <w:rFonts w:eastAsia="Calibri"/>
                <w:sz w:val="28"/>
                <w:szCs w:val="28"/>
              </w:rPr>
              <w:t>Трибуни</w:t>
            </w:r>
          </w:p>
        </w:tc>
        <w:tc>
          <w:tcPr>
            <w:tcW w:w="5238" w:type="dxa"/>
          </w:tcPr>
          <w:p w14:paraId="2AC989E1" w14:textId="7479C8E6" w:rsidR="003B2804" w:rsidRDefault="00000000">
            <w:pPr>
              <w:jc w:val="both"/>
              <w:rPr>
                <w:sz w:val="28"/>
                <w:szCs w:val="28"/>
              </w:rPr>
            </w:pPr>
            <w:r>
              <w:rPr>
                <w:rFonts w:eastAsia="Calibri"/>
                <w:sz w:val="28"/>
                <w:szCs w:val="28"/>
              </w:rPr>
              <w:t xml:space="preserve">кількість місць </w:t>
            </w:r>
            <w:r w:rsidR="00DD20DB">
              <w:rPr>
                <w:rFonts w:eastAsia="Calibri"/>
                <w:sz w:val="28"/>
                <w:szCs w:val="28"/>
              </w:rPr>
              <w:t>–</w:t>
            </w:r>
            <w:r>
              <w:rPr>
                <w:rFonts w:eastAsia="Calibri"/>
                <w:sz w:val="28"/>
                <w:szCs w:val="28"/>
              </w:rPr>
              <w:t xml:space="preserve"> не менше 50; індивідуальні, закріплені (наприклад, до підлоги), відокремлені одне від одного, пронумеровані; виготовлені з міцного вогнестійкого матеріалу; мають спинку висотою не менше 30</w:t>
            </w:r>
            <w:r w:rsidR="00DD20DB">
              <w:rPr>
                <w:rFonts w:eastAsia="Calibri"/>
                <w:sz w:val="28"/>
                <w:szCs w:val="28"/>
              </w:rPr>
              <w:t> </w:t>
            </w:r>
            <w:r>
              <w:rPr>
                <w:rFonts w:eastAsia="Calibri"/>
                <w:sz w:val="28"/>
                <w:szCs w:val="28"/>
              </w:rPr>
              <w:t xml:space="preserve">см та ширину не менше 45 см; облаштовані вишками для встановлення камер для </w:t>
            </w:r>
            <w:proofErr w:type="spellStart"/>
            <w:r>
              <w:rPr>
                <w:rFonts w:eastAsia="Calibri"/>
                <w:sz w:val="28"/>
                <w:szCs w:val="28"/>
              </w:rPr>
              <w:t>відеотрансляції</w:t>
            </w:r>
            <w:proofErr w:type="spellEnd"/>
          </w:p>
        </w:tc>
      </w:tr>
      <w:tr w:rsidR="003B2804" w14:paraId="70BB3F75" w14:textId="77777777" w:rsidTr="00BB0D0D">
        <w:tc>
          <w:tcPr>
            <w:tcW w:w="4106" w:type="dxa"/>
          </w:tcPr>
          <w:p w14:paraId="7A94045C" w14:textId="77777777" w:rsidR="003B2804" w:rsidRDefault="00000000">
            <w:pPr>
              <w:jc w:val="both"/>
              <w:rPr>
                <w:sz w:val="28"/>
                <w:szCs w:val="28"/>
              </w:rPr>
            </w:pPr>
            <w:r>
              <w:rPr>
                <w:rFonts w:eastAsia="Calibri"/>
                <w:sz w:val="28"/>
                <w:szCs w:val="28"/>
              </w:rPr>
              <w:t>Лави для запасних</w:t>
            </w:r>
          </w:p>
        </w:tc>
        <w:tc>
          <w:tcPr>
            <w:tcW w:w="5238" w:type="dxa"/>
          </w:tcPr>
          <w:p w14:paraId="1B7849FD" w14:textId="77777777" w:rsidR="003B2804" w:rsidRDefault="00000000">
            <w:pPr>
              <w:jc w:val="both"/>
              <w:rPr>
                <w:sz w:val="28"/>
                <w:szCs w:val="28"/>
              </w:rPr>
            </w:pPr>
            <w:r>
              <w:rPr>
                <w:rFonts w:eastAsia="Calibri"/>
                <w:sz w:val="28"/>
                <w:szCs w:val="28"/>
              </w:rPr>
              <w:t>покриті, захищені від погодних умов; обладнані сидіннями та місцями для персоналу команд (не менше ніж на 13 осіб для кожної команди)</w:t>
            </w:r>
          </w:p>
        </w:tc>
      </w:tr>
      <w:tr w:rsidR="003B2804" w14:paraId="37FA8DF3" w14:textId="77777777" w:rsidTr="00BB0D0D">
        <w:tc>
          <w:tcPr>
            <w:tcW w:w="4106" w:type="dxa"/>
          </w:tcPr>
          <w:p w14:paraId="5A7E4F75" w14:textId="77777777" w:rsidR="003B2804" w:rsidRDefault="00000000">
            <w:pPr>
              <w:jc w:val="both"/>
              <w:rPr>
                <w:sz w:val="28"/>
                <w:szCs w:val="28"/>
              </w:rPr>
            </w:pPr>
            <w:r>
              <w:rPr>
                <w:rFonts w:eastAsia="Calibri"/>
                <w:sz w:val="28"/>
                <w:szCs w:val="28"/>
              </w:rPr>
              <w:t>Роздягальні для двох команд та суддів</w:t>
            </w:r>
          </w:p>
        </w:tc>
        <w:tc>
          <w:tcPr>
            <w:tcW w:w="5238" w:type="dxa"/>
          </w:tcPr>
          <w:p w14:paraId="3ABB2155" w14:textId="77777777" w:rsidR="003B2804" w:rsidRDefault="00000000">
            <w:pPr>
              <w:jc w:val="both"/>
              <w:rPr>
                <w:sz w:val="28"/>
                <w:szCs w:val="28"/>
              </w:rPr>
            </w:pPr>
            <w:r>
              <w:rPr>
                <w:rFonts w:eastAsia="Calibri"/>
                <w:sz w:val="28"/>
                <w:szCs w:val="28"/>
              </w:rPr>
              <w:t>окремі приміщення на 25 місць для кожної команди, обладнані двома душовими, окремим туалетом, одним масажним столом і однією тактичною дошкою, забезпечують прямий та безпечний доступ для обох команд і арбітрів до ігрового поля</w:t>
            </w:r>
          </w:p>
        </w:tc>
      </w:tr>
      <w:tr w:rsidR="003B2804" w14:paraId="142DBE95" w14:textId="77777777" w:rsidTr="00BB0D0D">
        <w:tc>
          <w:tcPr>
            <w:tcW w:w="4106" w:type="dxa"/>
          </w:tcPr>
          <w:p w14:paraId="2224757A" w14:textId="77777777" w:rsidR="003B2804" w:rsidRDefault="00000000">
            <w:pPr>
              <w:jc w:val="both"/>
              <w:rPr>
                <w:sz w:val="28"/>
                <w:szCs w:val="28"/>
              </w:rPr>
            </w:pPr>
            <w:r>
              <w:rPr>
                <w:rFonts w:eastAsia="Calibri"/>
                <w:sz w:val="28"/>
                <w:szCs w:val="28"/>
              </w:rPr>
              <w:t>Пункт першої невідкладної допомоги</w:t>
            </w:r>
          </w:p>
        </w:tc>
        <w:tc>
          <w:tcPr>
            <w:tcW w:w="5238" w:type="dxa"/>
          </w:tcPr>
          <w:p w14:paraId="6BBB86C2" w14:textId="77777777" w:rsidR="003B2804" w:rsidRDefault="00000000">
            <w:pPr>
              <w:jc w:val="both"/>
              <w:rPr>
                <w:sz w:val="28"/>
                <w:szCs w:val="28"/>
              </w:rPr>
            </w:pPr>
            <w:r>
              <w:rPr>
                <w:rFonts w:eastAsia="Calibri"/>
                <w:sz w:val="28"/>
                <w:szCs w:val="28"/>
              </w:rPr>
              <w:t xml:space="preserve">обладнаний медичним оснащенням для надання першої допомоги під час змагань та тренувань відповідно до вимог Української асоціації футболу (УАФ); розташований біля поля та </w:t>
            </w:r>
            <w:proofErr w:type="spellStart"/>
            <w:r>
              <w:rPr>
                <w:rFonts w:eastAsia="Calibri"/>
                <w:sz w:val="28"/>
                <w:szCs w:val="28"/>
              </w:rPr>
              <w:t>роздягалень</w:t>
            </w:r>
            <w:proofErr w:type="spellEnd"/>
          </w:p>
        </w:tc>
      </w:tr>
      <w:tr w:rsidR="003B2804" w14:paraId="02F19337" w14:textId="77777777" w:rsidTr="00BB0D0D">
        <w:tc>
          <w:tcPr>
            <w:tcW w:w="4106" w:type="dxa"/>
          </w:tcPr>
          <w:p w14:paraId="39F52894" w14:textId="7F1D05C1" w:rsidR="003B2804" w:rsidRDefault="00000000" w:rsidP="00DD20DB">
            <w:pPr>
              <w:jc w:val="both"/>
              <w:rPr>
                <w:sz w:val="28"/>
                <w:szCs w:val="28"/>
              </w:rPr>
            </w:pPr>
            <w:r>
              <w:rPr>
                <w:rFonts w:eastAsia="Calibri"/>
                <w:sz w:val="28"/>
                <w:szCs w:val="28"/>
              </w:rPr>
              <w:t>Адміністративні</w:t>
            </w:r>
            <w:r w:rsidR="00BB0D0D">
              <w:rPr>
                <w:rFonts w:eastAsia="Calibri"/>
                <w:sz w:val="28"/>
                <w:szCs w:val="28"/>
              </w:rPr>
              <w:t> </w:t>
            </w:r>
            <w:r>
              <w:rPr>
                <w:rFonts w:eastAsia="Calibri"/>
                <w:sz w:val="28"/>
                <w:szCs w:val="28"/>
              </w:rPr>
              <w:t>/</w:t>
            </w:r>
            <w:r w:rsidR="00DD20DB">
              <w:rPr>
                <w:rFonts w:eastAsia="Calibri"/>
                <w:sz w:val="28"/>
                <w:szCs w:val="28"/>
              </w:rPr>
              <w:t> </w:t>
            </w:r>
            <w:r>
              <w:rPr>
                <w:rFonts w:eastAsia="Calibri"/>
                <w:sz w:val="28"/>
                <w:szCs w:val="28"/>
              </w:rPr>
              <w:t>господарські/ технічні приміщення</w:t>
            </w:r>
          </w:p>
        </w:tc>
        <w:tc>
          <w:tcPr>
            <w:tcW w:w="5238" w:type="dxa"/>
          </w:tcPr>
          <w:p w14:paraId="0D22966D" w14:textId="6E50DCD5" w:rsidR="003B2804" w:rsidRDefault="00000000">
            <w:pPr>
              <w:jc w:val="both"/>
              <w:rPr>
                <w:sz w:val="28"/>
                <w:szCs w:val="28"/>
              </w:rPr>
            </w:pPr>
            <w:r>
              <w:rPr>
                <w:rFonts w:eastAsia="Calibri"/>
                <w:sz w:val="28"/>
                <w:szCs w:val="28"/>
              </w:rPr>
              <w:t>адміністративний блок / офіс; конференц-зал</w:t>
            </w:r>
            <w:r w:rsidR="00BB0D0D">
              <w:rPr>
                <w:rFonts w:eastAsia="Calibri"/>
                <w:sz w:val="28"/>
                <w:szCs w:val="28"/>
              </w:rPr>
              <w:t> </w:t>
            </w:r>
            <w:r>
              <w:rPr>
                <w:rFonts w:eastAsia="Calibri"/>
                <w:sz w:val="28"/>
                <w:szCs w:val="28"/>
              </w:rPr>
              <w:t>/</w:t>
            </w:r>
            <w:r w:rsidR="00BB0D0D">
              <w:rPr>
                <w:rFonts w:eastAsia="Calibri"/>
                <w:sz w:val="28"/>
                <w:szCs w:val="28"/>
              </w:rPr>
              <w:t> </w:t>
            </w:r>
            <w:r>
              <w:rPr>
                <w:rFonts w:eastAsia="Calibri"/>
                <w:sz w:val="28"/>
                <w:szCs w:val="28"/>
              </w:rPr>
              <w:t>зал для прес-конференцій та зустрічей (мінімум на 20 осіб); бюро або пункт адміністратора</w:t>
            </w:r>
            <w:r w:rsidR="00DD20DB">
              <w:rPr>
                <w:rFonts w:eastAsia="Calibri"/>
                <w:sz w:val="28"/>
                <w:szCs w:val="28"/>
              </w:rPr>
              <w:t> </w:t>
            </w:r>
            <w:r>
              <w:rPr>
                <w:rFonts w:eastAsia="Calibri"/>
                <w:sz w:val="28"/>
                <w:szCs w:val="28"/>
              </w:rPr>
              <w:t>/</w:t>
            </w:r>
            <w:r w:rsidR="00DD20DB">
              <w:rPr>
                <w:rFonts w:eastAsia="Calibri"/>
                <w:sz w:val="28"/>
                <w:szCs w:val="28"/>
              </w:rPr>
              <w:t> </w:t>
            </w:r>
            <w:r>
              <w:rPr>
                <w:rFonts w:eastAsia="Calibri"/>
                <w:sz w:val="28"/>
                <w:szCs w:val="28"/>
              </w:rPr>
              <w:t>каси; склад для спортивного інвентаря; склад господарських матеріалів та інвентаря для обслуговування стадіону; технічні приміщення для інженерних мереж</w:t>
            </w:r>
          </w:p>
        </w:tc>
      </w:tr>
      <w:tr w:rsidR="003B2804" w14:paraId="655F8ED0" w14:textId="77777777" w:rsidTr="00BB0D0D">
        <w:tc>
          <w:tcPr>
            <w:tcW w:w="4106" w:type="dxa"/>
          </w:tcPr>
          <w:p w14:paraId="08A960A1" w14:textId="77777777" w:rsidR="003B2804" w:rsidRDefault="00000000">
            <w:pPr>
              <w:jc w:val="both"/>
              <w:rPr>
                <w:sz w:val="28"/>
                <w:szCs w:val="28"/>
              </w:rPr>
            </w:pPr>
            <w:proofErr w:type="spellStart"/>
            <w:r>
              <w:rPr>
                <w:rFonts w:eastAsia="Calibri"/>
                <w:sz w:val="28"/>
                <w:szCs w:val="28"/>
              </w:rPr>
              <w:t>Паркувальна</w:t>
            </w:r>
            <w:proofErr w:type="spellEnd"/>
            <w:r>
              <w:rPr>
                <w:rFonts w:eastAsia="Calibri"/>
                <w:sz w:val="28"/>
                <w:szCs w:val="28"/>
              </w:rPr>
              <w:t xml:space="preserve"> зона</w:t>
            </w:r>
          </w:p>
        </w:tc>
        <w:tc>
          <w:tcPr>
            <w:tcW w:w="5238" w:type="dxa"/>
          </w:tcPr>
          <w:p w14:paraId="64ECA414" w14:textId="145FB902" w:rsidR="003B2804" w:rsidRDefault="00000000">
            <w:pPr>
              <w:jc w:val="both"/>
              <w:rPr>
                <w:sz w:val="28"/>
                <w:szCs w:val="28"/>
              </w:rPr>
            </w:pPr>
            <w:r>
              <w:rPr>
                <w:rFonts w:eastAsia="Calibri"/>
                <w:sz w:val="28"/>
                <w:szCs w:val="28"/>
              </w:rPr>
              <w:t xml:space="preserve">кількість місць </w:t>
            </w:r>
            <w:r w:rsidR="00BB0D0D">
              <w:rPr>
                <w:rFonts w:eastAsia="Calibri"/>
                <w:sz w:val="28"/>
                <w:szCs w:val="28"/>
              </w:rPr>
              <w:t>–</w:t>
            </w:r>
            <w:r>
              <w:rPr>
                <w:rFonts w:eastAsia="Calibri"/>
                <w:sz w:val="28"/>
                <w:szCs w:val="28"/>
              </w:rPr>
              <w:t xml:space="preserve"> не менше 10 (з них мінімум два місця для паркування  автобусів); доступні для глядачів, </w:t>
            </w:r>
            <w:r>
              <w:rPr>
                <w:rFonts w:eastAsia="Calibri"/>
                <w:sz w:val="28"/>
                <w:szCs w:val="28"/>
              </w:rPr>
              <w:lastRenderedPageBreak/>
              <w:t>персоналу та осіб з інвалідністю; облаштовані за схемою безпечного під’їзду до об’єкта</w:t>
            </w:r>
          </w:p>
        </w:tc>
      </w:tr>
      <w:tr w:rsidR="003B2804" w14:paraId="61E97EA3" w14:textId="77777777" w:rsidTr="00BB0D0D">
        <w:tc>
          <w:tcPr>
            <w:tcW w:w="4106" w:type="dxa"/>
          </w:tcPr>
          <w:p w14:paraId="1DF6A046" w14:textId="77777777" w:rsidR="003B2804" w:rsidRDefault="00000000">
            <w:pPr>
              <w:jc w:val="both"/>
              <w:rPr>
                <w:sz w:val="28"/>
                <w:szCs w:val="28"/>
              </w:rPr>
            </w:pPr>
            <w:proofErr w:type="spellStart"/>
            <w:r>
              <w:rPr>
                <w:rFonts w:eastAsia="Calibri"/>
                <w:sz w:val="28"/>
                <w:szCs w:val="28"/>
              </w:rPr>
              <w:lastRenderedPageBreak/>
              <w:t>Інклюзивність</w:t>
            </w:r>
            <w:proofErr w:type="spellEnd"/>
          </w:p>
        </w:tc>
        <w:tc>
          <w:tcPr>
            <w:tcW w:w="5238" w:type="dxa"/>
          </w:tcPr>
          <w:p w14:paraId="196F67B0" w14:textId="77777777" w:rsidR="003B2804" w:rsidRDefault="00000000">
            <w:pPr>
              <w:jc w:val="both"/>
              <w:rPr>
                <w:sz w:val="28"/>
                <w:szCs w:val="28"/>
              </w:rPr>
            </w:pPr>
            <w:r>
              <w:rPr>
                <w:rFonts w:eastAsia="Calibri"/>
                <w:sz w:val="28"/>
                <w:szCs w:val="28"/>
              </w:rPr>
              <w:t>пандуси, адаптовані санвузли, місця для глядачів з обмеженою мобільністю, зручні маршрути руху по території стадіону</w:t>
            </w:r>
          </w:p>
        </w:tc>
      </w:tr>
    </w:tbl>
    <w:p w14:paraId="55AC19CA" w14:textId="77777777" w:rsidR="003B2804" w:rsidRDefault="003B2804">
      <w:pPr>
        <w:ind w:firstLine="709"/>
        <w:jc w:val="both"/>
        <w:rPr>
          <w:sz w:val="28"/>
          <w:szCs w:val="28"/>
        </w:rPr>
      </w:pPr>
    </w:p>
    <w:p w14:paraId="46664DC6" w14:textId="77777777" w:rsidR="003B2804" w:rsidRDefault="00000000" w:rsidP="00E05A24">
      <w:pPr>
        <w:ind w:firstLine="567"/>
        <w:jc w:val="both"/>
        <w:rPr>
          <w:sz w:val="28"/>
          <w:szCs w:val="28"/>
        </w:rPr>
      </w:pPr>
      <w:r>
        <w:rPr>
          <w:sz w:val="28"/>
          <w:szCs w:val="28"/>
        </w:rPr>
        <w:t>Інженерне та технологічне забезпечення:</w:t>
      </w:r>
    </w:p>
    <w:p w14:paraId="5DC27447" w14:textId="6BEC4512" w:rsidR="003B2804" w:rsidRDefault="00000000" w:rsidP="00E05A24">
      <w:pPr>
        <w:ind w:firstLine="567"/>
        <w:jc w:val="both"/>
        <w:rPr>
          <w:sz w:val="28"/>
          <w:szCs w:val="28"/>
        </w:rPr>
      </w:pPr>
      <w:r>
        <w:rPr>
          <w:sz w:val="28"/>
          <w:szCs w:val="28"/>
        </w:rPr>
        <w:t xml:space="preserve">електропостачання </w:t>
      </w:r>
      <w:r w:rsidR="00E05A24">
        <w:rPr>
          <w:sz w:val="28"/>
          <w:szCs w:val="28"/>
        </w:rPr>
        <w:t>–</w:t>
      </w:r>
      <w:r>
        <w:rPr>
          <w:sz w:val="28"/>
          <w:szCs w:val="28"/>
        </w:rPr>
        <w:t xml:space="preserve"> підключення до міських електромереж, резервні генератори;</w:t>
      </w:r>
    </w:p>
    <w:p w14:paraId="07F3AF59" w14:textId="6940B2D7" w:rsidR="003B2804" w:rsidRDefault="00000000" w:rsidP="00E05A24">
      <w:pPr>
        <w:ind w:firstLine="567"/>
        <w:jc w:val="both"/>
        <w:rPr>
          <w:sz w:val="28"/>
          <w:szCs w:val="28"/>
        </w:rPr>
      </w:pPr>
      <w:r>
        <w:rPr>
          <w:sz w:val="28"/>
          <w:szCs w:val="28"/>
        </w:rPr>
        <w:t xml:space="preserve">водопостачання </w:t>
      </w:r>
      <w:r w:rsidR="00E05A24">
        <w:rPr>
          <w:sz w:val="28"/>
          <w:szCs w:val="28"/>
        </w:rPr>
        <w:t>–</w:t>
      </w:r>
      <w:r>
        <w:rPr>
          <w:sz w:val="28"/>
          <w:szCs w:val="28"/>
        </w:rPr>
        <w:t xml:space="preserve"> централізована система та/або артезіанська свердловина;</w:t>
      </w:r>
    </w:p>
    <w:p w14:paraId="2A9A9DDC" w14:textId="624E8D6F" w:rsidR="003B2804" w:rsidRDefault="00000000" w:rsidP="00E05A24">
      <w:pPr>
        <w:ind w:firstLine="567"/>
        <w:jc w:val="both"/>
        <w:rPr>
          <w:sz w:val="28"/>
          <w:szCs w:val="28"/>
        </w:rPr>
      </w:pPr>
      <w:r>
        <w:rPr>
          <w:sz w:val="28"/>
          <w:szCs w:val="28"/>
        </w:rPr>
        <w:t xml:space="preserve">водовідведення </w:t>
      </w:r>
      <w:r w:rsidR="00E05A24">
        <w:rPr>
          <w:sz w:val="28"/>
          <w:szCs w:val="28"/>
        </w:rPr>
        <w:t>–</w:t>
      </w:r>
      <w:r>
        <w:rPr>
          <w:sz w:val="28"/>
          <w:szCs w:val="28"/>
        </w:rPr>
        <w:t xml:space="preserve"> локальна каналізаційна система із підключенням до міських мереж;</w:t>
      </w:r>
    </w:p>
    <w:p w14:paraId="08A6C110" w14:textId="3A57EB7E" w:rsidR="003B2804" w:rsidRDefault="00000000" w:rsidP="00E05A24">
      <w:pPr>
        <w:ind w:firstLine="567"/>
        <w:jc w:val="both"/>
        <w:rPr>
          <w:sz w:val="28"/>
          <w:szCs w:val="28"/>
        </w:rPr>
      </w:pPr>
      <w:r>
        <w:rPr>
          <w:sz w:val="28"/>
          <w:szCs w:val="28"/>
        </w:rPr>
        <w:t xml:space="preserve">дренажна система </w:t>
      </w:r>
      <w:r w:rsidR="00E05A24">
        <w:rPr>
          <w:sz w:val="28"/>
          <w:szCs w:val="28"/>
        </w:rPr>
        <w:t>–</w:t>
      </w:r>
      <w:r>
        <w:rPr>
          <w:sz w:val="28"/>
          <w:szCs w:val="28"/>
        </w:rPr>
        <w:t xml:space="preserve"> глибинний дренаж із виводом у зливову каналізацію;</w:t>
      </w:r>
    </w:p>
    <w:p w14:paraId="004948E0" w14:textId="4BE835E5" w:rsidR="003B2804" w:rsidRDefault="00000000" w:rsidP="00E05A24">
      <w:pPr>
        <w:ind w:firstLine="567"/>
        <w:jc w:val="both"/>
        <w:rPr>
          <w:sz w:val="28"/>
          <w:szCs w:val="28"/>
        </w:rPr>
      </w:pPr>
      <w:r>
        <w:rPr>
          <w:sz w:val="28"/>
          <w:szCs w:val="28"/>
        </w:rPr>
        <w:t xml:space="preserve">огорожа </w:t>
      </w:r>
      <w:r w:rsidR="00E05A24">
        <w:rPr>
          <w:sz w:val="28"/>
          <w:szCs w:val="28"/>
        </w:rPr>
        <w:t xml:space="preserve">– </w:t>
      </w:r>
      <w:r>
        <w:rPr>
          <w:sz w:val="28"/>
          <w:szCs w:val="28"/>
        </w:rPr>
        <w:t>секційні панелі висотою 2,5 м, із вхідною групою та контролем доступу.</w:t>
      </w:r>
    </w:p>
    <w:p w14:paraId="167D667C" w14:textId="77777777" w:rsidR="003B2804" w:rsidRDefault="00000000" w:rsidP="00E05A24">
      <w:pPr>
        <w:ind w:firstLine="567"/>
        <w:jc w:val="both"/>
        <w:rPr>
          <w:sz w:val="28"/>
          <w:szCs w:val="28"/>
        </w:rPr>
      </w:pPr>
      <w:r>
        <w:rPr>
          <w:sz w:val="28"/>
          <w:szCs w:val="28"/>
        </w:rPr>
        <w:t>Екологічні та енергоефективні рішення:</w:t>
      </w:r>
    </w:p>
    <w:p w14:paraId="63D163DC" w14:textId="77777777" w:rsidR="003B2804" w:rsidRDefault="00000000" w:rsidP="00E05A24">
      <w:pPr>
        <w:ind w:firstLine="567"/>
        <w:jc w:val="both"/>
        <w:rPr>
          <w:sz w:val="28"/>
          <w:szCs w:val="28"/>
        </w:rPr>
      </w:pPr>
      <w:r>
        <w:rPr>
          <w:sz w:val="28"/>
          <w:szCs w:val="28"/>
        </w:rPr>
        <w:t>використання LED-освітлення з автоматичним регулюванням яскравості;</w:t>
      </w:r>
    </w:p>
    <w:p w14:paraId="72F0DBB2" w14:textId="77777777" w:rsidR="003B2804" w:rsidRDefault="00000000" w:rsidP="00E05A24">
      <w:pPr>
        <w:ind w:firstLine="567"/>
        <w:jc w:val="both"/>
        <w:rPr>
          <w:sz w:val="28"/>
          <w:szCs w:val="28"/>
        </w:rPr>
      </w:pPr>
      <w:r>
        <w:rPr>
          <w:sz w:val="28"/>
          <w:szCs w:val="28"/>
        </w:rPr>
        <w:t>озеленення території (висадка дерев, газонів, декоративних насаджень).</w:t>
      </w:r>
    </w:p>
    <w:p w14:paraId="1D2939D9" w14:textId="77777777" w:rsidR="003B2804" w:rsidRDefault="00000000" w:rsidP="00E05A24">
      <w:pPr>
        <w:ind w:firstLine="567"/>
        <w:jc w:val="both"/>
        <w:rPr>
          <w:sz w:val="28"/>
          <w:szCs w:val="28"/>
        </w:rPr>
      </w:pPr>
      <w:r>
        <w:rPr>
          <w:sz w:val="28"/>
          <w:szCs w:val="28"/>
        </w:rPr>
        <w:t>матеріали з низьким рівнем викидів СО₂ (бетон і покриття європейського стандарту).</w:t>
      </w:r>
    </w:p>
    <w:p w14:paraId="519CE8D0" w14:textId="77777777" w:rsidR="003B2804" w:rsidRDefault="00000000" w:rsidP="00E05A24">
      <w:pPr>
        <w:ind w:firstLine="567"/>
        <w:jc w:val="both"/>
        <w:rPr>
          <w:sz w:val="28"/>
          <w:szCs w:val="28"/>
        </w:rPr>
      </w:pPr>
      <w:r>
        <w:rPr>
          <w:sz w:val="28"/>
          <w:szCs w:val="28"/>
        </w:rPr>
        <w:t>Будівництво та обслуговування об</w:t>
      </w:r>
      <w:r>
        <w:rPr>
          <w:sz w:val="28"/>
          <w:szCs w:val="28"/>
          <w:lang w:val="en-US"/>
        </w:rPr>
        <w:t>’</w:t>
      </w:r>
      <w:proofErr w:type="spellStart"/>
      <w:r>
        <w:rPr>
          <w:sz w:val="28"/>
          <w:szCs w:val="28"/>
        </w:rPr>
        <w:t>єкту</w:t>
      </w:r>
      <w:proofErr w:type="spellEnd"/>
      <w:r>
        <w:rPr>
          <w:sz w:val="28"/>
          <w:szCs w:val="28"/>
        </w:rPr>
        <w:t xml:space="preserve"> реалізується у межах публічно-приватного партнерства між Луцькою міською радою (публічний партнер) та приватним інвестором (приватний партнер), який здійснює 100% фінансування </w:t>
      </w:r>
      <w:proofErr w:type="spellStart"/>
      <w:r>
        <w:rPr>
          <w:sz w:val="28"/>
          <w:szCs w:val="28"/>
        </w:rPr>
        <w:t>проєкту</w:t>
      </w:r>
      <w:proofErr w:type="spellEnd"/>
      <w:r>
        <w:rPr>
          <w:sz w:val="28"/>
          <w:szCs w:val="28"/>
        </w:rPr>
        <w:t xml:space="preserve"> (орієнтовно 10 млн грн).</w:t>
      </w:r>
    </w:p>
    <w:p w14:paraId="0B9C4922" w14:textId="77777777" w:rsidR="003B2804" w:rsidRDefault="003B2804">
      <w:pPr>
        <w:ind w:firstLine="709"/>
        <w:jc w:val="both"/>
        <w:rPr>
          <w:sz w:val="28"/>
          <w:szCs w:val="28"/>
        </w:rPr>
      </w:pPr>
    </w:p>
    <w:p w14:paraId="05AE6177" w14:textId="77777777" w:rsidR="003B2804" w:rsidRDefault="00000000" w:rsidP="00E05A24">
      <w:pPr>
        <w:ind w:firstLine="567"/>
        <w:rPr>
          <w:b/>
          <w:sz w:val="28"/>
          <w:szCs w:val="28"/>
        </w:rPr>
      </w:pPr>
      <w:r>
        <w:rPr>
          <w:b/>
          <w:sz w:val="28"/>
          <w:szCs w:val="28"/>
        </w:rPr>
        <w:t xml:space="preserve">2. Мета </w:t>
      </w:r>
      <w:proofErr w:type="spellStart"/>
      <w:r>
        <w:rPr>
          <w:b/>
          <w:sz w:val="28"/>
          <w:szCs w:val="28"/>
        </w:rPr>
        <w:t>проєкту</w:t>
      </w:r>
      <w:proofErr w:type="spellEnd"/>
    </w:p>
    <w:p w14:paraId="0DDDC9FB" w14:textId="482E7035" w:rsidR="003B2804" w:rsidRDefault="00000000" w:rsidP="00E05A24">
      <w:pPr>
        <w:ind w:firstLine="567"/>
        <w:jc w:val="both"/>
        <w:rPr>
          <w:sz w:val="28"/>
          <w:szCs w:val="28"/>
        </w:rPr>
      </w:pPr>
      <w:r>
        <w:rPr>
          <w:sz w:val="28"/>
          <w:szCs w:val="28"/>
        </w:rPr>
        <w:t>Метою запровадження публічно-приватного партнерства є поєднання можливостей приватного інвестора з ресурсами громади для створення суспільно значущого об’єкта без залучення коштів місцевого бюджету, забезпечення доступності спорту та фізичної культури для мешканців громади, підвищення рівня міської спортивної інфраструктури, підвищення іміджу Луцької громади як інвестиційно</w:t>
      </w:r>
      <w:r w:rsidR="00E05A24">
        <w:rPr>
          <w:sz w:val="28"/>
          <w:szCs w:val="28"/>
        </w:rPr>
        <w:t xml:space="preserve"> </w:t>
      </w:r>
      <w:r>
        <w:rPr>
          <w:sz w:val="28"/>
          <w:szCs w:val="28"/>
        </w:rPr>
        <w:t>привабливої території.</w:t>
      </w:r>
    </w:p>
    <w:p w14:paraId="109A5B0F" w14:textId="77777777" w:rsidR="003B2804" w:rsidRDefault="003B2804">
      <w:pPr>
        <w:ind w:firstLine="851"/>
        <w:rPr>
          <w:b/>
          <w:sz w:val="28"/>
          <w:szCs w:val="28"/>
        </w:rPr>
      </w:pPr>
    </w:p>
    <w:p w14:paraId="0CA3FCC2" w14:textId="68F05E98" w:rsidR="003B2804" w:rsidRDefault="00000000" w:rsidP="00725878">
      <w:pPr>
        <w:ind w:firstLine="567"/>
        <w:jc w:val="both"/>
        <w:rPr>
          <w:b/>
          <w:sz w:val="28"/>
          <w:szCs w:val="28"/>
        </w:rPr>
      </w:pPr>
      <w:r>
        <w:rPr>
          <w:b/>
          <w:sz w:val="28"/>
          <w:szCs w:val="28"/>
        </w:rPr>
        <w:t>3.</w:t>
      </w:r>
      <w:r w:rsidR="00725878">
        <w:rPr>
          <w:b/>
          <w:sz w:val="28"/>
          <w:szCs w:val="28"/>
        </w:rPr>
        <w:t> </w:t>
      </w:r>
      <w:r>
        <w:rPr>
          <w:b/>
          <w:sz w:val="28"/>
          <w:szCs w:val="28"/>
        </w:rPr>
        <w:t xml:space="preserve">Проблеми, які передбачається розв’язати у результаті реалізації </w:t>
      </w:r>
      <w:proofErr w:type="spellStart"/>
      <w:r>
        <w:rPr>
          <w:b/>
          <w:sz w:val="28"/>
          <w:szCs w:val="28"/>
        </w:rPr>
        <w:t>проєкту</w:t>
      </w:r>
      <w:proofErr w:type="spellEnd"/>
      <w:r>
        <w:rPr>
          <w:b/>
          <w:sz w:val="28"/>
          <w:szCs w:val="28"/>
        </w:rPr>
        <w:t xml:space="preserve"> публічно-приватного партнерства</w:t>
      </w:r>
    </w:p>
    <w:p w14:paraId="0A245BB2" w14:textId="77777777" w:rsidR="003B2804" w:rsidRDefault="00000000" w:rsidP="00725878">
      <w:pPr>
        <w:ind w:firstLine="567"/>
        <w:jc w:val="both"/>
        <w:rPr>
          <w:sz w:val="28"/>
          <w:szCs w:val="28"/>
        </w:rPr>
      </w:pPr>
      <w:r>
        <w:rPr>
          <w:sz w:val="28"/>
          <w:szCs w:val="28"/>
        </w:rPr>
        <w:t>На території Луцької міської територіальної громади спостерігається дефіцит сучасної спортивної інфраструктури, придатної для проведення масових, тренувальних і змагальних заходів високого рівня.</w:t>
      </w:r>
    </w:p>
    <w:p w14:paraId="2FDE7E80" w14:textId="77777777" w:rsidR="003B2804" w:rsidRDefault="00000000" w:rsidP="00725878">
      <w:pPr>
        <w:ind w:firstLine="567"/>
        <w:jc w:val="both"/>
        <w:rPr>
          <w:sz w:val="28"/>
          <w:szCs w:val="28"/>
        </w:rPr>
      </w:pPr>
      <w:r>
        <w:rPr>
          <w:sz w:val="28"/>
          <w:szCs w:val="28"/>
        </w:rPr>
        <w:t>Більшість існуючих стадіонів і спортивних майданчиків були побудовані багато років тому та потребують капітальної реконструкції або частково виведені з експлуатації.</w:t>
      </w:r>
    </w:p>
    <w:p w14:paraId="05A7CF3E" w14:textId="77777777" w:rsidR="003B2804" w:rsidRDefault="00000000" w:rsidP="00725878">
      <w:pPr>
        <w:ind w:firstLine="567"/>
        <w:jc w:val="both"/>
        <w:rPr>
          <w:sz w:val="28"/>
          <w:szCs w:val="28"/>
        </w:rPr>
      </w:pPr>
      <w:r>
        <w:rPr>
          <w:sz w:val="28"/>
          <w:szCs w:val="28"/>
        </w:rPr>
        <w:lastRenderedPageBreak/>
        <w:t>Матеріально-технічна база дитячо-юнацьких спортивних шкіл (ДЮСШ) не відповідає сучасним вимогам Федерації футболу України та Європейських стандартів безпеки.</w:t>
      </w:r>
    </w:p>
    <w:p w14:paraId="11C62FBB" w14:textId="5FAC0F18" w:rsidR="003B2804" w:rsidRDefault="00725878" w:rsidP="00725878">
      <w:pPr>
        <w:ind w:firstLine="567"/>
        <w:jc w:val="both"/>
        <w:rPr>
          <w:sz w:val="28"/>
          <w:szCs w:val="28"/>
        </w:rPr>
      </w:pPr>
      <w:r>
        <w:rPr>
          <w:sz w:val="28"/>
          <w:szCs w:val="28"/>
        </w:rPr>
        <w:t>У зв</w:t>
      </w:r>
      <w:r>
        <w:rPr>
          <w:sz w:val="28"/>
          <w:szCs w:val="28"/>
          <w:lang w:val="en-US"/>
        </w:rPr>
        <w:t>’</w:t>
      </w:r>
      <w:proofErr w:type="spellStart"/>
      <w:r>
        <w:rPr>
          <w:sz w:val="28"/>
          <w:szCs w:val="28"/>
        </w:rPr>
        <w:t>язку</w:t>
      </w:r>
      <w:proofErr w:type="spellEnd"/>
      <w:r>
        <w:rPr>
          <w:sz w:val="28"/>
          <w:szCs w:val="28"/>
        </w:rPr>
        <w:t xml:space="preserve"> з цим реалізація </w:t>
      </w:r>
      <w:proofErr w:type="spellStart"/>
      <w:r>
        <w:rPr>
          <w:sz w:val="28"/>
          <w:szCs w:val="28"/>
        </w:rPr>
        <w:t>проєкту</w:t>
      </w:r>
      <w:proofErr w:type="spellEnd"/>
      <w:r>
        <w:rPr>
          <w:sz w:val="28"/>
          <w:szCs w:val="28"/>
        </w:rPr>
        <w:t xml:space="preserve"> публічно-приватного партнерства вирішить ряд проблемних питань, серед яких варто виділити:</w:t>
      </w:r>
    </w:p>
    <w:p w14:paraId="7B21C0DE" w14:textId="7DB74BB2" w:rsidR="003B2804" w:rsidRDefault="00725878" w:rsidP="00725878">
      <w:pPr>
        <w:ind w:firstLine="567"/>
        <w:jc w:val="both"/>
        <w:rPr>
          <w:sz w:val="28"/>
          <w:szCs w:val="28"/>
        </w:rPr>
      </w:pPr>
      <w:r>
        <w:rPr>
          <w:sz w:val="28"/>
          <w:szCs w:val="28"/>
        </w:rPr>
        <w:t>соціальні проблеми: покращення умов для масового залучення дітей і молоді до занять спортом та участі у змаганнях високого рівня; підвищення рівня фізичної активності населення (за оцінками департаменту молоді та спорту близько 30% учнів та молоді не мають можливості регулярно займатися фізичною культурою на відкритому повітрі); нерівний доступ до спортивних послуг між центральними та віддаленими мікрорайонами Луцька; покращення рівня інклюзивної інфраструктури для осіб з інвалідністю та маломобільних груп населення, що розширює можливості їх участі у спортивному та громадському житті громади;</w:t>
      </w:r>
    </w:p>
    <w:p w14:paraId="58F0FDBB" w14:textId="1E6D2C34" w:rsidR="003B2804" w:rsidRDefault="00725878" w:rsidP="00725878">
      <w:pPr>
        <w:ind w:firstLine="567"/>
        <w:jc w:val="both"/>
        <w:rPr>
          <w:sz w:val="28"/>
          <w:szCs w:val="28"/>
        </w:rPr>
      </w:pPr>
      <w:r>
        <w:rPr>
          <w:sz w:val="28"/>
          <w:szCs w:val="28"/>
        </w:rPr>
        <w:t xml:space="preserve">інфраструктурні та технічні проблеми: відсутність у місті повноцінного стадіону зі штучним покриттям, який би дозволяв проводити тренування та змагання високого рівня незалежно від сезону; брак відкритих майданчиків для тренувань дитячих і аматорських команд із відповідними стандартами розмірів і безпеки; недостатнє освітлення на більшості існуючих полів, що обмежує тренування у вечірній час;  відсутність належної інфраструктури для глядачів (трибун, </w:t>
      </w:r>
      <w:proofErr w:type="spellStart"/>
      <w:r>
        <w:rPr>
          <w:sz w:val="28"/>
          <w:szCs w:val="28"/>
        </w:rPr>
        <w:t>роздягалень</w:t>
      </w:r>
      <w:proofErr w:type="spellEnd"/>
      <w:r>
        <w:rPr>
          <w:sz w:val="28"/>
          <w:szCs w:val="28"/>
        </w:rPr>
        <w:t xml:space="preserve">, санітарних вузлів, медичного пункту) на існуючих спортивних майданчиках з штучним покриттям; відсутність </w:t>
      </w:r>
      <w:proofErr w:type="spellStart"/>
      <w:r>
        <w:rPr>
          <w:sz w:val="28"/>
          <w:szCs w:val="28"/>
        </w:rPr>
        <w:t>паркувальних</w:t>
      </w:r>
      <w:proofErr w:type="spellEnd"/>
      <w:r>
        <w:rPr>
          <w:sz w:val="28"/>
          <w:szCs w:val="28"/>
        </w:rPr>
        <w:t xml:space="preserve"> місць та благоустрою спортивних зон;</w:t>
      </w:r>
    </w:p>
    <w:p w14:paraId="3042DD28" w14:textId="168D7586" w:rsidR="003B2804" w:rsidRDefault="00725878" w:rsidP="00725878">
      <w:pPr>
        <w:ind w:firstLine="567"/>
        <w:jc w:val="both"/>
        <w:rPr>
          <w:sz w:val="28"/>
          <w:szCs w:val="28"/>
        </w:rPr>
      </w:pPr>
      <w:r>
        <w:rPr>
          <w:sz w:val="28"/>
          <w:szCs w:val="28"/>
        </w:rPr>
        <w:t>організаційно-економічні проблеми: обмежені можливості місцевого бюджету щодо фінансування будівництва або модернізації спортивних споруд; недостатній рівень залучення приватного сектору до інвестування у міську спортивну інфраструктуру; відсутність системи довгострокового управління та експлуатації спортивних об’єктів із залученням приватних операторів; недостатня привабливість спортивної сфери для інвесторів через високі стартові витрати і невизначеність умов користування комунальними об’єктами;</w:t>
      </w:r>
    </w:p>
    <w:p w14:paraId="102B026E" w14:textId="00D51D38" w:rsidR="003B2804" w:rsidRDefault="00725878" w:rsidP="00725878">
      <w:pPr>
        <w:ind w:firstLine="567"/>
        <w:jc w:val="both"/>
        <w:rPr>
          <w:sz w:val="28"/>
          <w:szCs w:val="28"/>
        </w:rPr>
      </w:pPr>
      <w:r>
        <w:rPr>
          <w:sz w:val="28"/>
          <w:szCs w:val="28"/>
        </w:rPr>
        <w:t>екологічні та просторові проблеми: невикористані або занедбані земельні ділянки у житлових районах, які могли б бути раціонально освоєні під спортивну інфраструктуру; відсутність зелених і рекреаційних просторів для занять спортом у щільно забудованих зонах;</w:t>
      </w:r>
    </w:p>
    <w:p w14:paraId="5D08E098" w14:textId="34CB60A7" w:rsidR="003B2804" w:rsidRDefault="00725878" w:rsidP="00725878">
      <w:pPr>
        <w:ind w:firstLine="567"/>
        <w:jc w:val="both"/>
        <w:rPr>
          <w:sz w:val="28"/>
          <w:szCs w:val="28"/>
        </w:rPr>
      </w:pPr>
      <w:proofErr w:type="spellStart"/>
      <w:r>
        <w:rPr>
          <w:sz w:val="28"/>
          <w:szCs w:val="28"/>
        </w:rPr>
        <w:t>безбар’єрність</w:t>
      </w:r>
      <w:proofErr w:type="spellEnd"/>
      <w:r>
        <w:rPr>
          <w:sz w:val="28"/>
          <w:szCs w:val="28"/>
        </w:rPr>
        <w:t xml:space="preserve"> і доступність: відсутність у більшості міських спортивних споруд доступних маршрутів пересування для маломобільних груп; брак адаптованих </w:t>
      </w:r>
      <w:proofErr w:type="spellStart"/>
      <w:r>
        <w:rPr>
          <w:sz w:val="28"/>
          <w:szCs w:val="28"/>
        </w:rPr>
        <w:t>роздягалень</w:t>
      </w:r>
      <w:proofErr w:type="spellEnd"/>
      <w:r>
        <w:rPr>
          <w:sz w:val="28"/>
          <w:szCs w:val="28"/>
        </w:rPr>
        <w:t>, санітарних вузлів та спеціальних місць для глядачів; необхідність виконання вимог ДБН В.2.2-40:2018 «</w:t>
      </w:r>
      <w:proofErr w:type="spellStart"/>
      <w:r>
        <w:rPr>
          <w:sz w:val="28"/>
          <w:szCs w:val="28"/>
        </w:rPr>
        <w:t>Інклюзивність</w:t>
      </w:r>
      <w:proofErr w:type="spellEnd"/>
      <w:r>
        <w:rPr>
          <w:sz w:val="28"/>
          <w:szCs w:val="28"/>
        </w:rPr>
        <w:t xml:space="preserve"> будівель і споруд» та Національної стратегії </w:t>
      </w:r>
      <w:proofErr w:type="spellStart"/>
      <w:r>
        <w:rPr>
          <w:sz w:val="28"/>
          <w:szCs w:val="28"/>
        </w:rPr>
        <w:t>безбар’єрності</w:t>
      </w:r>
      <w:proofErr w:type="spellEnd"/>
      <w:r>
        <w:rPr>
          <w:sz w:val="28"/>
          <w:szCs w:val="28"/>
        </w:rPr>
        <w:t xml:space="preserve"> до 2030 року.</w:t>
      </w:r>
    </w:p>
    <w:p w14:paraId="389D0E9F" w14:textId="77777777" w:rsidR="003B2804" w:rsidRDefault="003B2804">
      <w:pPr>
        <w:ind w:firstLine="709"/>
        <w:jc w:val="both"/>
        <w:rPr>
          <w:sz w:val="28"/>
          <w:szCs w:val="28"/>
        </w:rPr>
      </w:pPr>
    </w:p>
    <w:p w14:paraId="4E203A73" w14:textId="77777777" w:rsidR="00725878" w:rsidRDefault="00725878">
      <w:pPr>
        <w:ind w:firstLine="709"/>
        <w:jc w:val="both"/>
        <w:rPr>
          <w:b/>
          <w:sz w:val="28"/>
          <w:szCs w:val="28"/>
        </w:rPr>
      </w:pPr>
    </w:p>
    <w:p w14:paraId="548367BE" w14:textId="77777777" w:rsidR="00725878" w:rsidRDefault="00725878">
      <w:pPr>
        <w:ind w:firstLine="709"/>
        <w:jc w:val="both"/>
        <w:rPr>
          <w:b/>
          <w:sz w:val="28"/>
          <w:szCs w:val="28"/>
        </w:rPr>
      </w:pPr>
    </w:p>
    <w:p w14:paraId="7C46B6B6" w14:textId="52E41556" w:rsidR="003B2804" w:rsidRDefault="00000000" w:rsidP="00725878">
      <w:pPr>
        <w:ind w:firstLine="567"/>
        <w:jc w:val="both"/>
        <w:rPr>
          <w:sz w:val="28"/>
          <w:szCs w:val="28"/>
        </w:rPr>
      </w:pPr>
      <w:r>
        <w:rPr>
          <w:b/>
          <w:sz w:val="28"/>
          <w:szCs w:val="28"/>
        </w:rPr>
        <w:lastRenderedPageBreak/>
        <w:t>4.</w:t>
      </w:r>
      <w:r w:rsidR="00725878">
        <w:rPr>
          <w:b/>
          <w:sz w:val="28"/>
          <w:szCs w:val="28"/>
        </w:rPr>
        <w:t> </w:t>
      </w:r>
      <w:r>
        <w:rPr>
          <w:b/>
          <w:sz w:val="28"/>
          <w:szCs w:val="28"/>
        </w:rPr>
        <w:t>Результати попереднього аналізу можливих альтернативних варіантів розв’язання зазначених проблем</w:t>
      </w:r>
    </w:p>
    <w:p w14:paraId="3FDC52DD" w14:textId="77777777" w:rsidR="003B2804" w:rsidRDefault="00000000" w:rsidP="00725878">
      <w:pPr>
        <w:ind w:firstLine="567"/>
        <w:jc w:val="both"/>
        <w:rPr>
          <w:sz w:val="28"/>
          <w:szCs w:val="28"/>
        </w:rPr>
      </w:pPr>
      <w:r>
        <w:rPr>
          <w:sz w:val="28"/>
          <w:szCs w:val="28"/>
        </w:rPr>
        <w:t xml:space="preserve">З метою визначення оптимального способу реалізації </w:t>
      </w:r>
      <w:proofErr w:type="spellStart"/>
      <w:r>
        <w:rPr>
          <w:sz w:val="28"/>
          <w:szCs w:val="28"/>
        </w:rPr>
        <w:t>проєкту</w:t>
      </w:r>
      <w:proofErr w:type="spellEnd"/>
      <w:r>
        <w:rPr>
          <w:sz w:val="28"/>
          <w:szCs w:val="28"/>
        </w:rPr>
        <w:t xml:space="preserve"> розвитку спортивної інфраструктури громади проведено попередній аналіз кількох альтернативних варіантів розв’язання проблем, зазначених у попередньому розділі.</w:t>
      </w:r>
    </w:p>
    <w:p w14:paraId="0263ADBF" w14:textId="77777777" w:rsidR="003B2804" w:rsidRDefault="00000000" w:rsidP="00725878">
      <w:pPr>
        <w:ind w:firstLine="567"/>
        <w:jc w:val="both"/>
        <w:rPr>
          <w:sz w:val="28"/>
          <w:szCs w:val="28"/>
        </w:rPr>
      </w:pPr>
      <w:r>
        <w:rPr>
          <w:sz w:val="28"/>
          <w:szCs w:val="28"/>
        </w:rPr>
        <w:t>Порівняння варіантів здійснювалося за критеріями: фінансова доцільність, строки реалізації, рівень участі громади, ефективність використання майна, соціальний ефект та сталість результату.</w:t>
      </w:r>
    </w:p>
    <w:p w14:paraId="450D3A79" w14:textId="77777777" w:rsidR="003B2804" w:rsidRDefault="00000000" w:rsidP="00725878">
      <w:pPr>
        <w:ind w:firstLine="567"/>
        <w:jc w:val="both"/>
        <w:rPr>
          <w:i/>
          <w:iCs/>
          <w:sz w:val="28"/>
          <w:szCs w:val="28"/>
        </w:rPr>
      </w:pPr>
      <w:r>
        <w:rPr>
          <w:i/>
          <w:iCs/>
          <w:sz w:val="28"/>
          <w:szCs w:val="28"/>
        </w:rPr>
        <w:t>Варіант 1. Будівництво стадіону за рахунок коштів місцевого бюджету.</w:t>
      </w:r>
    </w:p>
    <w:p w14:paraId="278915BE" w14:textId="1FB714C1" w:rsidR="003B2804" w:rsidRDefault="00000000" w:rsidP="00725878">
      <w:pPr>
        <w:ind w:firstLine="567"/>
        <w:jc w:val="both"/>
        <w:rPr>
          <w:sz w:val="28"/>
          <w:szCs w:val="28"/>
        </w:rPr>
      </w:pPr>
      <w:r>
        <w:rPr>
          <w:sz w:val="28"/>
          <w:szCs w:val="28"/>
        </w:rPr>
        <w:t xml:space="preserve">Опис: будівництво та оснащення об’єкта здійснюється повністю за рахунок бюджету </w:t>
      </w:r>
      <w:r w:rsidRPr="00BE2A89">
        <w:rPr>
          <w:sz w:val="28"/>
          <w:szCs w:val="28"/>
        </w:rPr>
        <w:t xml:space="preserve">Луцької міської </w:t>
      </w:r>
      <w:r w:rsidR="00BE2A89" w:rsidRPr="00BE2A89">
        <w:rPr>
          <w:sz w:val="28"/>
          <w:szCs w:val="28"/>
        </w:rPr>
        <w:t>територіальної громади</w:t>
      </w:r>
      <w:r w:rsidRPr="00BE2A89">
        <w:rPr>
          <w:sz w:val="28"/>
          <w:szCs w:val="28"/>
        </w:rPr>
        <w:t xml:space="preserve"> </w:t>
      </w:r>
      <w:r>
        <w:rPr>
          <w:sz w:val="28"/>
          <w:szCs w:val="28"/>
        </w:rPr>
        <w:t>з подальшою експлуатацією комунальним підприємством або департаментом молоді та спорту.</w:t>
      </w:r>
    </w:p>
    <w:p w14:paraId="5113E613" w14:textId="77777777" w:rsidR="003B2804" w:rsidRDefault="00000000" w:rsidP="00725878">
      <w:pPr>
        <w:ind w:firstLine="567"/>
        <w:jc w:val="both"/>
        <w:rPr>
          <w:sz w:val="28"/>
          <w:szCs w:val="28"/>
        </w:rPr>
      </w:pPr>
      <w:r>
        <w:rPr>
          <w:sz w:val="28"/>
          <w:szCs w:val="28"/>
        </w:rPr>
        <w:t>Переваги: повний контроль за плануванням і використанням об’єкта з боку громади; гарантія суспільного характеру використання стадіону.</w:t>
      </w:r>
    </w:p>
    <w:p w14:paraId="036E4EC2" w14:textId="02D38223" w:rsidR="003B2804" w:rsidRDefault="00000000" w:rsidP="00725878">
      <w:pPr>
        <w:ind w:firstLine="567"/>
        <w:jc w:val="both"/>
        <w:rPr>
          <w:sz w:val="28"/>
          <w:szCs w:val="28"/>
        </w:rPr>
      </w:pPr>
      <w:r>
        <w:rPr>
          <w:sz w:val="28"/>
          <w:szCs w:val="28"/>
        </w:rPr>
        <w:t xml:space="preserve">Недоліки: відсутність необхідних коштів у бюджеті громади (приблизна вартість </w:t>
      </w:r>
      <w:proofErr w:type="spellStart"/>
      <w:r>
        <w:rPr>
          <w:sz w:val="28"/>
          <w:szCs w:val="28"/>
        </w:rPr>
        <w:t>проєкту</w:t>
      </w:r>
      <w:proofErr w:type="spellEnd"/>
      <w:r>
        <w:rPr>
          <w:sz w:val="28"/>
          <w:szCs w:val="28"/>
        </w:rPr>
        <w:t xml:space="preserve"> </w:t>
      </w:r>
      <w:r w:rsidR="00EB07F8">
        <w:rPr>
          <w:sz w:val="28"/>
          <w:szCs w:val="28"/>
        </w:rPr>
        <w:t>–</w:t>
      </w:r>
      <w:r>
        <w:rPr>
          <w:sz w:val="28"/>
          <w:szCs w:val="28"/>
        </w:rPr>
        <w:t xml:space="preserve"> 10 млн грн без витрат на обслуговування та експлуатацію); значне навантаження на місцеві фінанси в умовах пріоритетного фінансування інших сфер (освіта, медицина, оборона); ризики затягування строків будівництва через бюджетні обмеження; відсутність гнучких механізмів залучення досвіду приватного сектора в управлінні спортивними об’єктами.</w:t>
      </w:r>
    </w:p>
    <w:p w14:paraId="39D01283" w14:textId="77777777" w:rsidR="003B2804" w:rsidRDefault="00000000" w:rsidP="00725878">
      <w:pPr>
        <w:ind w:firstLine="567"/>
        <w:jc w:val="both"/>
        <w:rPr>
          <w:sz w:val="28"/>
          <w:szCs w:val="28"/>
        </w:rPr>
      </w:pPr>
      <w:r>
        <w:rPr>
          <w:sz w:val="28"/>
          <w:szCs w:val="28"/>
        </w:rPr>
        <w:t>Висновок: варіант економічно малоефективний і не відповідає фінансовим можливостям громади у короткостроковій перспективі.</w:t>
      </w:r>
    </w:p>
    <w:p w14:paraId="7E63019B" w14:textId="6D54DDB4" w:rsidR="003B2804" w:rsidRDefault="00000000" w:rsidP="00725878">
      <w:pPr>
        <w:ind w:firstLine="567"/>
        <w:jc w:val="both"/>
        <w:rPr>
          <w:i/>
          <w:iCs/>
          <w:sz w:val="28"/>
          <w:szCs w:val="28"/>
        </w:rPr>
      </w:pPr>
      <w:r>
        <w:rPr>
          <w:i/>
          <w:iCs/>
          <w:sz w:val="28"/>
          <w:szCs w:val="28"/>
        </w:rPr>
        <w:t xml:space="preserve">Варіант 2. Реалізація </w:t>
      </w:r>
      <w:proofErr w:type="spellStart"/>
      <w:r>
        <w:rPr>
          <w:i/>
          <w:iCs/>
          <w:sz w:val="28"/>
          <w:szCs w:val="28"/>
        </w:rPr>
        <w:t>проєкту</w:t>
      </w:r>
      <w:proofErr w:type="spellEnd"/>
      <w:r>
        <w:rPr>
          <w:i/>
          <w:iCs/>
          <w:sz w:val="28"/>
          <w:szCs w:val="28"/>
        </w:rPr>
        <w:t xml:space="preserve"> шляхом залучення грантів або міжнародної технічної допомоги</w:t>
      </w:r>
      <w:r w:rsidR="00614DD1">
        <w:rPr>
          <w:i/>
          <w:iCs/>
          <w:sz w:val="28"/>
          <w:szCs w:val="28"/>
        </w:rPr>
        <w:t>.</w:t>
      </w:r>
    </w:p>
    <w:p w14:paraId="3741853B" w14:textId="77777777" w:rsidR="003B2804" w:rsidRDefault="00000000" w:rsidP="00725878">
      <w:pPr>
        <w:ind w:firstLine="567"/>
        <w:jc w:val="both"/>
        <w:rPr>
          <w:sz w:val="28"/>
          <w:szCs w:val="28"/>
        </w:rPr>
      </w:pPr>
      <w:r>
        <w:rPr>
          <w:sz w:val="28"/>
          <w:szCs w:val="28"/>
        </w:rPr>
        <w:t>Опис: передбачає пошук донорського фінансування (ЄС, ПРООН, фонди розвитку спорту тощо) для будівництва або реконструкції спортивного об’єкта.</w:t>
      </w:r>
    </w:p>
    <w:p w14:paraId="67A0EDE4" w14:textId="77777777" w:rsidR="003B2804" w:rsidRDefault="00000000" w:rsidP="00725878">
      <w:pPr>
        <w:ind w:firstLine="567"/>
        <w:jc w:val="both"/>
        <w:rPr>
          <w:sz w:val="28"/>
          <w:szCs w:val="28"/>
        </w:rPr>
      </w:pPr>
      <w:r>
        <w:rPr>
          <w:sz w:val="28"/>
          <w:szCs w:val="28"/>
        </w:rPr>
        <w:t xml:space="preserve">Переваги: можливість отримання безповоротної фінансової допомоги; соціальна складова </w:t>
      </w:r>
      <w:proofErr w:type="spellStart"/>
      <w:r>
        <w:rPr>
          <w:sz w:val="28"/>
          <w:szCs w:val="28"/>
        </w:rPr>
        <w:t>проєкту</w:t>
      </w:r>
      <w:proofErr w:type="spellEnd"/>
      <w:r>
        <w:rPr>
          <w:sz w:val="28"/>
          <w:szCs w:val="28"/>
        </w:rPr>
        <w:t xml:space="preserve"> відповідає пріоритетам міжнародних донорів (спорт, інклюзія, розвиток громад).</w:t>
      </w:r>
    </w:p>
    <w:p w14:paraId="23D32C48" w14:textId="462238BB" w:rsidR="003B2804" w:rsidRDefault="00000000" w:rsidP="00725878">
      <w:pPr>
        <w:ind w:firstLine="567"/>
        <w:jc w:val="both"/>
        <w:rPr>
          <w:sz w:val="28"/>
          <w:szCs w:val="28"/>
        </w:rPr>
      </w:pPr>
      <w:r>
        <w:rPr>
          <w:sz w:val="28"/>
          <w:szCs w:val="28"/>
        </w:rPr>
        <w:t xml:space="preserve">Недоліки: тривалий процес підготовки заявок, що включає в себе витрати на розробку технічної документації та </w:t>
      </w:r>
      <w:proofErr w:type="spellStart"/>
      <w:r>
        <w:rPr>
          <w:sz w:val="28"/>
          <w:szCs w:val="28"/>
        </w:rPr>
        <w:t>про</w:t>
      </w:r>
      <w:r w:rsidR="00614DD1">
        <w:rPr>
          <w:sz w:val="28"/>
          <w:szCs w:val="28"/>
        </w:rPr>
        <w:t>є</w:t>
      </w:r>
      <w:r>
        <w:rPr>
          <w:sz w:val="28"/>
          <w:szCs w:val="28"/>
        </w:rPr>
        <w:t>ктування</w:t>
      </w:r>
      <w:proofErr w:type="spellEnd"/>
      <w:r>
        <w:rPr>
          <w:sz w:val="28"/>
          <w:szCs w:val="28"/>
        </w:rPr>
        <w:t xml:space="preserve">, при відсутності гарантії отримання фінансування; обмеження у виборі технічних рішень, постачальників і підрядників; в переважній більшості випадків вимоги співфінансування з бюджету громади; ризики втрати актуальності </w:t>
      </w:r>
      <w:proofErr w:type="spellStart"/>
      <w:r>
        <w:rPr>
          <w:sz w:val="28"/>
          <w:szCs w:val="28"/>
        </w:rPr>
        <w:t>проєкту</w:t>
      </w:r>
      <w:proofErr w:type="spellEnd"/>
      <w:r>
        <w:rPr>
          <w:sz w:val="28"/>
          <w:szCs w:val="28"/>
        </w:rPr>
        <w:t xml:space="preserve"> через затягування строків розгляду донорських програм.</w:t>
      </w:r>
    </w:p>
    <w:p w14:paraId="77568192" w14:textId="77777777" w:rsidR="003B2804" w:rsidRDefault="00000000" w:rsidP="00725878">
      <w:pPr>
        <w:ind w:firstLine="567"/>
        <w:jc w:val="both"/>
        <w:rPr>
          <w:sz w:val="28"/>
          <w:szCs w:val="28"/>
        </w:rPr>
      </w:pPr>
      <w:r>
        <w:rPr>
          <w:sz w:val="28"/>
          <w:szCs w:val="28"/>
        </w:rPr>
        <w:t xml:space="preserve">Висновок: варіант має потенціал лише як додаткове або допоміжне джерело фінансування, але не може бути основним механізмом реалізації </w:t>
      </w:r>
      <w:proofErr w:type="spellStart"/>
      <w:r>
        <w:rPr>
          <w:sz w:val="28"/>
          <w:szCs w:val="28"/>
        </w:rPr>
        <w:t>проєкту</w:t>
      </w:r>
      <w:proofErr w:type="spellEnd"/>
      <w:r>
        <w:rPr>
          <w:sz w:val="28"/>
          <w:szCs w:val="28"/>
        </w:rPr>
        <w:t>.</w:t>
      </w:r>
    </w:p>
    <w:p w14:paraId="23AD1720" w14:textId="77777777" w:rsidR="00614DD1" w:rsidRDefault="00614DD1" w:rsidP="00725878">
      <w:pPr>
        <w:ind w:firstLine="567"/>
        <w:jc w:val="both"/>
        <w:rPr>
          <w:i/>
          <w:iCs/>
          <w:sz w:val="28"/>
          <w:szCs w:val="28"/>
        </w:rPr>
      </w:pPr>
    </w:p>
    <w:p w14:paraId="011C129E" w14:textId="77777777" w:rsidR="00614DD1" w:rsidRDefault="00614DD1" w:rsidP="00725878">
      <w:pPr>
        <w:ind w:firstLine="567"/>
        <w:jc w:val="both"/>
        <w:rPr>
          <w:i/>
          <w:iCs/>
          <w:sz w:val="28"/>
          <w:szCs w:val="28"/>
        </w:rPr>
      </w:pPr>
    </w:p>
    <w:p w14:paraId="65AE5163" w14:textId="77777777" w:rsidR="00614DD1" w:rsidRDefault="00614DD1" w:rsidP="00725878">
      <w:pPr>
        <w:ind w:firstLine="567"/>
        <w:jc w:val="both"/>
        <w:rPr>
          <w:i/>
          <w:iCs/>
          <w:sz w:val="28"/>
          <w:szCs w:val="28"/>
        </w:rPr>
      </w:pPr>
    </w:p>
    <w:p w14:paraId="4CB5BFD0" w14:textId="6B7541A1" w:rsidR="003B2804" w:rsidRDefault="00000000" w:rsidP="00725878">
      <w:pPr>
        <w:ind w:firstLine="567"/>
        <w:jc w:val="both"/>
        <w:rPr>
          <w:i/>
          <w:iCs/>
          <w:sz w:val="28"/>
          <w:szCs w:val="28"/>
        </w:rPr>
      </w:pPr>
      <w:r>
        <w:rPr>
          <w:i/>
          <w:iCs/>
          <w:sz w:val="28"/>
          <w:szCs w:val="28"/>
        </w:rPr>
        <w:lastRenderedPageBreak/>
        <w:t>Варіант 3. Будівництво об’єкта приватним партнером без елементів ППП (звичайна оренда землі)</w:t>
      </w:r>
      <w:r w:rsidR="00614DD1">
        <w:rPr>
          <w:i/>
          <w:iCs/>
          <w:sz w:val="28"/>
          <w:szCs w:val="28"/>
        </w:rPr>
        <w:t>.</w:t>
      </w:r>
    </w:p>
    <w:p w14:paraId="738C7F7A" w14:textId="77777777" w:rsidR="003B2804" w:rsidRDefault="00000000" w:rsidP="00725878">
      <w:pPr>
        <w:ind w:firstLine="567"/>
        <w:jc w:val="both"/>
        <w:rPr>
          <w:sz w:val="28"/>
          <w:szCs w:val="28"/>
        </w:rPr>
      </w:pPr>
      <w:r>
        <w:rPr>
          <w:sz w:val="28"/>
          <w:szCs w:val="28"/>
        </w:rPr>
        <w:t>Опис: приватна компанія самостійно інвестує у будівництво стадіону на орендованій земельній ділянці без зобов’язань перед громадою щодо соціального використання об’єкта.</w:t>
      </w:r>
    </w:p>
    <w:p w14:paraId="70036141" w14:textId="77777777" w:rsidR="003B2804" w:rsidRDefault="00000000" w:rsidP="00725878">
      <w:pPr>
        <w:ind w:firstLine="567"/>
        <w:jc w:val="both"/>
        <w:rPr>
          <w:sz w:val="28"/>
          <w:szCs w:val="28"/>
        </w:rPr>
      </w:pPr>
      <w:r>
        <w:rPr>
          <w:sz w:val="28"/>
          <w:szCs w:val="28"/>
        </w:rPr>
        <w:t>Переваги: мінімальне навантаження на бюджет громади; швидкість ухвалення інвестиційних рішень з боку бізнесу.</w:t>
      </w:r>
    </w:p>
    <w:p w14:paraId="4CB6F738" w14:textId="77777777" w:rsidR="003B2804" w:rsidRDefault="00000000" w:rsidP="00725878">
      <w:pPr>
        <w:ind w:firstLine="567"/>
        <w:jc w:val="both"/>
        <w:rPr>
          <w:sz w:val="28"/>
          <w:szCs w:val="28"/>
        </w:rPr>
      </w:pPr>
      <w:r>
        <w:rPr>
          <w:sz w:val="28"/>
          <w:szCs w:val="28"/>
        </w:rPr>
        <w:t xml:space="preserve">Недоліки: відсутність гарантій суспільного доступу до об’єкта; ризик комерціалізації спорту (висока плата за користування); неможливість впливу громади на якість будівництва та умови експлуатації; відсутність системного контролю за дотриманням </w:t>
      </w:r>
      <w:proofErr w:type="spellStart"/>
      <w:r>
        <w:rPr>
          <w:sz w:val="28"/>
          <w:szCs w:val="28"/>
        </w:rPr>
        <w:t>інклюзивності</w:t>
      </w:r>
      <w:proofErr w:type="spellEnd"/>
      <w:r>
        <w:rPr>
          <w:sz w:val="28"/>
          <w:szCs w:val="28"/>
        </w:rPr>
        <w:t xml:space="preserve"> та екологічних вимог.</w:t>
      </w:r>
    </w:p>
    <w:p w14:paraId="2236FBE2" w14:textId="77777777" w:rsidR="003B2804" w:rsidRDefault="00000000" w:rsidP="00725878">
      <w:pPr>
        <w:ind w:firstLine="567"/>
        <w:jc w:val="both"/>
        <w:rPr>
          <w:sz w:val="28"/>
          <w:szCs w:val="28"/>
        </w:rPr>
      </w:pPr>
      <w:r>
        <w:rPr>
          <w:sz w:val="28"/>
          <w:szCs w:val="28"/>
        </w:rPr>
        <w:t>Висновок: варіант не забезпечує публічних інтересів громади і суперечить меті створення соціально доступної спортивної інфраструктури.</w:t>
      </w:r>
    </w:p>
    <w:p w14:paraId="3269CD17" w14:textId="0C63ACFC" w:rsidR="003B2804" w:rsidRDefault="00000000" w:rsidP="00725878">
      <w:pPr>
        <w:ind w:firstLine="567"/>
        <w:jc w:val="both"/>
        <w:rPr>
          <w:i/>
          <w:iCs/>
          <w:sz w:val="28"/>
          <w:szCs w:val="28"/>
        </w:rPr>
      </w:pPr>
      <w:r>
        <w:rPr>
          <w:i/>
          <w:iCs/>
          <w:sz w:val="28"/>
          <w:szCs w:val="28"/>
        </w:rPr>
        <w:t xml:space="preserve">Варіант 4. Реалізація </w:t>
      </w:r>
      <w:proofErr w:type="spellStart"/>
      <w:r>
        <w:rPr>
          <w:i/>
          <w:iCs/>
          <w:sz w:val="28"/>
          <w:szCs w:val="28"/>
        </w:rPr>
        <w:t>проєкту</w:t>
      </w:r>
      <w:proofErr w:type="spellEnd"/>
      <w:r>
        <w:rPr>
          <w:i/>
          <w:iCs/>
          <w:sz w:val="28"/>
          <w:szCs w:val="28"/>
        </w:rPr>
        <w:t xml:space="preserve"> у форматі публічно-приватного партнерства (ППП)</w:t>
      </w:r>
      <w:r w:rsidR="00614DD1">
        <w:rPr>
          <w:i/>
          <w:iCs/>
          <w:sz w:val="28"/>
          <w:szCs w:val="28"/>
        </w:rPr>
        <w:t>.</w:t>
      </w:r>
    </w:p>
    <w:p w14:paraId="1FEDC9D8" w14:textId="66EFFDCF" w:rsidR="003B2804" w:rsidRDefault="00000000" w:rsidP="00725878">
      <w:pPr>
        <w:ind w:firstLine="567"/>
        <w:jc w:val="both"/>
        <w:rPr>
          <w:sz w:val="28"/>
          <w:szCs w:val="28"/>
        </w:rPr>
      </w:pPr>
      <w:r>
        <w:rPr>
          <w:sz w:val="28"/>
          <w:szCs w:val="28"/>
        </w:rPr>
        <w:t>Опис: будівництво об’єкта здійснюється приватним партнером за власні кошти (100% фінансування) із подальшим використанням об’єкта відповідно до умов договору про ППП, який визначає баланс між суспільним і комерційним інтересом.</w:t>
      </w:r>
    </w:p>
    <w:p w14:paraId="006518D2" w14:textId="77777777" w:rsidR="003B2804" w:rsidRDefault="00000000" w:rsidP="00725878">
      <w:pPr>
        <w:ind w:firstLine="567"/>
        <w:jc w:val="both"/>
        <w:rPr>
          <w:sz w:val="28"/>
          <w:szCs w:val="28"/>
        </w:rPr>
      </w:pPr>
      <w:r>
        <w:rPr>
          <w:sz w:val="28"/>
          <w:szCs w:val="28"/>
        </w:rPr>
        <w:t xml:space="preserve">Переваги: відсутність бюджетних витрат на будівництво; розподіл ризиків між сторонами (будівельних, фінансових, експлуатаційних); забезпечення суспільного доступу до об’єкта, встановленого договором; використання досвіду та інновацій приватного партнера; можливість реалізації </w:t>
      </w:r>
      <w:proofErr w:type="spellStart"/>
      <w:r>
        <w:rPr>
          <w:sz w:val="28"/>
          <w:szCs w:val="28"/>
        </w:rPr>
        <w:t>проєкту</w:t>
      </w:r>
      <w:proofErr w:type="spellEnd"/>
      <w:r>
        <w:rPr>
          <w:sz w:val="28"/>
          <w:szCs w:val="28"/>
        </w:rPr>
        <w:t xml:space="preserve"> у стислі строки (1–2 роки); стимулювання залучення нових інвестицій у громаду.</w:t>
      </w:r>
    </w:p>
    <w:p w14:paraId="4175F05A" w14:textId="77777777" w:rsidR="003B2804" w:rsidRDefault="00000000" w:rsidP="00725878">
      <w:pPr>
        <w:ind w:firstLine="567"/>
        <w:jc w:val="both"/>
        <w:rPr>
          <w:sz w:val="28"/>
          <w:szCs w:val="28"/>
        </w:rPr>
      </w:pPr>
      <w:r>
        <w:rPr>
          <w:sz w:val="28"/>
          <w:szCs w:val="28"/>
        </w:rPr>
        <w:t>Недоліки: потреба у підготовці якісної конкурсної документації та ТЕО, в порівнянні з іншими варіантами; необхідність контролю за дотриманням умов договору протягом усього строку партнерства.</w:t>
      </w:r>
    </w:p>
    <w:p w14:paraId="64929226" w14:textId="77777777" w:rsidR="003B2804" w:rsidRDefault="00000000" w:rsidP="00725878">
      <w:pPr>
        <w:ind w:firstLine="567"/>
        <w:jc w:val="both"/>
        <w:rPr>
          <w:sz w:val="28"/>
          <w:szCs w:val="28"/>
        </w:rPr>
      </w:pPr>
      <w:r>
        <w:rPr>
          <w:sz w:val="28"/>
          <w:szCs w:val="28"/>
        </w:rPr>
        <w:t xml:space="preserve">Висновок: саме цей варіант є найбільш збалансованим з точки зору фінансової спроможності, ефективності та суспільної користі, оскільки він дозволяє реалізувати </w:t>
      </w:r>
      <w:proofErr w:type="spellStart"/>
      <w:r>
        <w:rPr>
          <w:sz w:val="28"/>
          <w:szCs w:val="28"/>
        </w:rPr>
        <w:t>проєкт</w:t>
      </w:r>
      <w:proofErr w:type="spellEnd"/>
      <w:r>
        <w:rPr>
          <w:sz w:val="28"/>
          <w:szCs w:val="28"/>
        </w:rPr>
        <w:t xml:space="preserve"> без додаткових витрат із бюджету, при цьому гарантує громаді доступ до стадіону та довгостроковий соціальний ефект.</w:t>
      </w:r>
    </w:p>
    <w:p w14:paraId="65FDA1C8" w14:textId="77777777" w:rsidR="003B2804" w:rsidRDefault="00000000" w:rsidP="00725878">
      <w:pPr>
        <w:ind w:firstLine="567"/>
        <w:jc w:val="both"/>
        <w:rPr>
          <w:sz w:val="28"/>
          <w:szCs w:val="28"/>
        </w:rPr>
      </w:pPr>
      <w:r>
        <w:rPr>
          <w:i/>
          <w:iCs/>
          <w:sz w:val="28"/>
          <w:szCs w:val="28"/>
        </w:rPr>
        <w:t>Узагальнення результатів аналізу:</w:t>
      </w:r>
      <w:r>
        <w:rPr>
          <w:sz w:val="28"/>
          <w:szCs w:val="28"/>
        </w:rPr>
        <w:t xml:space="preserve"> проведене порівняння свідчить, що лише реалізація </w:t>
      </w:r>
      <w:proofErr w:type="spellStart"/>
      <w:r>
        <w:rPr>
          <w:sz w:val="28"/>
          <w:szCs w:val="28"/>
        </w:rPr>
        <w:t>проєкту</w:t>
      </w:r>
      <w:proofErr w:type="spellEnd"/>
      <w:r>
        <w:rPr>
          <w:sz w:val="28"/>
          <w:szCs w:val="28"/>
        </w:rPr>
        <w:t xml:space="preserve"> на умовах публічно-приватного партнерства відповідає принципам економічної доцільності, соціальної орієнтованості та інституційної спроможності громади, ППП забезпечує оптимальний розподіл ролей, відповідальності та ризиків між Луцькою міською радою і приватним інвестором, а також створює умови для ефективного управління об’єктом у довгостроковій перспективі.</w:t>
      </w:r>
    </w:p>
    <w:p w14:paraId="4E3457A9" w14:textId="77777777" w:rsidR="003B2804" w:rsidRDefault="003B2804">
      <w:pPr>
        <w:ind w:firstLine="709"/>
        <w:jc w:val="both"/>
        <w:rPr>
          <w:sz w:val="28"/>
          <w:szCs w:val="28"/>
        </w:rPr>
      </w:pPr>
    </w:p>
    <w:p w14:paraId="4913DEB6" w14:textId="77777777" w:rsidR="003B2804" w:rsidRDefault="00000000" w:rsidP="00725878">
      <w:pPr>
        <w:ind w:firstLine="567"/>
        <w:jc w:val="both"/>
        <w:rPr>
          <w:b/>
          <w:sz w:val="28"/>
          <w:szCs w:val="28"/>
        </w:rPr>
      </w:pPr>
      <w:r>
        <w:rPr>
          <w:b/>
          <w:sz w:val="28"/>
          <w:szCs w:val="28"/>
        </w:rPr>
        <w:t>5. Прогнозовані обсяги витрат та оціночна вартість експлуатації об’єкта</w:t>
      </w:r>
    </w:p>
    <w:p w14:paraId="1A53D0AC" w14:textId="77777777" w:rsidR="003B2804" w:rsidRDefault="00000000" w:rsidP="00725878">
      <w:pPr>
        <w:ind w:firstLine="567"/>
        <w:jc w:val="both"/>
        <w:rPr>
          <w:sz w:val="28"/>
          <w:szCs w:val="28"/>
        </w:rPr>
      </w:pPr>
      <w:r>
        <w:rPr>
          <w:sz w:val="28"/>
          <w:szCs w:val="28"/>
        </w:rPr>
        <w:t xml:space="preserve">Попередня оцінка загальної вартості реалізації </w:t>
      </w:r>
      <w:proofErr w:type="spellStart"/>
      <w:r>
        <w:rPr>
          <w:sz w:val="28"/>
          <w:szCs w:val="28"/>
        </w:rPr>
        <w:t>проєкту</w:t>
      </w:r>
      <w:proofErr w:type="spellEnd"/>
      <w:r>
        <w:rPr>
          <w:sz w:val="28"/>
          <w:szCs w:val="28"/>
        </w:rPr>
        <w:t xml:space="preserve"> здійснюється на основі типових кошторисних норм для спортивних споруд місцевого рівня.</w:t>
      </w:r>
    </w:p>
    <w:p w14:paraId="1C79272F" w14:textId="77777777" w:rsidR="003B2804" w:rsidRDefault="00000000" w:rsidP="00725878">
      <w:pPr>
        <w:ind w:firstLine="567"/>
        <w:jc w:val="both"/>
        <w:rPr>
          <w:sz w:val="28"/>
          <w:szCs w:val="28"/>
        </w:rPr>
      </w:pPr>
      <w:r>
        <w:rPr>
          <w:sz w:val="28"/>
          <w:szCs w:val="28"/>
        </w:rPr>
        <w:lastRenderedPageBreak/>
        <w:t>Орієнтовна вартість становить 10 млн грн (у цінах 2025 року), з яких:</w:t>
      </w:r>
    </w:p>
    <w:p w14:paraId="6EE10199" w14:textId="77777777" w:rsidR="003B2804" w:rsidRDefault="003B2804">
      <w:pPr>
        <w:ind w:firstLine="709"/>
        <w:jc w:val="both"/>
        <w:rPr>
          <w:sz w:val="28"/>
          <w:szCs w:val="28"/>
        </w:rPr>
      </w:pPr>
    </w:p>
    <w:tbl>
      <w:tblPr>
        <w:tblStyle w:val="af1"/>
        <w:tblW w:w="9344" w:type="dxa"/>
        <w:tblLayout w:type="fixed"/>
        <w:tblLook w:val="04A0" w:firstRow="1" w:lastRow="0" w:firstColumn="1" w:lastColumn="0" w:noHBand="0" w:noVBand="1"/>
      </w:tblPr>
      <w:tblGrid>
        <w:gridCol w:w="562"/>
        <w:gridCol w:w="4111"/>
        <w:gridCol w:w="2336"/>
        <w:gridCol w:w="2335"/>
      </w:tblGrid>
      <w:tr w:rsidR="003B2804" w14:paraId="0573EDCA" w14:textId="77777777">
        <w:tc>
          <w:tcPr>
            <w:tcW w:w="561" w:type="dxa"/>
          </w:tcPr>
          <w:p w14:paraId="49074E61" w14:textId="77777777" w:rsidR="003B2804" w:rsidRDefault="00000000">
            <w:pPr>
              <w:jc w:val="center"/>
              <w:rPr>
                <w:rFonts w:eastAsia="Calibri"/>
                <w:b/>
                <w:bCs/>
                <w:sz w:val="28"/>
                <w:szCs w:val="28"/>
              </w:rPr>
            </w:pPr>
            <w:r>
              <w:rPr>
                <w:rFonts w:eastAsia="Calibri"/>
                <w:b/>
                <w:bCs/>
                <w:sz w:val="28"/>
                <w:szCs w:val="28"/>
              </w:rPr>
              <w:t>№</w:t>
            </w:r>
          </w:p>
        </w:tc>
        <w:tc>
          <w:tcPr>
            <w:tcW w:w="4111" w:type="dxa"/>
          </w:tcPr>
          <w:p w14:paraId="3856CC8F" w14:textId="77777777" w:rsidR="003B2804" w:rsidRDefault="00000000">
            <w:pPr>
              <w:jc w:val="center"/>
              <w:rPr>
                <w:rFonts w:eastAsia="Calibri"/>
                <w:b/>
                <w:bCs/>
                <w:sz w:val="28"/>
                <w:szCs w:val="28"/>
              </w:rPr>
            </w:pPr>
            <w:r>
              <w:rPr>
                <w:rFonts w:eastAsia="Calibri"/>
                <w:b/>
                <w:bCs/>
                <w:sz w:val="28"/>
                <w:szCs w:val="28"/>
              </w:rPr>
              <w:t>Стаття витрат</w:t>
            </w:r>
          </w:p>
        </w:tc>
        <w:tc>
          <w:tcPr>
            <w:tcW w:w="2336" w:type="dxa"/>
          </w:tcPr>
          <w:p w14:paraId="74F2644F" w14:textId="77777777" w:rsidR="003B2804" w:rsidRDefault="00000000">
            <w:pPr>
              <w:jc w:val="center"/>
              <w:rPr>
                <w:rFonts w:eastAsia="Calibri"/>
                <w:b/>
                <w:bCs/>
                <w:sz w:val="28"/>
                <w:szCs w:val="28"/>
              </w:rPr>
            </w:pPr>
            <w:r>
              <w:rPr>
                <w:rFonts w:eastAsia="Calibri"/>
                <w:b/>
                <w:bCs/>
                <w:sz w:val="28"/>
                <w:szCs w:val="28"/>
              </w:rPr>
              <w:t>Орієнтовна частка</w:t>
            </w:r>
          </w:p>
        </w:tc>
        <w:tc>
          <w:tcPr>
            <w:tcW w:w="2335" w:type="dxa"/>
          </w:tcPr>
          <w:p w14:paraId="11FF2D27" w14:textId="77777777" w:rsidR="003B2804" w:rsidRDefault="00000000">
            <w:pPr>
              <w:jc w:val="center"/>
              <w:rPr>
                <w:rFonts w:eastAsia="Calibri"/>
                <w:b/>
                <w:bCs/>
                <w:sz w:val="28"/>
                <w:szCs w:val="28"/>
              </w:rPr>
            </w:pPr>
            <w:r>
              <w:rPr>
                <w:rFonts w:eastAsia="Calibri"/>
                <w:b/>
                <w:bCs/>
                <w:sz w:val="28"/>
                <w:szCs w:val="28"/>
              </w:rPr>
              <w:t>Орієнтовна сума, тис. грн</w:t>
            </w:r>
          </w:p>
        </w:tc>
      </w:tr>
      <w:tr w:rsidR="003B2804" w14:paraId="5371B058" w14:textId="77777777">
        <w:tc>
          <w:tcPr>
            <w:tcW w:w="561" w:type="dxa"/>
          </w:tcPr>
          <w:p w14:paraId="4B760FD6" w14:textId="77777777" w:rsidR="003B2804" w:rsidRDefault="00000000">
            <w:pPr>
              <w:jc w:val="both"/>
              <w:rPr>
                <w:rFonts w:eastAsia="Calibri"/>
                <w:sz w:val="28"/>
                <w:szCs w:val="28"/>
              </w:rPr>
            </w:pPr>
            <w:r>
              <w:rPr>
                <w:rFonts w:eastAsia="Calibri"/>
                <w:sz w:val="28"/>
                <w:szCs w:val="28"/>
              </w:rPr>
              <w:t>1</w:t>
            </w:r>
          </w:p>
        </w:tc>
        <w:tc>
          <w:tcPr>
            <w:tcW w:w="4111" w:type="dxa"/>
          </w:tcPr>
          <w:p w14:paraId="0B4A5A17" w14:textId="77777777" w:rsidR="003B2804" w:rsidRDefault="00000000">
            <w:pPr>
              <w:jc w:val="both"/>
              <w:rPr>
                <w:rFonts w:eastAsia="Calibri"/>
                <w:sz w:val="28"/>
                <w:szCs w:val="28"/>
              </w:rPr>
            </w:pPr>
            <w:r>
              <w:rPr>
                <w:rFonts w:eastAsia="Calibri"/>
                <w:sz w:val="28"/>
                <w:szCs w:val="28"/>
              </w:rPr>
              <w:t xml:space="preserve">Підготовчі та </w:t>
            </w:r>
            <w:proofErr w:type="spellStart"/>
            <w:r>
              <w:rPr>
                <w:rFonts w:eastAsia="Calibri"/>
                <w:sz w:val="28"/>
                <w:szCs w:val="28"/>
              </w:rPr>
              <w:t>проєктні</w:t>
            </w:r>
            <w:proofErr w:type="spellEnd"/>
            <w:r>
              <w:rPr>
                <w:rFonts w:eastAsia="Calibri"/>
                <w:sz w:val="28"/>
                <w:szCs w:val="28"/>
              </w:rPr>
              <w:t xml:space="preserve"> роботи (ТЕО, </w:t>
            </w:r>
            <w:proofErr w:type="spellStart"/>
            <w:r>
              <w:rPr>
                <w:rFonts w:eastAsia="Calibri"/>
                <w:sz w:val="28"/>
                <w:szCs w:val="28"/>
              </w:rPr>
              <w:t>проєктування</w:t>
            </w:r>
            <w:proofErr w:type="spellEnd"/>
            <w:r>
              <w:rPr>
                <w:rFonts w:eastAsia="Calibri"/>
                <w:sz w:val="28"/>
                <w:szCs w:val="28"/>
              </w:rPr>
              <w:t>, експертиза)</w:t>
            </w:r>
          </w:p>
        </w:tc>
        <w:tc>
          <w:tcPr>
            <w:tcW w:w="2336" w:type="dxa"/>
            <w:vAlign w:val="center"/>
          </w:tcPr>
          <w:p w14:paraId="3E6ED390" w14:textId="77777777" w:rsidR="003B2804" w:rsidRDefault="00000000">
            <w:pPr>
              <w:jc w:val="center"/>
              <w:rPr>
                <w:rFonts w:eastAsia="Calibri"/>
                <w:sz w:val="28"/>
                <w:szCs w:val="28"/>
              </w:rPr>
            </w:pPr>
            <w:r>
              <w:rPr>
                <w:rFonts w:eastAsia="Calibri"/>
                <w:sz w:val="28"/>
                <w:szCs w:val="28"/>
              </w:rPr>
              <w:t>10%</w:t>
            </w:r>
          </w:p>
        </w:tc>
        <w:tc>
          <w:tcPr>
            <w:tcW w:w="2335" w:type="dxa"/>
            <w:vAlign w:val="center"/>
          </w:tcPr>
          <w:p w14:paraId="3CB6FF6C" w14:textId="77777777" w:rsidR="003B2804" w:rsidRDefault="00000000">
            <w:pPr>
              <w:jc w:val="center"/>
              <w:rPr>
                <w:rFonts w:eastAsia="Calibri"/>
                <w:sz w:val="28"/>
                <w:szCs w:val="28"/>
              </w:rPr>
            </w:pPr>
            <w:r>
              <w:rPr>
                <w:rFonts w:eastAsia="Calibri"/>
                <w:sz w:val="28"/>
                <w:szCs w:val="28"/>
              </w:rPr>
              <w:t>1000</w:t>
            </w:r>
          </w:p>
        </w:tc>
      </w:tr>
      <w:tr w:rsidR="003B2804" w14:paraId="7DE85962" w14:textId="77777777">
        <w:tc>
          <w:tcPr>
            <w:tcW w:w="561" w:type="dxa"/>
          </w:tcPr>
          <w:p w14:paraId="4B86FF34" w14:textId="77777777" w:rsidR="003B2804" w:rsidRDefault="00000000">
            <w:pPr>
              <w:jc w:val="both"/>
              <w:rPr>
                <w:rFonts w:eastAsia="Calibri"/>
                <w:sz w:val="28"/>
                <w:szCs w:val="28"/>
              </w:rPr>
            </w:pPr>
            <w:r>
              <w:rPr>
                <w:rFonts w:eastAsia="Calibri"/>
                <w:sz w:val="28"/>
                <w:szCs w:val="28"/>
              </w:rPr>
              <w:t>2</w:t>
            </w:r>
          </w:p>
        </w:tc>
        <w:tc>
          <w:tcPr>
            <w:tcW w:w="4111" w:type="dxa"/>
          </w:tcPr>
          <w:p w14:paraId="4A0D633E" w14:textId="77777777" w:rsidR="003B2804" w:rsidRDefault="003B2804">
            <w:pPr>
              <w:widowControl w:val="0"/>
              <w:jc w:val="both"/>
              <w:rPr>
                <w:vanish/>
                <w:sz w:val="28"/>
                <w:szCs w:val="28"/>
              </w:rPr>
            </w:pPr>
          </w:p>
          <w:tbl>
            <w:tblPr>
              <w:tblW w:w="3894" w:type="dxa"/>
              <w:tblLayout w:type="fixed"/>
              <w:tblCellMar>
                <w:top w:w="15" w:type="dxa"/>
                <w:left w:w="15" w:type="dxa"/>
                <w:bottom w:w="15" w:type="dxa"/>
                <w:right w:w="15" w:type="dxa"/>
              </w:tblCellMar>
              <w:tblLook w:val="04A0" w:firstRow="1" w:lastRow="0" w:firstColumn="1" w:lastColumn="0" w:noHBand="0" w:noVBand="1"/>
            </w:tblPr>
            <w:tblGrid>
              <w:gridCol w:w="3894"/>
            </w:tblGrid>
            <w:tr w:rsidR="003B2804" w14:paraId="1F3A0EE8" w14:textId="77777777">
              <w:tc>
                <w:tcPr>
                  <w:tcW w:w="3894" w:type="dxa"/>
                  <w:vAlign w:val="center"/>
                </w:tcPr>
                <w:p w14:paraId="7EA51C42" w14:textId="77777777" w:rsidR="003B2804" w:rsidRDefault="00000000">
                  <w:pPr>
                    <w:widowControl w:val="0"/>
                    <w:jc w:val="both"/>
                    <w:rPr>
                      <w:rFonts w:eastAsia="Calibri"/>
                      <w:sz w:val="28"/>
                      <w:szCs w:val="28"/>
                    </w:rPr>
                  </w:pPr>
                  <w:r>
                    <w:rPr>
                      <w:rFonts w:eastAsia="Calibri"/>
                      <w:sz w:val="28"/>
                      <w:szCs w:val="28"/>
                    </w:rPr>
                    <w:t>Земляні роботи, підготовка основи, дренаж, комунікації</w:t>
                  </w:r>
                </w:p>
              </w:tc>
            </w:tr>
          </w:tbl>
          <w:p w14:paraId="115AA8BC" w14:textId="77777777" w:rsidR="003B2804" w:rsidRDefault="003B2804">
            <w:pPr>
              <w:widowControl w:val="0"/>
              <w:jc w:val="both"/>
              <w:rPr>
                <w:sz w:val="28"/>
                <w:szCs w:val="28"/>
              </w:rPr>
            </w:pPr>
          </w:p>
        </w:tc>
        <w:tc>
          <w:tcPr>
            <w:tcW w:w="2336" w:type="dxa"/>
            <w:vAlign w:val="center"/>
          </w:tcPr>
          <w:p w14:paraId="5E07EE97" w14:textId="77777777" w:rsidR="003B2804" w:rsidRDefault="00000000">
            <w:pPr>
              <w:jc w:val="center"/>
              <w:rPr>
                <w:rFonts w:eastAsia="Calibri"/>
                <w:sz w:val="28"/>
                <w:szCs w:val="28"/>
              </w:rPr>
            </w:pPr>
            <w:r>
              <w:rPr>
                <w:rFonts w:eastAsia="Calibri"/>
                <w:sz w:val="28"/>
                <w:szCs w:val="28"/>
              </w:rPr>
              <w:t>15%</w:t>
            </w:r>
          </w:p>
        </w:tc>
        <w:tc>
          <w:tcPr>
            <w:tcW w:w="2335" w:type="dxa"/>
            <w:vAlign w:val="center"/>
          </w:tcPr>
          <w:p w14:paraId="7158FCD5" w14:textId="77777777" w:rsidR="003B2804" w:rsidRDefault="00000000">
            <w:pPr>
              <w:jc w:val="center"/>
              <w:rPr>
                <w:rFonts w:eastAsia="Calibri"/>
                <w:sz w:val="28"/>
                <w:szCs w:val="28"/>
              </w:rPr>
            </w:pPr>
            <w:r>
              <w:rPr>
                <w:rFonts w:eastAsia="Calibri"/>
                <w:sz w:val="28"/>
                <w:szCs w:val="28"/>
              </w:rPr>
              <w:t>1 500</w:t>
            </w:r>
          </w:p>
        </w:tc>
      </w:tr>
      <w:tr w:rsidR="003B2804" w14:paraId="4BFB12DA" w14:textId="77777777">
        <w:tc>
          <w:tcPr>
            <w:tcW w:w="561" w:type="dxa"/>
          </w:tcPr>
          <w:p w14:paraId="55B9F4EB" w14:textId="77777777" w:rsidR="003B2804" w:rsidRDefault="00000000">
            <w:pPr>
              <w:jc w:val="both"/>
              <w:rPr>
                <w:rFonts w:eastAsia="Calibri"/>
                <w:sz w:val="28"/>
                <w:szCs w:val="28"/>
              </w:rPr>
            </w:pPr>
            <w:r>
              <w:rPr>
                <w:rFonts w:eastAsia="Calibri"/>
                <w:sz w:val="28"/>
                <w:szCs w:val="28"/>
              </w:rPr>
              <w:t>3</w:t>
            </w:r>
          </w:p>
        </w:tc>
        <w:tc>
          <w:tcPr>
            <w:tcW w:w="4111" w:type="dxa"/>
          </w:tcPr>
          <w:p w14:paraId="59F5C000" w14:textId="77777777" w:rsidR="003B2804" w:rsidRDefault="00000000">
            <w:pPr>
              <w:jc w:val="both"/>
              <w:rPr>
                <w:rFonts w:eastAsia="Calibri"/>
                <w:sz w:val="28"/>
                <w:szCs w:val="28"/>
              </w:rPr>
            </w:pPr>
            <w:r>
              <w:rPr>
                <w:rFonts w:eastAsia="Calibri"/>
                <w:sz w:val="28"/>
                <w:szCs w:val="28"/>
              </w:rPr>
              <w:t>Улаштування штучного покриття футбольного поля</w:t>
            </w:r>
          </w:p>
        </w:tc>
        <w:tc>
          <w:tcPr>
            <w:tcW w:w="2336" w:type="dxa"/>
            <w:vAlign w:val="center"/>
          </w:tcPr>
          <w:p w14:paraId="43D397AB" w14:textId="77777777" w:rsidR="003B2804" w:rsidRDefault="00000000">
            <w:pPr>
              <w:jc w:val="center"/>
              <w:rPr>
                <w:rFonts w:eastAsia="Calibri"/>
                <w:sz w:val="28"/>
                <w:szCs w:val="28"/>
              </w:rPr>
            </w:pPr>
            <w:r>
              <w:rPr>
                <w:rFonts w:eastAsia="Calibri"/>
                <w:sz w:val="28"/>
                <w:szCs w:val="28"/>
              </w:rPr>
              <w:t>25%</w:t>
            </w:r>
          </w:p>
        </w:tc>
        <w:tc>
          <w:tcPr>
            <w:tcW w:w="2335" w:type="dxa"/>
            <w:vAlign w:val="center"/>
          </w:tcPr>
          <w:p w14:paraId="276E4288" w14:textId="77777777" w:rsidR="003B2804" w:rsidRDefault="00000000">
            <w:pPr>
              <w:jc w:val="center"/>
              <w:rPr>
                <w:rFonts w:eastAsia="Calibri"/>
                <w:sz w:val="28"/>
                <w:szCs w:val="28"/>
              </w:rPr>
            </w:pPr>
            <w:r>
              <w:rPr>
                <w:rFonts w:eastAsia="Calibri"/>
                <w:sz w:val="28"/>
                <w:szCs w:val="28"/>
              </w:rPr>
              <w:t>2 500</w:t>
            </w:r>
          </w:p>
        </w:tc>
      </w:tr>
      <w:tr w:rsidR="003B2804" w14:paraId="6D0B620D" w14:textId="77777777">
        <w:tc>
          <w:tcPr>
            <w:tcW w:w="561" w:type="dxa"/>
          </w:tcPr>
          <w:p w14:paraId="7A0F1EEA" w14:textId="77777777" w:rsidR="003B2804" w:rsidRDefault="00000000">
            <w:pPr>
              <w:jc w:val="both"/>
              <w:rPr>
                <w:rFonts w:eastAsia="Calibri"/>
                <w:sz w:val="28"/>
                <w:szCs w:val="28"/>
              </w:rPr>
            </w:pPr>
            <w:r>
              <w:rPr>
                <w:rFonts w:eastAsia="Calibri"/>
                <w:sz w:val="28"/>
                <w:szCs w:val="28"/>
              </w:rPr>
              <w:t>4</w:t>
            </w:r>
          </w:p>
        </w:tc>
        <w:tc>
          <w:tcPr>
            <w:tcW w:w="4111" w:type="dxa"/>
          </w:tcPr>
          <w:p w14:paraId="31220287" w14:textId="77777777" w:rsidR="003B2804" w:rsidRDefault="00000000">
            <w:pPr>
              <w:jc w:val="both"/>
              <w:rPr>
                <w:rFonts w:eastAsia="Calibri"/>
                <w:sz w:val="28"/>
                <w:szCs w:val="28"/>
              </w:rPr>
            </w:pPr>
            <w:r>
              <w:rPr>
                <w:rFonts w:eastAsia="Calibri"/>
                <w:sz w:val="28"/>
                <w:szCs w:val="28"/>
              </w:rPr>
              <w:t xml:space="preserve">Будівництво трибун, лав для запасних, медпункту, </w:t>
            </w:r>
            <w:proofErr w:type="spellStart"/>
            <w:r>
              <w:rPr>
                <w:rFonts w:eastAsia="Calibri"/>
                <w:sz w:val="28"/>
                <w:szCs w:val="28"/>
              </w:rPr>
              <w:t>роздягалень</w:t>
            </w:r>
            <w:proofErr w:type="spellEnd"/>
          </w:p>
        </w:tc>
        <w:tc>
          <w:tcPr>
            <w:tcW w:w="2336" w:type="dxa"/>
            <w:vAlign w:val="center"/>
          </w:tcPr>
          <w:p w14:paraId="00C7B0EA" w14:textId="77777777" w:rsidR="003B2804" w:rsidRDefault="00000000">
            <w:pPr>
              <w:jc w:val="center"/>
              <w:rPr>
                <w:rFonts w:eastAsia="Calibri"/>
                <w:sz w:val="28"/>
                <w:szCs w:val="28"/>
              </w:rPr>
            </w:pPr>
            <w:r>
              <w:rPr>
                <w:rFonts w:eastAsia="Calibri"/>
                <w:sz w:val="28"/>
                <w:szCs w:val="28"/>
              </w:rPr>
              <w:t>20%</w:t>
            </w:r>
          </w:p>
        </w:tc>
        <w:tc>
          <w:tcPr>
            <w:tcW w:w="2335" w:type="dxa"/>
            <w:vAlign w:val="center"/>
          </w:tcPr>
          <w:p w14:paraId="07DAB982" w14:textId="77777777" w:rsidR="003B2804" w:rsidRDefault="00000000">
            <w:pPr>
              <w:jc w:val="center"/>
              <w:rPr>
                <w:rFonts w:eastAsia="Calibri"/>
                <w:sz w:val="28"/>
                <w:szCs w:val="28"/>
              </w:rPr>
            </w:pPr>
            <w:r>
              <w:rPr>
                <w:rFonts w:eastAsia="Calibri"/>
                <w:sz w:val="28"/>
                <w:szCs w:val="28"/>
              </w:rPr>
              <w:t>2 000</w:t>
            </w:r>
          </w:p>
        </w:tc>
      </w:tr>
      <w:tr w:rsidR="003B2804" w14:paraId="28C4FDF3" w14:textId="77777777">
        <w:tc>
          <w:tcPr>
            <w:tcW w:w="561" w:type="dxa"/>
          </w:tcPr>
          <w:p w14:paraId="68BD9068" w14:textId="77777777" w:rsidR="003B2804" w:rsidRDefault="00000000">
            <w:pPr>
              <w:jc w:val="both"/>
              <w:rPr>
                <w:rFonts w:eastAsia="Calibri"/>
                <w:sz w:val="28"/>
                <w:szCs w:val="28"/>
              </w:rPr>
            </w:pPr>
            <w:r>
              <w:rPr>
                <w:rFonts w:eastAsia="Calibri"/>
                <w:sz w:val="28"/>
                <w:szCs w:val="28"/>
              </w:rPr>
              <w:t>5</w:t>
            </w:r>
          </w:p>
        </w:tc>
        <w:tc>
          <w:tcPr>
            <w:tcW w:w="4111" w:type="dxa"/>
          </w:tcPr>
          <w:p w14:paraId="4B59DBCB" w14:textId="77777777" w:rsidR="003B2804" w:rsidRDefault="00000000">
            <w:pPr>
              <w:jc w:val="both"/>
              <w:rPr>
                <w:rFonts w:eastAsia="Calibri"/>
                <w:sz w:val="28"/>
                <w:szCs w:val="28"/>
              </w:rPr>
            </w:pPr>
            <w:r>
              <w:rPr>
                <w:rFonts w:eastAsia="Calibri"/>
                <w:sz w:val="28"/>
                <w:szCs w:val="28"/>
              </w:rPr>
              <w:t>Освітлення, електрика, громадське оповіщення, безпека</w:t>
            </w:r>
          </w:p>
        </w:tc>
        <w:tc>
          <w:tcPr>
            <w:tcW w:w="2336" w:type="dxa"/>
            <w:vAlign w:val="center"/>
          </w:tcPr>
          <w:p w14:paraId="5151D7CE" w14:textId="77777777" w:rsidR="003B2804" w:rsidRDefault="00000000">
            <w:pPr>
              <w:jc w:val="center"/>
              <w:rPr>
                <w:rFonts w:eastAsia="Calibri"/>
                <w:sz w:val="28"/>
                <w:szCs w:val="28"/>
              </w:rPr>
            </w:pPr>
            <w:r>
              <w:rPr>
                <w:rFonts w:eastAsia="Calibri"/>
                <w:sz w:val="28"/>
                <w:szCs w:val="28"/>
              </w:rPr>
              <w:t>10%</w:t>
            </w:r>
          </w:p>
        </w:tc>
        <w:tc>
          <w:tcPr>
            <w:tcW w:w="2335" w:type="dxa"/>
            <w:vAlign w:val="center"/>
          </w:tcPr>
          <w:p w14:paraId="4BD0EA9A" w14:textId="77777777" w:rsidR="003B2804" w:rsidRDefault="00000000">
            <w:pPr>
              <w:jc w:val="center"/>
              <w:rPr>
                <w:rFonts w:eastAsia="Calibri"/>
                <w:sz w:val="28"/>
                <w:szCs w:val="28"/>
              </w:rPr>
            </w:pPr>
            <w:r>
              <w:rPr>
                <w:rFonts w:eastAsia="Calibri"/>
                <w:sz w:val="28"/>
                <w:szCs w:val="28"/>
              </w:rPr>
              <w:t>1 000</w:t>
            </w:r>
          </w:p>
        </w:tc>
      </w:tr>
      <w:tr w:rsidR="003B2804" w14:paraId="32E5D35A" w14:textId="77777777">
        <w:tc>
          <w:tcPr>
            <w:tcW w:w="561" w:type="dxa"/>
          </w:tcPr>
          <w:p w14:paraId="284F0B40" w14:textId="77777777" w:rsidR="003B2804" w:rsidRDefault="00000000">
            <w:pPr>
              <w:jc w:val="both"/>
              <w:rPr>
                <w:rFonts w:eastAsia="Calibri"/>
                <w:sz w:val="28"/>
                <w:szCs w:val="28"/>
              </w:rPr>
            </w:pPr>
            <w:r>
              <w:rPr>
                <w:rFonts w:eastAsia="Calibri"/>
                <w:sz w:val="28"/>
                <w:szCs w:val="28"/>
              </w:rPr>
              <w:t>6</w:t>
            </w:r>
          </w:p>
        </w:tc>
        <w:tc>
          <w:tcPr>
            <w:tcW w:w="4111" w:type="dxa"/>
          </w:tcPr>
          <w:p w14:paraId="7B6F6406" w14:textId="77777777" w:rsidR="003B2804" w:rsidRDefault="00000000">
            <w:pPr>
              <w:jc w:val="both"/>
              <w:rPr>
                <w:rFonts w:eastAsia="Calibri"/>
                <w:sz w:val="28"/>
                <w:szCs w:val="28"/>
              </w:rPr>
            </w:pPr>
            <w:r>
              <w:rPr>
                <w:rFonts w:eastAsia="Calibri"/>
                <w:sz w:val="28"/>
                <w:szCs w:val="28"/>
              </w:rPr>
              <w:t>Благоустрій, паркування, огорожа, озеленення</w:t>
            </w:r>
          </w:p>
        </w:tc>
        <w:tc>
          <w:tcPr>
            <w:tcW w:w="2336" w:type="dxa"/>
            <w:vAlign w:val="center"/>
          </w:tcPr>
          <w:p w14:paraId="7B5D28D8" w14:textId="77777777" w:rsidR="003B2804" w:rsidRDefault="00000000">
            <w:pPr>
              <w:jc w:val="center"/>
              <w:rPr>
                <w:rFonts w:eastAsia="Calibri"/>
                <w:sz w:val="28"/>
                <w:szCs w:val="28"/>
              </w:rPr>
            </w:pPr>
            <w:r>
              <w:rPr>
                <w:rFonts w:eastAsia="Calibri"/>
                <w:sz w:val="28"/>
                <w:szCs w:val="28"/>
              </w:rPr>
              <w:t>10%</w:t>
            </w:r>
          </w:p>
        </w:tc>
        <w:tc>
          <w:tcPr>
            <w:tcW w:w="2335" w:type="dxa"/>
            <w:vAlign w:val="center"/>
          </w:tcPr>
          <w:p w14:paraId="3FF4F19C" w14:textId="77777777" w:rsidR="003B2804" w:rsidRDefault="00000000">
            <w:pPr>
              <w:jc w:val="center"/>
              <w:rPr>
                <w:rFonts w:eastAsia="Calibri"/>
                <w:sz w:val="28"/>
                <w:szCs w:val="28"/>
              </w:rPr>
            </w:pPr>
            <w:r>
              <w:rPr>
                <w:rFonts w:eastAsia="Calibri"/>
                <w:sz w:val="28"/>
                <w:szCs w:val="28"/>
              </w:rPr>
              <w:t>1 000</w:t>
            </w:r>
          </w:p>
        </w:tc>
      </w:tr>
      <w:tr w:rsidR="003B2804" w14:paraId="47C12893" w14:textId="77777777">
        <w:tc>
          <w:tcPr>
            <w:tcW w:w="561" w:type="dxa"/>
          </w:tcPr>
          <w:p w14:paraId="35E9E9D4" w14:textId="77777777" w:rsidR="003B2804" w:rsidRDefault="00000000">
            <w:pPr>
              <w:jc w:val="both"/>
              <w:rPr>
                <w:rFonts w:eastAsia="Calibri"/>
                <w:sz w:val="28"/>
                <w:szCs w:val="28"/>
              </w:rPr>
            </w:pPr>
            <w:r>
              <w:rPr>
                <w:rFonts w:eastAsia="Calibri"/>
                <w:sz w:val="28"/>
                <w:szCs w:val="28"/>
              </w:rPr>
              <w:t>7</w:t>
            </w:r>
          </w:p>
        </w:tc>
        <w:tc>
          <w:tcPr>
            <w:tcW w:w="4111" w:type="dxa"/>
          </w:tcPr>
          <w:p w14:paraId="69BC4474" w14:textId="77777777" w:rsidR="003B2804" w:rsidRDefault="00000000">
            <w:pPr>
              <w:jc w:val="both"/>
              <w:rPr>
                <w:rFonts w:eastAsia="Calibri"/>
                <w:sz w:val="28"/>
                <w:szCs w:val="28"/>
              </w:rPr>
            </w:pPr>
            <w:r>
              <w:rPr>
                <w:rFonts w:eastAsia="Calibri"/>
                <w:sz w:val="28"/>
                <w:szCs w:val="28"/>
              </w:rPr>
              <w:t>Адміністративні, супровідні та непередбачені витрати</w:t>
            </w:r>
          </w:p>
        </w:tc>
        <w:tc>
          <w:tcPr>
            <w:tcW w:w="2336" w:type="dxa"/>
            <w:vAlign w:val="center"/>
          </w:tcPr>
          <w:p w14:paraId="769AF931" w14:textId="77777777" w:rsidR="003B2804" w:rsidRDefault="00000000">
            <w:pPr>
              <w:jc w:val="center"/>
              <w:rPr>
                <w:rFonts w:eastAsia="Calibri"/>
                <w:sz w:val="28"/>
                <w:szCs w:val="28"/>
              </w:rPr>
            </w:pPr>
            <w:r>
              <w:rPr>
                <w:rFonts w:eastAsia="Calibri"/>
                <w:sz w:val="28"/>
                <w:szCs w:val="28"/>
              </w:rPr>
              <w:t>10%</w:t>
            </w:r>
          </w:p>
        </w:tc>
        <w:tc>
          <w:tcPr>
            <w:tcW w:w="2335" w:type="dxa"/>
            <w:vAlign w:val="center"/>
          </w:tcPr>
          <w:p w14:paraId="3256D1F3" w14:textId="77777777" w:rsidR="003B2804" w:rsidRDefault="00000000">
            <w:pPr>
              <w:jc w:val="center"/>
              <w:rPr>
                <w:rFonts w:eastAsia="Calibri"/>
                <w:sz w:val="28"/>
                <w:szCs w:val="28"/>
              </w:rPr>
            </w:pPr>
            <w:r>
              <w:rPr>
                <w:rFonts w:eastAsia="Calibri"/>
                <w:sz w:val="28"/>
                <w:szCs w:val="28"/>
              </w:rPr>
              <w:t>1 000</w:t>
            </w:r>
          </w:p>
        </w:tc>
      </w:tr>
      <w:tr w:rsidR="003B2804" w14:paraId="7EF09245" w14:textId="77777777">
        <w:tc>
          <w:tcPr>
            <w:tcW w:w="4672" w:type="dxa"/>
            <w:gridSpan w:val="2"/>
          </w:tcPr>
          <w:p w14:paraId="583E6C50" w14:textId="77777777" w:rsidR="003B2804" w:rsidRDefault="00000000">
            <w:pPr>
              <w:jc w:val="both"/>
              <w:rPr>
                <w:rFonts w:eastAsia="Calibri"/>
                <w:b/>
                <w:bCs/>
                <w:sz w:val="28"/>
                <w:szCs w:val="28"/>
              </w:rPr>
            </w:pPr>
            <w:r>
              <w:rPr>
                <w:rFonts w:eastAsia="Calibri"/>
                <w:b/>
                <w:bCs/>
                <w:sz w:val="28"/>
                <w:szCs w:val="28"/>
              </w:rPr>
              <w:t>Разом</w:t>
            </w:r>
          </w:p>
        </w:tc>
        <w:tc>
          <w:tcPr>
            <w:tcW w:w="2336" w:type="dxa"/>
          </w:tcPr>
          <w:p w14:paraId="6DCE1BE4" w14:textId="77777777" w:rsidR="003B2804" w:rsidRDefault="00000000">
            <w:pPr>
              <w:jc w:val="center"/>
              <w:rPr>
                <w:rFonts w:eastAsia="Calibri"/>
                <w:b/>
                <w:bCs/>
                <w:sz w:val="28"/>
                <w:szCs w:val="28"/>
              </w:rPr>
            </w:pPr>
            <w:r>
              <w:rPr>
                <w:rFonts w:eastAsia="Calibri"/>
                <w:b/>
                <w:bCs/>
                <w:sz w:val="28"/>
                <w:szCs w:val="28"/>
              </w:rPr>
              <w:t>100%</w:t>
            </w:r>
          </w:p>
        </w:tc>
        <w:tc>
          <w:tcPr>
            <w:tcW w:w="2335" w:type="dxa"/>
          </w:tcPr>
          <w:p w14:paraId="1710EA13" w14:textId="77777777" w:rsidR="003B2804" w:rsidRDefault="00000000">
            <w:pPr>
              <w:jc w:val="center"/>
              <w:rPr>
                <w:rFonts w:eastAsia="Calibri"/>
                <w:b/>
                <w:bCs/>
                <w:sz w:val="28"/>
                <w:szCs w:val="28"/>
              </w:rPr>
            </w:pPr>
            <w:r>
              <w:rPr>
                <w:rFonts w:eastAsia="Calibri"/>
                <w:b/>
                <w:bCs/>
                <w:sz w:val="28"/>
                <w:szCs w:val="28"/>
              </w:rPr>
              <w:t>10 000</w:t>
            </w:r>
          </w:p>
        </w:tc>
      </w:tr>
    </w:tbl>
    <w:p w14:paraId="6C4D66B6" w14:textId="77777777" w:rsidR="00777F7A" w:rsidRDefault="00777F7A" w:rsidP="00725878">
      <w:pPr>
        <w:ind w:firstLine="567"/>
        <w:jc w:val="both"/>
        <w:rPr>
          <w:sz w:val="28"/>
          <w:szCs w:val="28"/>
        </w:rPr>
      </w:pPr>
    </w:p>
    <w:p w14:paraId="6E286A2F" w14:textId="368E4970" w:rsidR="003B2804" w:rsidRDefault="00000000" w:rsidP="00725878">
      <w:pPr>
        <w:ind w:firstLine="567"/>
        <w:jc w:val="both"/>
        <w:rPr>
          <w:sz w:val="28"/>
          <w:szCs w:val="28"/>
        </w:rPr>
      </w:pPr>
      <w:r>
        <w:rPr>
          <w:sz w:val="28"/>
          <w:szCs w:val="28"/>
        </w:rPr>
        <w:t xml:space="preserve">Джерело фінансування </w:t>
      </w:r>
      <w:r w:rsidR="00777F7A">
        <w:rPr>
          <w:sz w:val="28"/>
          <w:szCs w:val="28"/>
        </w:rPr>
        <w:t>–</w:t>
      </w:r>
      <w:r>
        <w:rPr>
          <w:sz w:val="28"/>
          <w:szCs w:val="28"/>
        </w:rPr>
        <w:t xml:space="preserve"> 100% коштів приватного партнера. Участь громади: надання земельної ділянки комунальної власності, сприяння в отриманні дозвільних документів, участь у координації будівництва.</w:t>
      </w:r>
    </w:p>
    <w:p w14:paraId="1F7E7680" w14:textId="77777777" w:rsidR="003B2804" w:rsidRDefault="00000000" w:rsidP="00725878">
      <w:pPr>
        <w:ind w:firstLine="567"/>
        <w:jc w:val="both"/>
        <w:rPr>
          <w:sz w:val="28"/>
          <w:szCs w:val="28"/>
        </w:rPr>
      </w:pPr>
      <w:r>
        <w:rPr>
          <w:sz w:val="28"/>
          <w:szCs w:val="28"/>
        </w:rPr>
        <w:t>Орієнтовний календарний план витрат:</w:t>
      </w:r>
    </w:p>
    <w:p w14:paraId="5194D5DB" w14:textId="77777777" w:rsidR="003B2804" w:rsidRDefault="003B2804">
      <w:pPr>
        <w:ind w:firstLine="709"/>
        <w:jc w:val="both"/>
        <w:rPr>
          <w:sz w:val="28"/>
          <w:szCs w:val="28"/>
        </w:rPr>
      </w:pPr>
    </w:p>
    <w:tbl>
      <w:tblPr>
        <w:tblStyle w:val="af1"/>
        <w:tblW w:w="9634" w:type="dxa"/>
        <w:tblLayout w:type="fixed"/>
        <w:tblLook w:val="04A0" w:firstRow="1" w:lastRow="0" w:firstColumn="1" w:lastColumn="0" w:noHBand="0" w:noVBand="1"/>
      </w:tblPr>
      <w:tblGrid>
        <w:gridCol w:w="1816"/>
        <w:gridCol w:w="4842"/>
        <w:gridCol w:w="2976"/>
      </w:tblGrid>
      <w:tr w:rsidR="003B2804" w14:paraId="0FB8478D" w14:textId="77777777">
        <w:tc>
          <w:tcPr>
            <w:tcW w:w="1816" w:type="dxa"/>
          </w:tcPr>
          <w:p w14:paraId="55DD05BA" w14:textId="77777777" w:rsidR="003B2804" w:rsidRDefault="00000000">
            <w:pPr>
              <w:jc w:val="both"/>
              <w:rPr>
                <w:rFonts w:eastAsia="Calibri"/>
                <w:b/>
                <w:bCs/>
                <w:sz w:val="28"/>
                <w:szCs w:val="28"/>
              </w:rPr>
            </w:pPr>
            <w:r>
              <w:rPr>
                <w:rFonts w:eastAsia="Calibri"/>
                <w:b/>
                <w:bCs/>
                <w:sz w:val="28"/>
                <w:szCs w:val="28"/>
              </w:rPr>
              <w:t>Тривалість</w:t>
            </w:r>
          </w:p>
        </w:tc>
        <w:tc>
          <w:tcPr>
            <w:tcW w:w="4842" w:type="dxa"/>
          </w:tcPr>
          <w:p w14:paraId="1B31A23D" w14:textId="77777777" w:rsidR="003B2804" w:rsidRDefault="00000000">
            <w:pPr>
              <w:jc w:val="both"/>
              <w:rPr>
                <w:rFonts w:eastAsia="Calibri"/>
                <w:b/>
                <w:bCs/>
                <w:sz w:val="28"/>
                <w:szCs w:val="28"/>
              </w:rPr>
            </w:pPr>
            <w:r>
              <w:rPr>
                <w:rFonts w:eastAsia="Calibri"/>
                <w:b/>
                <w:bCs/>
                <w:sz w:val="28"/>
                <w:szCs w:val="28"/>
              </w:rPr>
              <w:t>Етап, основні роботи</w:t>
            </w:r>
          </w:p>
        </w:tc>
        <w:tc>
          <w:tcPr>
            <w:tcW w:w="2976" w:type="dxa"/>
          </w:tcPr>
          <w:p w14:paraId="5A29C6B1" w14:textId="45C2CEE7" w:rsidR="003B2804" w:rsidRDefault="00000000">
            <w:pPr>
              <w:jc w:val="both"/>
              <w:rPr>
                <w:rFonts w:eastAsia="Calibri"/>
                <w:b/>
                <w:bCs/>
                <w:sz w:val="28"/>
                <w:szCs w:val="28"/>
              </w:rPr>
            </w:pPr>
            <w:r>
              <w:rPr>
                <w:rFonts w:eastAsia="Calibri"/>
                <w:b/>
                <w:bCs/>
                <w:sz w:val="28"/>
                <w:szCs w:val="28"/>
              </w:rPr>
              <w:t>Орієнтовна вартість, тис.</w:t>
            </w:r>
            <w:r w:rsidR="005F30B3">
              <w:rPr>
                <w:rFonts w:eastAsia="Calibri"/>
                <w:b/>
                <w:bCs/>
                <w:sz w:val="28"/>
                <w:szCs w:val="28"/>
              </w:rPr>
              <w:t> </w:t>
            </w:r>
            <w:r>
              <w:rPr>
                <w:rFonts w:eastAsia="Calibri"/>
                <w:b/>
                <w:bCs/>
                <w:sz w:val="28"/>
                <w:szCs w:val="28"/>
              </w:rPr>
              <w:t>грн</w:t>
            </w:r>
          </w:p>
        </w:tc>
      </w:tr>
      <w:tr w:rsidR="003B2804" w14:paraId="0C728D9F" w14:textId="77777777">
        <w:tc>
          <w:tcPr>
            <w:tcW w:w="1816" w:type="dxa"/>
          </w:tcPr>
          <w:p w14:paraId="2B9D9822" w14:textId="7C22B1A3" w:rsidR="003B2804" w:rsidRDefault="00000000">
            <w:pPr>
              <w:jc w:val="both"/>
              <w:rPr>
                <w:rFonts w:eastAsia="Calibri"/>
                <w:sz w:val="28"/>
                <w:szCs w:val="28"/>
              </w:rPr>
            </w:pPr>
            <w:r>
              <w:rPr>
                <w:rFonts w:eastAsia="Calibri"/>
                <w:sz w:val="28"/>
                <w:szCs w:val="28"/>
              </w:rPr>
              <w:t>ІІ квартал 2026</w:t>
            </w:r>
            <w:r w:rsidR="005F30B3">
              <w:rPr>
                <w:rFonts w:eastAsia="Calibri"/>
                <w:sz w:val="28"/>
                <w:szCs w:val="28"/>
              </w:rPr>
              <w:t xml:space="preserve"> року</w:t>
            </w:r>
          </w:p>
        </w:tc>
        <w:tc>
          <w:tcPr>
            <w:tcW w:w="4842" w:type="dxa"/>
          </w:tcPr>
          <w:p w14:paraId="57E214C3" w14:textId="77777777" w:rsidR="003B2804" w:rsidRDefault="00000000">
            <w:pPr>
              <w:jc w:val="both"/>
              <w:rPr>
                <w:rFonts w:eastAsia="Calibri"/>
                <w:sz w:val="28"/>
                <w:szCs w:val="28"/>
              </w:rPr>
            </w:pPr>
            <w:r>
              <w:rPr>
                <w:rFonts w:eastAsia="Calibri"/>
                <w:sz w:val="28"/>
                <w:szCs w:val="28"/>
              </w:rPr>
              <w:t xml:space="preserve">Підготовка ТЕО, </w:t>
            </w:r>
            <w:proofErr w:type="spellStart"/>
            <w:r>
              <w:rPr>
                <w:rFonts w:eastAsia="Calibri"/>
                <w:sz w:val="28"/>
                <w:szCs w:val="28"/>
              </w:rPr>
              <w:t>проєктування</w:t>
            </w:r>
            <w:proofErr w:type="spellEnd"/>
            <w:r>
              <w:rPr>
                <w:rFonts w:eastAsia="Calibri"/>
                <w:sz w:val="28"/>
                <w:szCs w:val="28"/>
              </w:rPr>
              <w:t>, експертиза</w:t>
            </w:r>
          </w:p>
        </w:tc>
        <w:tc>
          <w:tcPr>
            <w:tcW w:w="2976" w:type="dxa"/>
          </w:tcPr>
          <w:p w14:paraId="17435076" w14:textId="77777777" w:rsidR="003B2804" w:rsidRDefault="00000000">
            <w:pPr>
              <w:jc w:val="center"/>
              <w:rPr>
                <w:rFonts w:eastAsia="Calibri"/>
                <w:sz w:val="28"/>
                <w:szCs w:val="28"/>
              </w:rPr>
            </w:pPr>
            <w:r>
              <w:rPr>
                <w:rFonts w:eastAsia="Calibri"/>
                <w:sz w:val="28"/>
                <w:szCs w:val="28"/>
              </w:rPr>
              <w:t>1 000</w:t>
            </w:r>
          </w:p>
        </w:tc>
      </w:tr>
      <w:tr w:rsidR="003B2804" w14:paraId="79774ADA" w14:textId="77777777">
        <w:tc>
          <w:tcPr>
            <w:tcW w:w="1816" w:type="dxa"/>
          </w:tcPr>
          <w:p w14:paraId="21AFBC91" w14:textId="44199CED" w:rsidR="003B2804" w:rsidRDefault="00000000">
            <w:pPr>
              <w:jc w:val="both"/>
              <w:rPr>
                <w:rFonts w:eastAsia="Calibri"/>
                <w:sz w:val="28"/>
                <w:szCs w:val="28"/>
              </w:rPr>
            </w:pPr>
            <w:r>
              <w:rPr>
                <w:rFonts w:eastAsia="Calibri"/>
                <w:sz w:val="28"/>
                <w:szCs w:val="28"/>
              </w:rPr>
              <w:t>ІІ</w:t>
            </w:r>
            <w:r>
              <w:rPr>
                <w:rFonts w:eastAsia="Calibri"/>
                <w:sz w:val="28"/>
                <w:szCs w:val="28"/>
                <w:lang w:val="en-US"/>
              </w:rPr>
              <w:t>I</w:t>
            </w:r>
            <w:r>
              <w:rPr>
                <w:rFonts w:eastAsia="Calibri"/>
                <w:sz w:val="28"/>
                <w:szCs w:val="28"/>
              </w:rPr>
              <w:t>–І</w:t>
            </w:r>
            <w:r>
              <w:rPr>
                <w:rFonts w:eastAsia="Calibri"/>
                <w:sz w:val="28"/>
                <w:szCs w:val="28"/>
                <w:lang w:val="en-US"/>
              </w:rPr>
              <w:t>V</w:t>
            </w:r>
            <w:r>
              <w:rPr>
                <w:rFonts w:eastAsia="Calibri"/>
                <w:sz w:val="28"/>
                <w:szCs w:val="28"/>
              </w:rPr>
              <w:t xml:space="preserve"> квартал 2026</w:t>
            </w:r>
            <w:r w:rsidR="005F30B3">
              <w:rPr>
                <w:rFonts w:eastAsia="Calibri"/>
                <w:sz w:val="28"/>
                <w:szCs w:val="28"/>
              </w:rPr>
              <w:t> року</w:t>
            </w:r>
          </w:p>
        </w:tc>
        <w:tc>
          <w:tcPr>
            <w:tcW w:w="4842" w:type="dxa"/>
          </w:tcPr>
          <w:p w14:paraId="6DE1DC2B" w14:textId="77777777" w:rsidR="003B2804" w:rsidRDefault="00000000">
            <w:pPr>
              <w:jc w:val="both"/>
              <w:rPr>
                <w:rFonts w:eastAsia="Calibri"/>
                <w:sz w:val="28"/>
                <w:szCs w:val="28"/>
              </w:rPr>
            </w:pPr>
            <w:r>
              <w:rPr>
                <w:rFonts w:eastAsia="Calibri"/>
                <w:sz w:val="28"/>
                <w:szCs w:val="28"/>
              </w:rPr>
              <w:t>Будівельно-монтажні роботи (основа, покриття, комунікації)</w:t>
            </w:r>
          </w:p>
        </w:tc>
        <w:tc>
          <w:tcPr>
            <w:tcW w:w="2976" w:type="dxa"/>
          </w:tcPr>
          <w:p w14:paraId="0CC84121" w14:textId="77777777" w:rsidR="003B2804" w:rsidRDefault="00000000">
            <w:pPr>
              <w:jc w:val="center"/>
              <w:rPr>
                <w:rFonts w:eastAsia="Calibri"/>
                <w:sz w:val="28"/>
                <w:szCs w:val="28"/>
              </w:rPr>
            </w:pPr>
            <w:r>
              <w:rPr>
                <w:rFonts w:eastAsia="Calibri"/>
                <w:sz w:val="28"/>
                <w:szCs w:val="28"/>
              </w:rPr>
              <w:t>5 000</w:t>
            </w:r>
          </w:p>
        </w:tc>
      </w:tr>
      <w:tr w:rsidR="003B2804" w14:paraId="3BBD5FD5" w14:textId="77777777">
        <w:tc>
          <w:tcPr>
            <w:tcW w:w="1816" w:type="dxa"/>
          </w:tcPr>
          <w:p w14:paraId="707F926A" w14:textId="34FFC751" w:rsidR="003B2804" w:rsidRDefault="00000000">
            <w:pPr>
              <w:jc w:val="both"/>
              <w:rPr>
                <w:rFonts w:eastAsia="Calibri"/>
                <w:sz w:val="28"/>
                <w:szCs w:val="28"/>
              </w:rPr>
            </w:pPr>
            <w:r>
              <w:rPr>
                <w:rFonts w:eastAsia="Calibri"/>
                <w:sz w:val="28"/>
                <w:szCs w:val="28"/>
              </w:rPr>
              <w:t>І-II квартал 2027</w:t>
            </w:r>
            <w:r w:rsidR="005F30B3">
              <w:rPr>
                <w:rFonts w:eastAsia="Calibri"/>
                <w:sz w:val="28"/>
                <w:szCs w:val="28"/>
              </w:rPr>
              <w:t xml:space="preserve"> року</w:t>
            </w:r>
          </w:p>
        </w:tc>
        <w:tc>
          <w:tcPr>
            <w:tcW w:w="4842" w:type="dxa"/>
          </w:tcPr>
          <w:p w14:paraId="6920EB36" w14:textId="77777777" w:rsidR="003B2804" w:rsidRDefault="00000000">
            <w:pPr>
              <w:jc w:val="both"/>
              <w:rPr>
                <w:rFonts w:eastAsia="Calibri"/>
                <w:sz w:val="28"/>
                <w:szCs w:val="28"/>
              </w:rPr>
            </w:pPr>
            <w:r>
              <w:rPr>
                <w:rFonts w:eastAsia="Calibri"/>
                <w:sz w:val="28"/>
                <w:szCs w:val="28"/>
              </w:rPr>
              <w:t>Обладнання, благоустрій, озеленення, трибуни, інженерія</w:t>
            </w:r>
          </w:p>
        </w:tc>
        <w:tc>
          <w:tcPr>
            <w:tcW w:w="2976" w:type="dxa"/>
          </w:tcPr>
          <w:p w14:paraId="2EEC5674" w14:textId="77777777" w:rsidR="003B2804" w:rsidRDefault="00000000">
            <w:pPr>
              <w:jc w:val="center"/>
              <w:rPr>
                <w:rFonts w:eastAsia="Calibri"/>
                <w:sz w:val="28"/>
                <w:szCs w:val="28"/>
              </w:rPr>
            </w:pPr>
            <w:r>
              <w:rPr>
                <w:rFonts w:eastAsia="Calibri"/>
                <w:sz w:val="28"/>
                <w:szCs w:val="28"/>
              </w:rPr>
              <w:t>3 000</w:t>
            </w:r>
          </w:p>
        </w:tc>
      </w:tr>
      <w:tr w:rsidR="003B2804" w14:paraId="5DB345D6" w14:textId="77777777">
        <w:tc>
          <w:tcPr>
            <w:tcW w:w="1816" w:type="dxa"/>
          </w:tcPr>
          <w:p w14:paraId="6B1230FD" w14:textId="6DF5FE3A" w:rsidR="003B2804" w:rsidRDefault="00000000">
            <w:pPr>
              <w:jc w:val="both"/>
              <w:rPr>
                <w:rFonts w:eastAsia="Calibri"/>
                <w:sz w:val="28"/>
                <w:szCs w:val="28"/>
              </w:rPr>
            </w:pPr>
            <w:r>
              <w:rPr>
                <w:rFonts w:eastAsia="Calibri"/>
                <w:sz w:val="28"/>
                <w:szCs w:val="28"/>
              </w:rPr>
              <w:t>ІІ</w:t>
            </w:r>
            <w:r>
              <w:rPr>
                <w:rFonts w:eastAsia="Calibri"/>
                <w:sz w:val="28"/>
                <w:szCs w:val="28"/>
                <w:lang w:val="en-US"/>
              </w:rPr>
              <w:t>I</w:t>
            </w:r>
            <w:r>
              <w:rPr>
                <w:rFonts w:eastAsia="Calibri"/>
                <w:sz w:val="28"/>
                <w:szCs w:val="28"/>
              </w:rPr>
              <w:t xml:space="preserve"> квартал 2027</w:t>
            </w:r>
            <w:r w:rsidR="005F30B3">
              <w:rPr>
                <w:rFonts w:eastAsia="Calibri"/>
                <w:sz w:val="28"/>
                <w:szCs w:val="28"/>
              </w:rPr>
              <w:t xml:space="preserve"> року</w:t>
            </w:r>
          </w:p>
        </w:tc>
        <w:tc>
          <w:tcPr>
            <w:tcW w:w="4842" w:type="dxa"/>
          </w:tcPr>
          <w:p w14:paraId="33EE461C" w14:textId="77777777" w:rsidR="003B2804" w:rsidRDefault="00000000">
            <w:pPr>
              <w:jc w:val="both"/>
              <w:rPr>
                <w:rFonts w:eastAsia="Calibri"/>
                <w:sz w:val="28"/>
                <w:szCs w:val="28"/>
              </w:rPr>
            </w:pPr>
            <w:r>
              <w:rPr>
                <w:rFonts w:eastAsia="Calibri"/>
                <w:sz w:val="28"/>
                <w:szCs w:val="28"/>
              </w:rPr>
              <w:t>Пусконалагоджувальні роботи, введення в експлуатацію</w:t>
            </w:r>
          </w:p>
        </w:tc>
        <w:tc>
          <w:tcPr>
            <w:tcW w:w="2976" w:type="dxa"/>
          </w:tcPr>
          <w:p w14:paraId="57045EBC" w14:textId="77777777" w:rsidR="003B2804" w:rsidRDefault="00000000">
            <w:pPr>
              <w:jc w:val="center"/>
              <w:rPr>
                <w:rFonts w:eastAsia="Calibri"/>
                <w:sz w:val="28"/>
                <w:szCs w:val="28"/>
              </w:rPr>
            </w:pPr>
            <w:r>
              <w:rPr>
                <w:rFonts w:eastAsia="Calibri"/>
                <w:sz w:val="28"/>
                <w:szCs w:val="28"/>
              </w:rPr>
              <w:t>1 000</w:t>
            </w:r>
          </w:p>
        </w:tc>
      </w:tr>
      <w:tr w:rsidR="003B2804" w14:paraId="1540E5D6" w14:textId="77777777">
        <w:tc>
          <w:tcPr>
            <w:tcW w:w="6658" w:type="dxa"/>
            <w:gridSpan w:val="2"/>
          </w:tcPr>
          <w:p w14:paraId="418B0007" w14:textId="77777777" w:rsidR="003B2804" w:rsidRDefault="00000000">
            <w:pPr>
              <w:jc w:val="both"/>
              <w:rPr>
                <w:rFonts w:eastAsia="Calibri"/>
                <w:b/>
                <w:bCs/>
                <w:sz w:val="28"/>
                <w:szCs w:val="28"/>
              </w:rPr>
            </w:pPr>
            <w:r>
              <w:rPr>
                <w:rFonts w:eastAsia="Calibri"/>
                <w:b/>
                <w:bCs/>
                <w:sz w:val="28"/>
                <w:szCs w:val="28"/>
              </w:rPr>
              <w:t>Разом</w:t>
            </w:r>
          </w:p>
        </w:tc>
        <w:tc>
          <w:tcPr>
            <w:tcW w:w="2976" w:type="dxa"/>
          </w:tcPr>
          <w:p w14:paraId="0C8CEBDB" w14:textId="77777777" w:rsidR="003B2804" w:rsidRDefault="00000000">
            <w:pPr>
              <w:jc w:val="center"/>
              <w:rPr>
                <w:rFonts w:eastAsia="Calibri"/>
                <w:b/>
                <w:bCs/>
                <w:sz w:val="28"/>
                <w:szCs w:val="28"/>
              </w:rPr>
            </w:pPr>
            <w:r>
              <w:rPr>
                <w:rFonts w:eastAsia="Calibri"/>
                <w:b/>
                <w:bCs/>
                <w:sz w:val="28"/>
                <w:szCs w:val="28"/>
              </w:rPr>
              <w:t>10 000</w:t>
            </w:r>
          </w:p>
        </w:tc>
      </w:tr>
    </w:tbl>
    <w:p w14:paraId="1F872324" w14:textId="77777777" w:rsidR="005F30B3" w:rsidRDefault="005F30B3" w:rsidP="00725878">
      <w:pPr>
        <w:ind w:firstLine="567"/>
        <w:jc w:val="both"/>
        <w:rPr>
          <w:sz w:val="28"/>
          <w:szCs w:val="28"/>
        </w:rPr>
      </w:pPr>
    </w:p>
    <w:p w14:paraId="75BDFBD6" w14:textId="1126FB66" w:rsidR="003B2804" w:rsidRDefault="00000000" w:rsidP="00725878">
      <w:pPr>
        <w:ind w:firstLine="567"/>
        <w:jc w:val="both"/>
        <w:rPr>
          <w:sz w:val="28"/>
          <w:szCs w:val="28"/>
        </w:rPr>
      </w:pPr>
      <w:r>
        <w:rPr>
          <w:sz w:val="28"/>
          <w:szCs w:val="28"/>
        </w:rPr>
        <w:t>Після введення об’єкта в експлуатацію приватний партнер здійснює його утримання, ремонт, оплату комунальних послуг і технічне обслуговування.</w:t>
      </w:r>
    </w:p>
    <w:p w14:paraId="14732A52" w14:textId="77777777" w:rsidR="003B2804" w:rsidRDefault="00000000" w:rsidP="00725878">
      <w:pPr>
        <w:ind w:firstLine="567"/>
        <w:jc w:val="both"/>
        <w:rPr>
          <w:sz w:val="28"/>
          <w:szCs w:val="28"/>
        </w:rPr>
      </w:pPr>
      <w:r>
        <w:rPr>
          <w:sz w:val="28"/>
          <w:szCs w:val="28"/>
        </w:rPr>
        <w:t>Орієнтовні річні витрати на експлуатацію стадіону становлять приблизно 900–1 100 тис. грн на рік, у тому числі:</w:t>
      </w:r>
    </w:p>
    <w:p w14:paraId="212B3CB8" w14:textId="77777777" w:rsidR="003B2804" w:rsidRDefault="003B2804">
      <w:pPr>
        <w:ind w:firstLine="709"/>
        <w:jc w:val="both"/>
        <w:rPr>
          <w:sz w:val="28"/>
          <w:szCs w:val="28"/>
        </w:rPr>
      </w:pPr>
    </w:p>
    <w:tbl>
      <w:tblPr>
        <w:tblStyle w:val="af1"/>
        <w:tblW w:w="9344" w:type="dxa"/>
        <w:tblLayout w:type="fixed"/>
        <w:tblLook w:val="04A0" w:firstRow="1" w:lastRow="0" w:firstColumn="1" w:lastColumn="0" w:noHBand="0" w:noVBand="1"/>
      </w:tblPr>
      <w:tblGrid>
        <w:gridCol w:w="561"/>
        <w:gridCol w:w="6237"/>
        <w:gridCol w:w="2546"/>
      </w:tblGrid>
      <w:tr w:rsidR="003B2804" w14:paraId="243AB6AB" w14:textId="77777777">
        <w:tc>
          <w:tcPr>
            <w:tcW w:w="561" w:type="dxa"/>
            <w:vAlign w:val="center"/>
          </w:tcPr>
          <w:p w14:paraId="12C529C6" w14:textId="77777777" w:rsidR="003B2804" w:rsidRDefault="00000000">
            <w:pPr>
              <w:jc w:val="center"/>
              <w:rPr>
                <w:rFonts w:eastAsia="Calibri"/>
                <w:b/>
                <w:bCs/>
                <w:sz w:val="28"/>
                <w:szCs w:val="28"/>
              </w:rPr>
            </w:pPr>
            <w:r>
              <w:rPr>
                <w:rFonts w:eastAsia="Calibri"/>
                <w:b/>
                <w:bCs/>
                <w:sz w:val="28"/>
                <w:szCs w:val="28"/>
              </w:rPr>
              <w:t>№</w:t>
            </w:r>
          </w:p>
        </w:tc>
        <w:tc>
          <w:tcPr>
            <w:tcW w:w="6237" w:type="dxa"/>
            <w:vAlign w:val="center"/>
          </w:tcPr>
          <w:p w14:paraId="30E05CFC" w14:textId="77777777" w:rsidR="003B2804" w:rsidRDefault="00000000">
            <w:pPr>
              <w:jc w:val="center"/>
              <w:rPr>
                <w:rFonts w:eastAsia="Calibri"/>
                <w:b/>
                <w:bCs/>
                <w:sz w:val="28"/>
                <w:szCs w:val="28"/>
              </w:rPr>
            </w:pPr>
            <w:r>
              <w:rPr>
                <w:rFonts w:eastAsia="Calibri"/>
                <w:b/>
                <w:bCs/>
                <w:sz w:val="28"/>
                <w:szCs w:val="28"/>
              </w:rPr>
              <w:t>Стаття експлуатаційних витрат</w:t>
            </w:r>
          </w:p>
        </w:tc>
        <w:tc>
          <w:tcPr>
            <w:tcW w:w="2546" w:type="dxa"/>
          </w:tcPr>
          <w:p w14:paraId="2A5BF109" w14:textId="77777777" w:rsidR="003B2804" w:rsidRDefault="00000000">
            <w:pPr>
              <w:jc w:val="center"/>
              <w:rPr>
                <w:rFonts w:eastAsia="Calibri"/>
                <w:b/>
                <w:bCs/>
                <w:sz w:val="28"/>
                <w:szCs w:val="28"/>
              </w:rPr>
            </w:pPr>
            <w:r>
              <w:rPr>
                <w:rFonts w:eastAsia="Calibri"/>
                <w:b/>
                <w:bCs/>
                <w:sz w:val="28"/>
                <w:szCs w:val="28"/>
              </w:rPr>
              <w:t>Орієнтовна сума, тис. грн</w:t>
            </w:r>
          </w:p>
        </w:tc>
      </w:tr>
      <w:tr w:rsidR="003B2804" w14:paraId="45EF48EF" w14:textId="77777777">
        <w:tc>
          <w:tcPr>
            <w:tcW w:w="561" w:type="dxa"/>
          </w:tcPr>
          <w:p w14:paraId="7B7E9423" w14:textId="77777777" w:rsidR="003B2804" w:rsidRDefault="00000000">
            <w:pPr>
              <w:jc w:val="both"/>
              <w:rPr>
                <w:rFonts w:eastAsia="Calibri"/>
                <w:sz w:val="28"/>
                <w:szCs w:val="28"/>
              </w:rPr>
            </w:pPr>
            <w:r>
              <w:rPr>
                <w:rFonts w:eastAsia="Calibri"/>
                <w:sz w:val="28"/>
                <w:szCs w:val="28"/>
              </w:rPr>
              <w:t>1</w:t>
            </w:r>
          </w:p>
        </w:tc>
        <w:tc>
          <w:tcPr>
            <w:tcW w:w="6237" w:type="dxa"/>
          </w:tcPr>
          <w:p w14:paraId="4205F0A3" w14:textId="77777777" w:rsidR="003B2804" w:rsidRDefault="00000000">
            <w:pPr>
              <w:jc w:val="both"/>
              <w:rPr>
                <w:rFonts w:eastAsia="Calibri"/>
                <w:sz w:val="28"/>
                <w:szCs w:val="28"/>
              </w:rPr>
            </w:pPr>
            <w:r>
              <w:rPr>
                <w:rFonts w:eastAsia="Calibri"/>
                <w:sz w:val="28"/>
                <w:szCs w:val="28"/>
              </w:rPr>
              <w:t>Електроенергія (освітлення поля, трибун, території)</w:t>
            </w:r>
          </w:p>
        </w:tc>
        <w:tc>
          <w:tcPr>
            <w:tcW w:w="2546" w:type="dxa"/>
            <w:vAlign w:val="center"/>
          </w:tcPr>
          <w:p w14:paraId="78ED62AC" w14:textId="77777777" w:rsidR="003B2804" w:rsidRDefault="00000000">
            <w:pPr>
              <w:jc w:val="center"/>
              <w:rPr>
                <w:rFonts w:eastAsia="Calibri"/>
                <w:sz w:val="28"/>
                <w:szCs w:val="28"/>
              </w:rPr>
            </w:pPr>
            <w:r>
              <w:rPr>
                <w:rFonts w:eastAsia="Calibri"/>
                <w:sz w:val="28"/>
                <w:szCs w:val="28"/>
              </w:rPr>
              <w:t>250</w:t>
            </w:r>
          </w:p>
        </w:tc>
      </w:tr>
      <w:tr w:rsidR="003B2804" w14:paraId="4816FEE5" w14:textId="77777777">
        <w:tc>
          <w:tcPr>
            <w:tcW w:w="561" w:type="dxa"/>
          </w:tcPr>
          <w:p w14:paraId="07CDDAC2" w14:textId="77777777" w:rsidR="003B2804" w:rsidRDefault="00000000">
            <w:pPr>
              <w:jc w:val="both"/>
              <w:rPr>
                <w:rFonts w:eastAsia="Calibri"/>
                <w:sz w:val="28"/>
                <w:szCs w:val="28"/>
              </w:rPr>
            </w:pPr>
            <w:r>
              <w:rPr>
                <w:rFonts w:eastAsia="Calibri"/>
                <w:sz w:val="28"/>
                <w:szCs w:val="28"/>
              </w:rPr>
              <w:t>2</w:t>
            </w:r>
          </w:p>
        </w:tc>
        <w:tc>
          <w:tcPr>
            <w:tcW w:w="6237" w:type="dxa"/>
          </w:tcPr>
          <w:p w14:paraId="7F4E0775" w14:textId="77777777" w:rsidR="003B2804" w:rsidRDefault="00000000">
            <w:pPr>
              <w:jc w:val="both"/>
              <w:rPr>
                <w:rFonts w:eastAsia="Calibri"/>
                <w:sz w:val="28"/>
                <w:szCs w:val="28"/>
              </w:rPr>
            </w:pPr>
            <w:r>
              <w:rPr>
                <w:rFonts w:eastAsia="Calibri"/>
                <w:sz w:val="28"/>
                <w:szCs w:val="28"/>
              </w:rPr>
              <w:t>Поточне обслуговування покриття, ремонт дрібних елементів</w:t>
            </w:r>
          </w:p>
        </w:tc>
        <w:tc>
          <w:tcPr>
            <w:tcW w:w="2546" w:type="dxa"/>
            <w:vAlign w:val="center"/>
          </w:tcPr>
          <w:p w14:paraId="6F81228A" w14:textId="77777777" w:rsidR="003B2804" w:rsidRDefault="00000000">
            <w:pPr>
              <w:jc w:val="center"/>
              <w:rPr>
                <w:rFonts w:eastAsia="Calibri"/>
                <w:sz w:val="28"/>
                <w:szCs w:val="28"/>
              </w:rPr>
            </w:pPr>
            <w:r>
              <w:rPr>
                <w:rFonts w:eastAsia="Calibri"/>
                <w:sz w:val="28"/>
                <w:szCs w:val="28"/>
              </w:rPr>
              <w:t>150</w:t>
            </w:r>
          </w:p>
        </w:tc>
      </w:tr>
      <w:tr w:rsidR="003B2804" w14:paraId="455F069E" w14:textId="77777777">
        <w:tc>
          <w:tcPr>
            <w:tcW w:w="561" w:type="dxa"/>
          </w:tcPr>
          <w:p w14:paraId="353D6D49" w14:textId="77777777" w:rsidR="003B2804" w:rsidRDefault="00000000">
            <w:pPr>
              <w:jc w:val="both"/>
              <w:rPr>
                <w:rFonts w:eastAsia="Calibri"/>
                <w:sz w:val="28"/>
                <w:szCs w:val="28"/>
              </w:rPr>
            </w:pPr>
            <w:r>
              <w:rPr>
                <w:rFonts w:eastAsia="Calibri"/>
                <w:sz w:val="28"/>
                <w:szCs w:val="28"/>
              </w:rPr>
              <w:t>3</w:t>
            </w:r>
          </w:p>
        </w:tc>
        <w:tc>
          <w:tcPr>
            <w:tcW w:w="6237" w:type="dxa"/>
          </w:tcPr>
          <w:p w14:paraId="1096580C" w14:textId="1D11AAC5" w:rsidR="003B2804" w:rsidRDefault="00000000">
            <w:pPr>
              <w:jc w:val="both"/>
              <w:rPr>
                <w:rFonts w:eastAsia="Calibri"/>
                <w:sz w:val="28"/>
                <w:szCs w:val="28"/>
              </w:rPr>
            </w:pPr>
            <w:r>
              <w:rPr>
                <w:rFonts w:eastAsia="Calibri"/>
                <w:sz w:val="28"/>
                <w:szCs w:val="28"/>
              </w:rPr>
              <w:t xml:space="preserve">Оплата праці обслуговуючого персоналу </w:t>
            </w:r>
            <w:r w:rsidR="008E0D37">
              <w:rPr>
                <w:rFonts w:eastAsia="Calibri"/>
                <w:sz w:val="28"/>
                <w:szCs w:val="28"/>
              </w:rPr>
              <w:t xml:space="preserve">                        </w:t>
            </w:r>
            <w:r>
              <w:rPr>
                <w:rFonts w:eastAsia="Calibri"/>
                <w:sz w:val="28"/>
                <w:szCs w:val="28"/>
              </w:rPr>
              <w:t>(3–4</w:t>
            </w:r>
            <w:r w:rsidR="008E0D37">
              <w:rPr>
                <w:rFonts w:eastAsia="Calibri"/>
                <w:sz w:val="28"/>
                <w:szCs w:val="28"/>
              </w:rPr>
              <w:t> </w:t>
            </w:r>
            <w:r>
              <w:rPr>
                <w:rFonts w:eastAsia="Calibri"/>
                <w:sz w:val="28"/>
                <w:szCs w:val="28"/>
              </w:rPr>
              <w:t>особи</w:t>
            </w:r>
          </w:p>
        </w:tc>
        <w:tc>
          <w:tcPr>
            <w:tcW w:w="2546" w:type="dxa"/>
            <w:vAlign w:val="center"/>
          </w:tcPr>
          <w:p w14:paraId="72BC859F" w14:textId="77777777" w:rsidR="003B2804" w:rsidRDefault="00000000">
            <w:pPr>
              <w:jc w:val="center"/>
              <w:rPr>
                <w:rFonts w:eastAsia="Calibri"/>
                <w:sz w:val="28"/>
                <w:szCs w:val="28"/>
              </w:rPr>
            </w:pPr>
            <w:r>
              <w:rPr>
                <w:rFonts w:eastAsia="Calibri"/>
                <w:sz w:val="28"/>
                <w:szCs w:val="28"/>
              </w:rPr>
              <w:t>300</w:t>
            </w:r>
          </w:p>
        </w:tc>
      </w:tr>
      <w:tr w:rsidR="003B2804" w14:paraId="5764C563" w14:textId="77777777">
        <w:tc>
          <w:tcPr>
            <w:tcW w:w="561" w:type="dxa"/>
          </w:tcPr>
          <w:p w14:paraId="698DBDED" w14:textId="77777777" w:rsidR="003B2804" w:rsidRDefault="00000000">
            <w:pPr>
              <w:jc w:val="both"/>
              <w:rPr>
                <w:rFonts w:eastAsia="Calibri"/>
                <w:sz w:val="28"/>
                <w:szCs w:val="28"/>
              </w:rPr>
            </w:pPr>
            <w:r>
              <w:rPr>
                <w:rFonts w:eastAsia="Calibri"/>
                <w:sz w:val="28"/>
                <w:szCs w:val="28"/>
              </w:rPr>
              <w:t>4</w:t>
            </w:r>
          </w:p>
        </w:tc>
        <w:tc>
          <w:tcPr>
            <w:tcW w:w="6237" w:type="dxa"/>
          </w:tcPr>
          <w:p w14:paraId="7DBC27D4" w14:textId="77777777" w:rsidR="003B2804" w:rsidRDefault="00000000">
            <w:pPr>
              <w:jc w:val="both"/>
              <w:rPr>
                <w:rFonts w:eastAsia="Calibri"/>
                <w:sz w:val="28"/>
                <w:szCs w:val="28"/>
              </w:rPr>
            </w:pPr>
            <w:r>
              <w:rPr>
                <w:rFonts w:eastAsia="Calibri"/>
                <w:sz w:val="28"/>
                <w:szCs w:val="28"/>
              </w:rPr>
              <w:t>Комунальні послуги, вода, каналізація, охорона</w:t>
            </w:r>
          </w:p>
        </w:tc>
        <w:tc>
          <w:tcPr>
            <w:tcW w:w="2546" w:type="dxa"/>
            <w:vAlign w:val="center"/>
          </w:tcPr>
          <w:p w14:paraId="3650DE16" w14:textId="77777777" w:rsidR="003B2804" w:rsidRDefault="00000000">
            <w:pPr>
              <w:jc w:val="center"/>
              <w:rPr>
                <w:rFonts w:eastAsia="Calibri"/>
                <w:sz w:val="28"/>
                <w:szCs w:val="28"/>
              </w:rPr>
            </w:pPr>
            <w:r>
              <w:rPr>
                <w:rFonts w:eastAsia="Calibri"/>
                <w:sz w:val="28"/>
                <w:szCs w:val="28"/>
              </w:rPr>
              <w:t>150</w:t>
            </w:r>
          </w:p>
        </w:tc>
      </w:tr>
      <w:tr w:rsidR="003B2804" w14:paraId="2AB910DC" w14:textId="77777777">
        <w:tc>
          <w:tcPr>
            <w:tcW w:w="561" w:type="dxa"/>
          </w:tcPr>
          <w:p w14:paraId="4FF5472C" w14:textId="77777777" w:rsidR="003B2804" w:rsidRDefault="00000000">
            <w:pPr>
              <w:jc w:val="both"/>
              <w:rPr>
                <w:rFonts w:eastAsia="Calibri"/>
                <w:sz w:val="28"/>
                <w:szCs w:val="28"/>
              </w:rPr>
            </w:pPr>
            <w:r>
              <w:rPr>
                <w:rFonts w:eastAsia="Calibri"/>
                <w:sz w:val="28"/>
                <w:szCs w:val="28"/>
              </w:rPr>
              <w:t>5</w:t>
            </w:r>
          </w:p>
        </w:tc>
        <w:tc>
          <w:tcPr>
            <w:tcW w:w="6237" w:type="dxa"/>
          </w:tcPr>
          <w:p w14:paraId="0FB84585" w14:textId="77777777" w:rsidR="003B2804" w:rsidRDefault="00000000">
            <w:pPr>
              <w:jc w:val="both"/>
              <w:rPr>
                <w:rFonts w:eastAsia="Calibri"/>
                <w:sz w:val="28"/>
                <w:szCs w:val="28"/>
              </w:rPr>
            </w:pPr>
            <w:r>
              <w:rPr>
                <w:rFonts w:eastAsia="Calibri"/>
                <w:sz w:val="28"/>
                <w:szCs w:val="28"/>
              </w:rPr>
              <w:t>Амортизаційні відрахування, податки, страхування</w:t>
            </w:r>
          </w:p>
        </w:tc>
        <w:tc>
          <w:tcPr>
            <w:tcW w:w="2546" w:type="dxa"/>
            <w:vAlign w:val="center"/>
          </w:tcPr>
          <w:p w14:paraId="2B4FAD53" w14:textId="77777777" w:rsidR="003B2804" w:rsidRDefault="00000000">
            <w:pPr>
              <w:jc w:val="center"/>
              <w:rPr>
                <w:rFonts w:eastAsia="Calibri"/>
                <w:sz w:val="28"/>
                <w:szCs w:val="28"/>
              </w:rPr>
            </w:pPr>
            <w:r>
              <w:rPr>
                <w:rFonts w:eastAsia="Calibri"/>
                <w:sz w:val="28"/>
                <w:szCs w:val="28"/>
              </w:rPr>
              <w:t>200</w:t>
            </w:r>
          </w:p>
        </w:tc>
      </w:tr>
      <w:tr w:rsidR="003B2804" w14:paraId="7057897D" w14:textId="77777777">
        <w:tc>
          <w:tcPr>
            <w:tcW w:w="6798" w:type="dxa"/>
            <w:gridSpan w:val="2"/>
          </w:tcPr>
          <w:p w14:paraId="18C89B3F" w14:textId="77777777" w:rsidR="003B2804" w:rsidRDefault="00000000">
            <w:pPr>
              <w:jc w:val="both"/>
              <w:rPr>
                <w:rFonts w:eastAsia="Calibri"/>
                <w:b/>
                <w:bCs/>
                <w:sz w:val="28"/>
                <w:szCs w:val="28"/>
              </w:rPr>
            </w:pPr>
            <w:r>
              <w:rPr>
                <w:rFonts w:eastAsia="Calibri"/>
                <w:b/>
                <w:bCs/>
                <w:sz w:val="28"/>
                <w:szCs w:val="28"/>
              </w:rPr>
              <w:t>Разом</w:t>
            </w:r>
          </w:p>
        </w:tc>
        <w:tc>
          <w:tcPr>
            <w:tcW w:w="2546" w:type="dxa"/>
          </w:tcPr>
          <w:p w14:paraId="62F872C3" w14:textId="77777777" w:rsidR="003B2804" w:rsidRDefault="00000000">
            <w:pPr>
              <w:jc w:val="center"/>
              <w:rPr>
                <w:rFonts w:eastAsia="Calibri"/>
                <w:b/>
                <w:bCs/>
                <w:sz w:val="28"/>
                <w:szCs w:val="28"/>
              </w:rPr>
            </w:pPr>
            <w:r>
              <w:rPr>
                <w:rFonts w:eastAsia="Calibri"/>
                <w:b/>
                <w:bCs/>
                <w:sz w:val="28"/>
                <w:szCs w:val="28"/>
              </w:rPr>
              <w:t>1050</w:t>
            </w:r>
          </w:p>
        </w:tc>
      </w:tr>
    </w:tbl>
    <w:p w14:paraId="214AD6E4" w14:textId="77777777" w:rsidR="008E0D37" w:rsidRDefault="008E0D37" w:rsidP="00725878">
      <w:pPr>
        <w:ind w:firstLine="567"/>
        <w:jc w:val="both"/>
        <w:rPr>
          <w:sz w:val="28"/>
          <w:szCs w:val="28"/>
        </w:rPr>
      </w:pPr>
    </w:p>
    <w:p w14:paraId="69427AC4" w14:textId="3017EF7A" w:rsidR="003B2804" w:rsidRDefault="00000000" w:rsidP="00725878">
      <w:pPr>
        <w:ind w:firstLine="567"/>
        <w:jc w:val="both"/>
        <w:rPr>
          <w:sz w:val="28"/>
          <w:szCs w:val="28"/>
        </w:rPr>
      </w:pPr>
      <w:r>
        <w:rPr>
          <w:sz w:val="28"/>
          <w:szCs w:val="28"/>
        </w:rPr>
        <w:t>Витрати можуть бути оптимізовані завдяки застосуванню енергоефективних технологій (LED-освітлення, системи автоматичного вимкнення світла, дренаж із повторним використанням води тощо).</w:t>
      </w:r>
    </w:p>
    <w:p w14:paraId="366CA2DF" w14:textId="77777777" w:rsidR="003B2804" w:rsidRDefault="00000000" w:rsidP="00725878">
      <w:pPr>
        <w:ind w:firstLine="567"/>
        <w:jc w:val="both"/>
        <w:rPr>
          <w:sz w:val="28"/>
          <w:szCs w:val="28"/>
        </w:rPr>
      </w:pPr>
      <w:r>
        <w:rPr>
          <w:sz w:val="28"/>
          <w:szCs w:val="28"/>
        </w:rPr>
        <w:t>Витрати на утримання стадіону можуть покриватися за рахунок:</w:t>
      </w:r>
    </w:p>
    <w:p w14:paraId="00B10D8C" w14:textId="77777777" w:rsidR="003B2804" w:rsidRDefault="00000000" w:rsidP="00725878">
      <w:pPr>
        <w:ind w:firstLine="567"/>
        <w:jc w:val="both"/>
        <w:rPr>
          <w:sz w:val="28"/>
          <w:szCs w:val="28"/>
        </w:rPr>
      </w:pPr>
      <w:r>
        <w:rPr>
          <w:sz w:val="28"/>
          <w:szCs w:val="28"/>
        </w:rPr>
        <w:t>надходжень від оренди майданчика для тренувань і матчів;</w:t>
      </w:r>
    </w:p>
    <w:p w14:paraId="236160BE" w14:textId="77777777" w:rsidR="003B2804" w:rsidRDefault="00000000" w:rsidP="00725878">
      <w:pPr>
        <w:ind w:firstLine="567"/>
        <w:jc w:val="both"/>
        <w:rPr>
          <w:sz w:val="28"/>
          <w:szCs w:val="28"/>
        </w:rPr>
      </w:pPr>
      <w:r>
        <w:rPr>
          <w:sz w:val="28"/>
          <w:szCs w:val="28"/>
        </w:rPr>
        <w:t>проведення змагань, турнірів і спортивних подій з платним входом;</w:t>
      </w:r>
    </w:p>
    <w:p w14:paraId="69C92B4B" w14:textId="77777777" w:rsidR="003B2804" w:rsidRDefault="00000000" w:rsidP="00725878">
      <w:pPr>
        <w:ind w:firstLine="567"/>
        <w:jc w:val="both"/>
        <w:rPr>
          <w:sz w:val="28"/>
          <w:szCs w:val="28"/>
        </w:rPr>
      </w:pPr>
      <w:r>
        <w:rPr>
          <w:sz w:val="28"/>
          <w:szCs w:val="28"/>
        </w:rPr>
        <w:t>реклами, спонсорства, партнерських заходів;</w:t>
      </w:r>
    </w:p>
    <w:p w14:paraId="658ED285" w14:textId="77777777" w:rsidR="003B2804" w:rsidRDefault="00000000" w:rsidP="00725878">
      <w:pPr>
        <w:ind w:firstLine="567"/>
        <w:jc w:val="both"/>
        <w:rPr>
          <w:sz w:val="28"/>
          <w:szCs w:val="28"/>
        </w:rPr>
      </w:pPr>
      <w:r>
        <w:rPr>
          <w:sz w:val="28"/>
          <w:szCs w:val="28"/>
        </w:rPr>
        <w:t>доходів від надання супутніх послуг (кафе, фітнес-зона, оренда залів для подій);</w:t>
      </w:r>
    </w:p>
    <w:p w14:paraId="332F1AA0" w14:textId="77777777" w:rsidR="003B2804" w:rsidRDefault="00000000" w:rsidP="00725878">
      <w:pPr>
        <w:ind w:firstLine="567"/>
        <w:jc w:val="both"/>
        <w:rPr>
          <w:sz w:val="28"/>
          <w:szCs w:val="28"/>
        </w:rPr>
      </w:pPr>
      <w:r>
        <w:rPr>
          <w:sz w:val="28"/>
          <w:szCs w:val="28"/>
        </w:rPr>
        <w:t>співфінансування програм міської ради у сфері спорту (наприклад, тренування школярів на безоплатній основі у певні години).</w:t>
      </w:r>
    </w:p>
    <w:p w14:paraId="311D2B97" w14:textId="1950C81A" w:rsidR="003B2804" w:rsidRDefault="00000000" w:rsidP="00725878">
      <w:pPr>
        <w:ind w:firstLine="567"/>
        <w:jc w:val="both"/>
        <w:rPr>
          <w:sz w:val="28"/>
          <w:szCs w:val="28"/>
        </w:rPr>
      </w:pPr>
      <w:r>
        <w:rPr>
          <w:sz w:val="28"/>
          <w:szCs w:val="28"/>
        </w:rPr>
        <w:t xml:space="preserve">За умови щорічного доходу від використання об’єкта на рівні </w:t>
      </w:r>
      <w:r w:rsidR="008E0D37">
        <w:rPr>
          <w:sz w:val="28"/>
          <w:szCs w:val="28"/>
        </w:rPr>
        <w:t xml:space="preserve">                               </w:t>
      </w:r>
      <w:r>
        <w:rPr>
          <w:sz w:val="28"/>
          <w:szCs w:val="28"/>
        </w:rPr>
        <w:t>1,5–1,8 млн грн (при 70–80% завантаженні) приватний партнер матиме можливість:</w:t>
      </w:r>
    </w:p>
    <w:p w14:paraId="471E13ED" w14:textId="77777777" w:rsidR="003B2804" w:rsidRDefault="00000000" w:rsidP="00725878">
      <w:pPr>
        <w:ind w:firstLine="567"/>
        <w:jc w:val="both"/>
        <w:rPr>
          <w:sz w:val="28"/>
          <w:szCs w:val="28"/>
        </w:rPr>
      </w:pPr>
      <w:r>
        <w:rPr>
          <w:sz w:val="28"/>
          <w:szCs w:val="28"/>
        </w:rPr>
        <w:t>повністю покривати експлуатаційні витрати;</w:t>
      </w:r>
    </w:p>
    <w:p w14:paraId="67EF3D4B" w14:textId="77777777" w:rsidR="003B2804" w:rsidRDefault="00000000" w:rsidP="00725878">
      <w:pPr>
        <w:ind w:firstLine="567"/>
        <w:jc w:val="both"/>
        <w:rPr>
          <w:sz w:val="28"/>
          <w:szCs w:val="28"/>
        </w:rPr>
      </w:pPr>
      <w:r>
        <w:rPr>
          <w:sz w:val="28"/>
          <w:szCs w:val="28"/>
        </w:rPr>
        <w:t>забезпечити окупність інвестицій протягом 8–10 років;</w:t>
      </w:r>
    </w:p>
    <w:p w14:paraId="600F4A0D" w14:textId="77777777" w:rsidR="003B2804" w:rsidRDefault="00000000" w:rsidP="00725878">
      <w:pPr>
        <w:ind w:firstLine="567"/>
        <w:jc w:val="both"/>
        <w:rPr>
          <w:sz w:val="28"/>
          <w:szCs w:val="28"/>
        </w:rPr>
      </w:pPr>
      <w:r>
        <w:rPr>
          <w:sz w:val="28"/>
          <w:szCs w:val="28"/>
        </w:rPr>
        <w:t>підтримувати належний технічний стан стадіону протягом усього періоду дії договору ППП.</w:t>
      </w:r>
    </w:p>
    <w:p w14:paraId="4598AC77" w14:textId="5998936C" w:rsidR="003B2804" w:rsidRDefault="00000000" w:rsidP="00725878">
      <w:pPr>
        <w:ind w:firstLine="567"/>
        <w:jc w:val="both"/>
        <w:rPr>
          <w:sz w:val="28"/>
          <w:szCs w:val="28"/>
        </w:rPr>
      </w:pPr>
      <w:r>
        <w:rPr>
          <w:sz w:val="28"/>
          <w:szCs w:val="28"/>
        </w:rPr>
        <w:t xml:space="preserve">Виходячи з зазначеного </w:t>
      </w:r>
      <w:r w:rsidR="00C203C1">
        <w:rPr>
          <w:sz w:val="28"/>
          <w:szCs w:val="28"/>
        </w:rPr>
        <w:t xml:space="preserve">вище </w:t>
      </w:r>
      <w:r>
        <w:rPr>
          <w:sz w:val="28"/>
          <w:szCs w:val="28"/>
        </w:rPr>
        <w:t xml:space="preserve">можна стверджувати, що загальний обсяг інвестицій, необхідних для реалізації </w:t>
      </w:r>
      <w:proofErr w:type="spellStart"/>
      <w:r>
        <w:rPr>
          <w:sz w:val="28"/>
          <w:szCs w:val="28"/>
        </w:rPr>
        <w:t>проєкту</w:t>
      </w:r>
      <w:proofErr w:type="spellEnd"/>
      <w:r>
        <w:rPr>
          <w:sz w:val="28"/>
          <w:szCs w:val="28"/>
        </w:rPr>
        <w:t>, оцінюється у 10 млн грн, а щорічна потреба в утриманні — близько 1 млн грн. Залучення приватного партнера в рамках ППП дозволяє уникнути бюджетних витрат, забезпечити довгострокову експлуатацію об’єкта та створити фінансово збалансовану модель, яка поєднує комерційну стійкість із соціальною користю.</w:t>
      </w:r>
    </w:p>
    <w:p w14:paraId="31525700" w14:textId="77777777" w:rsidR="003B2804" w:rsidRDefault="003B2804">
      <w:pPr>
        <w:ind w:firstLine="709"/>
        <w:jc w:val="both"/>
        <w:rPr>
          <w:b/>
          <w:sz w:val="28"/>
          <w:szCs w:val="28"/>
        </w:rPr>
      </w:pPr>
    </w:p>
    <w:p w14:paraId="1B385091" w14:textId="77777777" w:rsidR="00725878" w:rsidRDefault="00000000" w:rsidP="00725878">
      <w:pPr>
        <w:ind w:firstLine="567"/>
        <w:jc w:val="both"/>
        <w:rPr>
          <w:b/>
          <w:sz w:val="28"/>
          <w:szCs w:val="28"/>
        </w:rPr>
      </w:pPr>
      <w:r>
        <w:rPr>
          <w:b/>
          <w:sz w:val="28"/>
          <w:szCs w:val="28"/>
        </w:rPr>
        <w:t xml:space="preserve">6. Результати попереднього аналізу ефективності реалізації </w:t>
      </w:r>
      <w:proofErr w:type="spellStart"/>
      <w:r>
        <w:rPr>
          <w:b/>
          <w:sz w:val="28"/>
          <w:szCs w:val="28"/>
        </w:rPr>
        <w:t>проєкту</w:t>
      </w:r>
      <w:proofErr w:type="spellEnd"/>
    </w:p>
    <w:p w14:paraId="47E53E40" w14:textId="77777777" w:rsidR="00725878" w:rsidRDefault="00000000" w:rsidP="00725878">
      <w:pPr>
        <w:ind w:firstLine="567"/>
        <w:jc w:val="both"/>
        <w:rPr>
          <w:sz w:val="28"/>
          <w:szCs w:val="28"/>
        </w:rPr>
      </w:pPr>
      <w:r>
        <w:rPr>
          <w:sz w:val="28"/>
          <w:szCs w:val="28"/>
        </w:rPr>
        <w:t xml:space="preserve">Попередній аналіз ефективності здійснювався з метою оцінки доцільності реалізації </w:t>
      </w:r>
      <w:proofErr w:type="spellStart"/>
      <w:r>
        <w:rPr>
          <w:sz w:val="28"/>
          <w:szCs w:val="28"/>
        </w:rPr>
        <w:t>проєкту</w:t>
      </w:r>
      <w:proofErr w:type="spellEnd"/>
      <w:r>
        <w:rPr>
          <w:sz w:val="28"/>
          <w:szCs w:val="28"/>
        </w:rPr>
        <w:t xml:space="preserve"> на засадах публічно-приватного партнерства та визначення соціально-економічних переваг для громади в порівнянні з альтернативними варіантами.</w:t>
      </w:r>
    </w:p>
    <w:p w14:paraId="50C25173" w14:textId="77777777" w:rsidR="00165551" w:rsidRDefault="00000000" w:rsidP="00165551">
      <w:pPr>
        <w:ind w:firstLine="567"/>
        <w:jc w:val="both"/>
        <w:rPr>
          <w:sz w:val="28"/>
          <w:szCs w:val="28"/>
        </w:rPr>
      </w:pPr>
      <w:r>
        <w:rPr>
          <w:sz w:val="28"/>
          <w:szCs w:val="28"/>
        </w:rPr>
        <w:lastRenderedPageBreak/>
        <w:t>Оцінювання проводилось за групами критеріїв: економічна ефективність (вартість, окупність, дохідність, оптимізація ресурсів), бюджетна ефективність (зменшення навантаження на місцевий бюджет, формування доходів громади), соціальна ефективність (доступність послуг, користь для населення, інклюзія), інституційна ефективність (механізм реалізації, розподіл ролей і ризиків)</w:t>
      </w:r>
      <w:r w:rsidR="00C203C1">
        <w:rPr>
          <w:sz w:val="28"/>
          <w:szCs w:val="28"/>
        </w:rPr>
        <w:t>,</w:t>
      </w:r>
      <w:r>
        <w:rPr>
          <w:sz w:val="28"/>
          <w:szCs w:val="28"/>
        </w:rPr>
        <w:t xml:space="preserve"> екологічна ефективність.</w:t>
      </w:r>
    </w:p>
    <w:p w14:paraId="72A9891C" w14:textId="202C236B" w:rsidR="00165551" w:rsidRDefault="00000000" w:rsidP="00165551">
      <w:pPr>
        <w:ind w:firstLine="567"/>
        <w:jc w:val="both"/>
        <w:rPr>
          <w:sz w:val="28"/>
          <w:szCs w:val="28"/>
        </w:rPr>
      </w:pPr>
      <w:r>
        <w:rPr>
          <w:i/>
          <w:iCs/>
          <w:sz w:val="28"/>
          <w:szCs w:val="28"/>
        </w:rPr>
        <w:t>Економічна ефективність</w:t>
      </w:r>
    </w:p>
    <w:p w14:paraId="5E253B33" w14:textId="77777777" w:rsidR="00165551" w:rsidRDefault="00000000" w:rsidP="00165551">
      <w:pPr>
        <w:ind w:firstLine="567"/>
        <w:jc w:val="both"/>
        <w:rPr>
          <w:sz w:val="28"/>
          <w:szCs w:val="28"/>
        </w:rPr>
      </w:pPr>
      <w:r>
        <w:rPr>
          <w:sz w:val="28"/>
          <w:szCs w:val="28"/>
        </w:rPr>
        <w:t>Обсяг інвестицій у розмірі 10 млн грн повністю забезпечується приватним партнером, що виключає потребу у фінансуванні з місцевого бюджету.</w:t>
      </w:r>
    </w:p>
    <w:p w14:paraId="7BB2AFEA" w14:textId="77777777" w:rsidR="00165551" w:rsidRDefault="00000000" w:rsidP="00165551">
      <w:pPr>
        <w:ind w:firstLine="567"/>
        <w:jc w:val="both"/>
        <w:rPr>
          <w:sz w:val="28"/>
          <w:szCs w:val="28"/>
        </w:rPr>
      </w:pPr>
      <w:r>
        <w:rPr>
          <w:sz w:val="28"/>
          <w:szCs w:val="28"/>
        </w:rPr>
        <w:t>Завдяки використанню сучасних матеріалів (штучне покриття, LED-освітлення, енергоощадні системи) очікується зниження експлуатаційних витрат на 20–25% порівняно з традиційними рішеннями.</w:t>
      </w:r>
    </w:p>
    <w:p w14:paraId="6AF82B41" w14:textId="77777777" w:rsidR="00165551" w:rsidRDefault="00000000" w:rsidP="00165551">
      <w:pPr>
        <w:ind w:firstLine="567"/>
        <w:jc w:val="both"/>
        <w:rPr>
          <w:sz w:val="28"/>
          <w:szCs w:val="28"/>
        </w:rPr>
      </w:pPr>
      <w:r>
        <w:rPr>
          <w:sz w:val="28"/>
          <w:szCs w:val="28"/>
        </w:rPr>
        <w:t xml:space="preserve">Очікуваний обсяг надходжень від оренди та використання стадіону </w:t>
      </w:r>
      <w:r w:rsidR="00C203C1">
        <w:rPr>
          <w:sz w:val="28"/>
          <w:szCs w:val="28"/>
        </w:rPr>
        <w:t>–</w:t>
      </w:r>
      <w:r>
        <w:rPr>
          <w:sz w:val="28"/>
          <w:szCs w:val="28"/>
        </w:rPr>
        <w:t xml:space="preserve"> 1,5–1,8 млн грн на рік, що забезпечує повне покриття експлуатаційних витрат </w:t>
      </w:r>
      <w:r w:rsidR="00C203C1">
        <w:rPr>
          <w:sz w:val="28"/>
          <w:szCs w:val="28"/>
        </w:rPr>
        <w:t xml:space="preserve">                </w:t>
      </w:r>
      <w:r>
        <w:rPr>
          <w:sz w:val="28"/>
          <w:szCs w:val="28"/>
        </w:rPr>
        <w:t>(≈1 млн грн/рік) і створює стійку фінансову модель експлуатації.</w:t>
      </w:r>
    </w:p>
    <w:p w14:paraId="35D8CF6E" w14:textId="77777777" w:rsidR="00165551" w:rsidRDefault="00000000" w:rsidP="00165551">
      <w:pPr>
        <w:ind w:firstLine="567"/>
        <w:jc w:val="both"/>
        <w:rPr>
          <w:sz w:val="28"/>
          <w:szCs w:val="28"/>
        </w:rPr>
      </w:pPr>
      <w:r>
        <w:rPr>
          <w:sz w:val="28"/>
          <w:szCs w:val="28"/>
        </w:rPr>
        <w:t>Строк окупності інвестицій приватного партнера прогнозується на рівні 8–10 років за умов середнього завантаження об’єкта 75%.</w:t>
      </w:r>
    </w:p>
    <w:p w14:paraId="17E9876C" w14:textId="77777777" w:rsidR="00165551" w:rsidRDefault="00000000" w:rsidP="00165551">
      <w:pPr>
        <w:ind w:firstLine="567"/>
        <w:jc w:val="both"/>
        <w:rPr>
          <w:sz w:val="28"/>
          <w:szCs w:val="28"/>
        </w:rPr>
      </w:pPr>
      <w:r>
        <w:rPr>
          <w:sz w:val="28"/>
          <w:szCs w:val="28"/>
        </w:rPr>
        <w:t>Економічний ефект для громади полягає у зростанні вартості прилеглих земельних ділянок, створенні нових робочих місць (5–7 постійних, близько 30</w:t>
      </w:r>
      <w:r w:rsidR="00C203C1">
        <w:rPr>
          <w:sz w:val="28"/>
          <w:szCs w:val="28"/>
        </w:rPr>
        <w:t> </w:t>
      </w:r>
      <w:r>
        <w:rPr>
          <w:sz w:val="28"/>
          <w:szCs w:val="28"/>
        </w:rPr>
        <w:t>тимчасових під час будівництва) та збільшенні податкових надходжень.</w:t>
      </w:r>
    </w:p>
    <w:p w14:paraId="3D8DF057" w14:textId="6681E49C" w:rsidR="00165551" w:rsidRDefault="00000000" w:rsidP="00165551">
      <w:pPr>
        <w:ind w:firstLine="567"/>
        <w:jc w:val="both"/>
        <w:rPr>
          <w:i/>
          <w:iCs/>
          <w:sz w:val="28"/>
          <w:szCs w:val="28"/>
        </w:rPr>
      </w:pPr>
      <w:r>
        <w:rPr>
          <w:i/>
          <w:iCs/>
          <w:sz w:val="28"/>
          <w:szCs w:val="28"/>
        </w:rPr>
        <w:t>Бюджетна ефективність</w:t>
      </w:r>
    </w:p>
    <w:p w14:paraId="1B71E679" w14:textId="77777777" w:rsidR="00165551" w:rsidRDefault="00000000" w:rsidP="00165551">
      <w:pPr>
        <w:ind w:firstLine="567"/>
        <w:jc w:val="both"/>
        <w:rPr>
          <w:sz w:val="28"/>
          <w:szCs w:val="28"/>
        </w:rPr>
      </w:pPr>
      <w:proofErr w:type="spellStart"/>
      <w:r>
        <w:rPr>
          <w:sz w:val="28"/>
          <w:szCs w:val="28"/>
        </w:rPr>
        <w:t>Проєкт</w:t>
      </w:r>
      <w:proofErr w:type="spellEnd"/>
      <w:r>
        <w:rPr>
          <w:sz w:val="28"/>
          <w:szCs w:val="28"/>
        </w:rPr>
        <w:t xml:space="preserve"> не потребує бюджетного співфінансування, а отже, не створює боргових зобов’язань для громади. Водночас громада отримує новий об’єкт соціальної інфраструктури у власність після закінчення строку партнерства або за умов, визначених договором. Крім того, опосередковані вигоди включають: зростання надходжень до бюджету від оренди землі та податку на доходи фізичних осіб; формування доданої вартості в громаді через розвиток малого бізнесу (торгівля, обслуговування, спортивні послуги).</w:t>
      </w:r>
    </w:p>
    <w:p w14:paraId="6DDA067E" w14:textId="77777777" w:rsidR="00165551" w:rsidRDefault="00000000" w:rsidP="00165551">
      <w:pPr>
        <w:ind w:firstLine="567"/>
        <w:jc w:val="both"/>
        <w:rPr>
          <w:sz w:val="28"/>
          <w:szCs w:val="28"/>
        </w:rPr>
      </w:pPr>
      <w:r>
        <w:rPr>
          <w:sz w:val="28"/>
          <w:szCs w:val="28"/>
        </w:rPr>
        <w:t>Чиста приведена вартість для громади (NPV) є позитивною, оскільки сукупні соціальні й економічні вигоди перевищують можливі адміністративні витрати на супровід договору.</w:t>
      </w:r>
    </w:p>
    <w:p w14:paraId="10A28C69" w14:textId="630589BC" w:rsidR="00165551" w:rsidRDefault="00000000" w:rsidP="00165551">
      <w:pPr>
        <w:ind w:firstLine="567"/>
        <w:jc w:val="both"/>
        <w:rPr>
          <w:i/>
          <w:iCs/>
          <w:sz w:val="28"/>
          <w:szCs w:val="28"/>
        </w:rPr>
      </w:pPr>
      <w:r>
        <w:rPr>
          <w:i/>
          <w:iCs/>
          <w:sz w:val="28"/>
          <w:szCs w:val="28"/>
        </w:rPr>
        <w:t>Соціальна ефективність</w:t>
      </w:r>
    </w:p>
    <w:p w14:paraId="7D6C6F1B" w14:textId="77777777" w:rsidR="00165551" w:rsidRDefault="00000000" w:rsidP="00165551">
      <w:pPr>
        <w:ind w:firstLine="567"/>
        <w:jc w:val="both"/>
        <w:rPr>
          <w:sz w:val="28"/>
          <w:szCs w:val="28"/>
        </w:rPr>
      </w:pPr>
      <w:r>
        <w:rPr>
          <w:sz w:val="28"/>
          <w:szCs w:val="28"/>
        </w:rPr>
        <w:t>Очікується залучення понад 2 000 мешканців громади щорічно до занять фізичною культурою та спортом. Створення умов для тренувань дітей і молоді, у тому числі вихованців шкіл, дитсадків, ДЮСШ, а також осіб з інвалідністю.</w:t>
      </w:r>
    </w:p>
    <w:p w14:paraId="721BF4FF" w14:textId="77777777" w:rsidR="00165551" w:rsidRDefault="00000000" w:rsidP="00165551">
      <w:pPr>
        <w:ind w:firstLine="567"/>
        <w:jc w:val="both"/>
        <w:rPr>
          <w:sz w:val="28"/>
          <w:szCs w:val="28"/>
        </w:rPr>
      </w:pPr>
      <w:r>
        <w:rPr>
          <w:sz w:val="28"/>
          <w:szCs w:val="28"/>
        </w:rPr>
        <w:t xml:space="preserve">Стадіон стане центром спортивного життя мікрорайону </w:t>
      </w:r>
      <w:proofErr w:type="spellStart"/>
      <w:r>
        <w:rPr>
          <w:sz w:val="28"/>
          <w:szCs w:val="28"/>
        </w:rPr>
        <w:t>Теремнівський</w:t>
      </w:r>
      <w:proofErr w:type="spellEnd"/>
      <w:r>
        <w:rPr>
          <w:sz w:val="28"/>
          <w:szCs w:val="28"/>
        </w:rPr>
        <w:t xml:space="preserve"> та навколишніх громад, що підвищить рівень соціальної активності та згуртованості населення.</w:t>
      </w:r>
    </w:p>
    <w:p w14:paraId="0954AFC0" w14:textId="79986E10" w:rsidR="003B2804" w:rsidRDefault="00000000" w:rsidP="00165551">
      <w:pPr>
        <w:ind w:firstLine="567"/>
        <w:jc w:val="both"/>
        <w:rPr>
          <w:sz w:val="28"/>
          <w:szCs w:val="28"/>
        </w:rPr>
      </w:pPr>
      <w:proofErr w:type="spellStart"/>
      <w:r>
        <w:rPr>
          <w:sz w:val="28"/>
          <w:szCs w:val="28"/>
        </w:rPr>
        <w:t>Проєкт</w:t>
      </w:r>
      <w:proofErr w:type="spellEnd"/>
      <w:r>
        <w:rPr>
          <w:sz w:val="28"/>
          <w:szCs w:val="28"/>
        </w:rPr>
        <w:t xml:space="preserve"> забезпечить </w:t>
      </w:r>
      <w:proofErr w:type="spellStart"/>
      <w:r>
        <w:rPr>
          <w:sz w:val="28"/>
          <w:szCs w:val="28"/>
        </w:rPr>
        <w:t>інклюзивність</w:t>
      </w:r>
      <w:proofErr w:type="spellEnd"/>
      <w:r>
        <w:rPr>
          <w:sz w:val="28"/>
          <w:szCs w:val="28"/>
        </w:rPr>
        <w:t xml:space="preserve"> та </w:t>
      </w:r>
      <w:proofErr w:type="spellStart"/>
      <w:r>
        <w:rPr>
          <w:sz w:val="28"/>
          <w:szCs w:val="28"/>
        </w:rPr>
        <w:t>безбар’єрність</w:t>
      </w:r>
      <w:proofErr w:type="spellEnd"/>
      <w:r>
        <w:rPr>
          <w:sz w:val="28"/>
          <w:szCs w:val="28"/>
        </w:rPr>
        <w:t xml:space="preserve"> </w:t>
      </w:r>
      <w:r w:rsidR="00EB07F8">
        <w:rPr>
          <w:sz w:val="28"/>
          <w:szCs w:val="28"/>
        </w:rPr>
        <w:t>–</w:t>
      </w:r>
      <w:r>
        <w:rPr>
          <w:sz w:val="28"/>
          <w:szCs w:val="28"/>
        </w:rPr>
        <w:t xml:space="preserve"> повний доступ маломобільних груп, наявність адаптованих місць, пандусів, навігації.</w:t>
      </w:r>
    </w:p>
    <w:p w14:paraId="10E6FCB8" w14:textId="77777777"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lastRenderedPageBreak/>
        <w:t xml:space="preserve">Очікується зниження рівня підліткової </w:t>
      </w:r>
      <w:proofErr w:type="spellStart"/>
      <w:r>
        <w:rPr>
          <w:sz w:val="28"/>
          <w:szCs w:val="28"/>
          <w:lang w:eastAsia="ru-RU"/>
        </w:rPr>
        <w:t>девіації</w:t>
      </w:r>
      <w:proofErr w:type="spellEnd"/>
      <w:r>
        <w:rPr>
          <w:sz w:val="28"/>
          <w:szCs w:val="28"/>
          <w:lang w:eastAsia="ru-RU"/>
        </w:rPr>
        <w:t xml:space="preserve"> та асоціальної поведінки через активну зайнятість молоді у спортивних секціях.</w:t>
      </w:r>
    </w:p>
    <w:p w14:paraId="0879D984" w14:textId="77777777"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 xml:space="preserve">Таким чином, соціальна ефективність </w:t>
      </w:r>
      <w:proofErr w:type="spellStart"/>
      <w:r>
        <w:rPr>
          <w:sz w:val="28"/>
          <w:szCs w:val="28"/>
          <w:lang w:eastAsia="ru-RU"/>
        </w:rPr>
        <w:t>проєкту</w:t>
      </w:r>
      <w:proofErr w:type="spellEnd"/>
      <w:r>
        <w:rPr>
          <w:sz w:val="28"/>
          <w:szCs w:val="28"/>
          <w:lang w:eastAsia="ru-RU"/>
        </w:rPr>
        <w:t xml:space="preserve"> має високий ступінь суспільної значущості.</w:t>
      </w:r>
    </w:p>
    <w:p w14:paraId="459A590C" w14:textId="14AD9A4F" w:rsidR="003B2804" w:rsidRDefault="00000000" w:rsidP="00725878">
      <w:pPr>
        <w:pStyle w:val="rvps2"/>
        <w:shd w:val="clear" w:color="auto" w:fill="FFFFFF"/>
        <w:spacing w:before="280" w:after="280"/>
        <w:ind w:firstLine="567"/>
        <w:contextualSpacing/>
        <w:jc w:val="both"/>
        <w:rPr>
          <w:i/>
          <w:iCs/>
          <w:sz w:val="28"/>
          <w:szCs w:val="28"/>
          <w:lang w:eastAsia="ru-RU"/>
        </w:rPr>
      </w:pPr>
      <w:r>
        <w:rPr>
          <w:i/>
          <w:iCs/>
          <w:sz w:val="28"/>
          <w:szCs w:val="28"/>
          <w:lang w:eastAsia="ru-RU"/>
        </w:rPr>
        <w:t>Інституційна ефективність</w:t>
      </w:r>
    </w:p>
    <w:p w14:paraId="4D56EEC3" w14:textId="153F0C7A"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 xml:space="preserve">Луцька міська рада виступає ініціатором </w:t>
      </w:r>
      <w:proofErr w:type="spellStart"/>
      <w:r>
        <w:rPr>
          <w:sz w:val="28"/>
          <w:szCs w:val="28"/>
          <w:lang w:eastAsia="ru-RU"/>
        </w:rPr>
        <w:t>проєкту</w:t>
      </w:r>
      <w:proofErr w:type="spellEnd"/>
      <w:r>
        <w:rPr>
          <w:sz w:val="28"/>
          <w:szCs w:val="28"/>
          <w:lang w:eastAsia="ru-RU"/>
        </w:rPr>
        <w:t xml:space="preserve">, здійснює контроль за реалізацією, моніторинг виконання договору та дотримання соціальних стандартів. Приватний партнер бере на себе ризики будівництва, фінансування, технічного обслуговування та експлуатації об’єкта, що відповідає міжнародній практиці ППП. Угода про ППП передбачатиме чіткий розподіл відповідальності: громада </w:t>
      </w:r>
      <w:r w:rsidR="00EB3B1E">
        <w:rPr>
          <w:sz w:val="28"/>
          <w:szCs w:val="28"/>
          <w:lang w:eastAsia="ru-RU"/>
        </w:rPr>
        <w:t>–</w:t>
      </w:r>
      <w:r>
        <w:rPr>
          <w:sz w:val="28"/>
          <w:szCs w:val="28"/>
          <w:lang w:eastAsia="ru-RU"/>
        </w:rPr>
        <w:t xml:space="preserve"> за забезпечення земельної ділянки і стратегічний контроль, партнер </w:t>
      </w:r>
      <w:r w:rsidR="00EB3B1E">
        <w:rPr>
          <w:sz w:val="28"/>
          <w:szCs w:val="28"/>
          <w:lang w:eastAsia="ru-RU"/>
        </w:rPr>
        <w:t>–</w:t>
      </w:r>
      <w:r>
        <w:rPr>
          <w:sz w:val="28"/>
          <w:szCs w:val="28"/>
          <w:lang w:eastAsia="ru-RU"/>
        </w:rPr>
        <w:t xml:space="preserve"> за фінансування, якість робіт і утримання. Механізми управління реалізацією </w:t>
      </w:r>
      <w:proofErr w:type="spellStart"/>
      <w:r>
        <w:rPr>
          <w:sz w:val="28"/>
          <w:szCs w:val="28"/>
          <w:lang w:eastAsia="ru-RU"/>
        </w:rPr>
        <w:t>проєкту</w:t>
      </w:r>
      <w:proofErr w:type="spellEnd"/>
      <w:r>
        <w:rPr>
          <w:sz w:val="28"/>
          <w:szCs w:val="28"/>
          <w:lang w:eastAsia="ru-RU"/>
        </w:rPr>
        <w:t xml:space="preserve"> передбачають щорічний моніторинг показників ефективності, звітність партнера, контроль технічного стану об’єкта та якості послуг для населення.</w:t>
      </w:r>
    </w:p>
    <w:p w14:paraId="1B127AAB" w14:textId="77777777"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 xml:space="preserve">Такий інституційний баланс забезпечує стабільність реалізації </w:t>
      </w:r>
      <w:proofErr w:type="spellStart"/>
      <w:r>
        <w:rPr>
          <w:sz w:val="28"/>
          <w:szCs w:val="28"/>
          <w:lang w:eastAsia="ru-RU"/>
        </w:rPr>
        <w:t>проєкту</w:t>
      </w:r>
      <w:proofErr w:type="spellEnd"/>
      <w:r>
        <w:rPr>
          <w:sz w:val="28"/>
          <w:szCs w:val="28"/>
          <w:lang w:eastAsia="ru-RU"/>
        </w:rPr>
        <w:t xml:space="preserve"> та довіру з боку громади.</w:t>
      </w:r>
    </w:p>
    <w:p w14:paraId="2EF8C511" w14:textId="4018DB9B" w:rsidR="003B2804" w:rsidRDefault="00000000" w:rsidP="00725878">
      <w:pPr>
        <w:pStyle w:val="rvps2"/>
        <w:shd w:val="clear" w:color="auto" w:fill="FFFFFF"/>
        <w:spacing w:before="280" w:after="280"/>
        <w:ind w:firstLine="567"/>
        <w:contextualSpacing/>
        <w:jc w:val="both"/>
        <w:rPr>
          <w:i/>
          <w:iCs/>
          <w:sz w:val="28"/>
          <w:szCs w:val="28"/>
          <w:lang w:eastAsia="ru-RU"/>
        </w:rPr>
      </w:pPr>
      <w:r>
        <w:rPr>
          <w:i/>
          <w:iCs/>
          <w:sz w:val="28"/>
          <w:szCs w:val="28"/>
          <w:lang w:eastAsia="ru-RU"/>
        </w:rPr>
        <w:t>Екологічна та енергетична ефективність</w:t>
      </w:r>
    </w:p>
    <w:p w14:paraId="18ACF9F1" w14:textId="77777777"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Застосування енергоефективного освітлення (LED), автоматичного керування електроспоживанням і дренажних систем дозволить знизити експлуатаційні витрати та вплив на довкілля.</w:t>
      </w:r>
    </w:p>
    <w:p w14:paraId="3EFD4115" w14:textId="77777777"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Територія навколо стадіону буде озеленена (газони, дерева, декоративні насадження), що сприятиме формуванню рекреаційної зони в межах міста.</w:t>
      </w:r>
    </w:p>
    <w:p w14:paraId="14B694C1" w14:textId="77777777"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 xml:space="preserve">Штучне покриття матиме сертифікацію FIFA </w:t>
      </w:r>
      <w:proofErr w:type="spellStart"/>
      <w:r>
        <w:rPr>
          <w:sz w:val="28"/>
          <w:szCs w:val="28"/>
          <w:lang w:eastAsia="ru-RU"/>
        </w:rPr>
        <w:t>Quality</w:t>
      </w:r>
      <w:proofErr w:type="spellEnd"/>
      <w:r>
        <w:rPr>
          <w:sz w:val="28"/>
          <w:szCs w:val="28"/>
          <w:lang w:eastAsia="ru-RU"/>
        </w:rPr>
        <w:t>, що гарантує безпечність матеріалів і тривалий термін служби (10–12 років).</w:t>
      </w:r>
    </w:p>
    <w:p w14:paraId="3B756696" w14:textId="77777777" w:rsidR="003B2804" w:rsidRDefault="00000000" w:rsidP="00725878">
      <w:pPr>
        <w:pStyle w:val="rvps2"/>
        <w:shd w:val="clear" w:color="auto" w:fill="FFFFFF"/>
        <w:spacing w:before="280" w:after="280"/>
        <w:ind w:firstLine="567"/>
        <w:contextualSpacing/>
        <w:jc w:val="both"/>
        <w:rPr>
          <w:sz w:val="28"/>
          <w:szCs w:val="28"/>
          <w:lang w:eastAsia="ru-RU"/>
        </w:rPr>
      </w:pPr>
      <w:proofErr w:type="spellStart"/>
      <w:r>
        <w:rPr>
          <w:sz w:val="28"/>
          <w:szCs w:val="28"/>
          <w:lang w:eastAsia="ru-RU"/>
        </w:rPr>
        <w:t>Проєкт</w:t>
      </w:r>
      <w:proofErr w:type="spellEnd"/>
      <w:r>
        <w:rPr>
          <w:sz w:val="28"/>
          <w:szCs w:val="28"/>
          <w:lang w:eastAsia="ru-RU"/>
        </w:rPr>
        <w:t xml:space="preserve"> не створює негативного екологічного навантаження, не змінює гідрогеологічні умови території і не потребує утилізації шкідливих відходів.</w:t>
      </w:r>
    </w:p>
    <w:p w14:paraId="21ED645B" w14:textId="77777777"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 xml:space="preserve">Основні ризики, притаманні </w:t>
      </w:r>
      <w:proofErr w:type="spellStart"/>
      <w:r>
        <w:rPr>
          <w:sz w:val="28"/>
          <w:szCs w:val="28"/>
          <w:lang w:eastAsia="ru-RU"/>
        </w:rPr>
        <w:t>проєкту</w:t>
      </w:r>
      <w:proofErr w:type="spellEnd"/>
      <w:r>
        <w:rPr>
          <w:sz w:val="28"/>
          <w:szCs w:val="28"/>
          <w:lang w:eastAsia="ru-RU"/>
        </w:rPr>
        <w:t xml:space="preserve">: будівельні (затримка строків, зростання вартості матеріалів); фінансові (нестабільність валютного курсу, інфляція); операційні (недостатня завантаженість об’єкта, технічні </w:t>
      </w:r>
      <w:proofErr w:type="spellStart"/>
      <w:r>
        <w:rPr>
          <w:sz w:val="28"/>
          <w:szCs w:val="28"/>
          <w:lang w:eastAsia="ru-RU"/>
        </w:rPr>
        <w:t>збої</w:t>
      </w:r>
      <w:proofErr w:type="spellEnd"/>
      <w:r>
        <w:rPr>
          <w:sz w:val="28"/>
          <w:szCs w:val="28"/>
          <w:lang w:eastAsia="ru-RU"/>
        </w:rPr>
        <w:t xml:space="preserve">); соціальні (незадоволення умовами доступу, порушення </w:t>
      </w:r>
      <w:proofErr w:type="spellStart"/>
      <w:r>
        <w:rPr>
          <w:sz w:val="28"/>
          <w:szCs w:val="28"/>
          <w:lang w:eastAsia="ru-RU"/>
        </w:rPr>
        <w:t>інклюзивності</w:t>
      </w:r>
      <w:proofErr w:type="spellEnd"/>
      <w:r>
        <w:rPr>
          <w:sz w:val="28"/>
          <w:szCs w:val="28"/>
          <w:lang w:eastAsia="ru-RU"/>
        </w:rPr>
        <w:t>).</w:t>
      </w:r>
    </w:p>
    <w:p w14:paraId="2B2FC50F" w14:textId="77777777"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Для їх зниження передбачається: укладення договору ППП з чіткими ключовими показниками ефективності (KPI) щодо строків і якості; страхування об’єкта та відповідальності партнера; встановлення тарифної політики з фіксованими пільговими годинами для шкіл, секцій, соціальних груп тощо.</w:t>
      </w:r>
    </w:p>
    <w:p w14:paraId="62A7ADA9" w14:textId="4D82319E" w:rsidR="003B2804" w:rsidRDefault="00000000" w:rsidP="00725878">
      <w:pPr>
        <w:pStyle w:val="rvps2"/>
        <w:shd w:val="clear" w:color="auto" w:fill="FFFFFF"/>
        <w:spacing w:before="280" w:after="280"/>
        <w:ind w:firstLine="567"/>
        <w:contextualSpacing/>
        <w:jc w:val="both"/>
        <w:rPr>
          <w:sz w:val="28"/>
          <w:szCs w:val="28"/>
          <w:lang w:eastAsia="ru-RU"/>
        </w:rPr>
      </w:pPr>
      <w:r>
        <w:rPr>
          <w:sz w:val="28"/>
          <w:szCs w:val="28"/>
          <w:lang w:eastAsia="ru-RU"/>
        </w:rPr>
        <w:t xml:space="preserve">Таким чином, попередній аналіз ефективності показує, що </w:t>
      </w:r>
      <w:proofErr w:type="spellStart"/>
      <w:r>
        <w:rPr>
          <w:sz w:val="28"/>
          <w:szCs w:val="28"/>
          <w:lang w:eastAsia="ru-RU"/>
        </w:rPr>
        <w:t>проєкт</w:t>
      </w:r>
      <w:proofErr w:type="spellEnd"/>
      <w:r>
        <w:rPr>
          <w:sz w:val="28"/>
          <w:szCs w:val="28"/>
          <w:lang w:eastAsia="ru-RU"/>
        </w:rPr>
        <w:t xml:space="preserve"> є фінансово стійким, соціально значущим і інституційно здійсненним; його реалізація дозволяє уникнути бюджетних витрат, забезпечити якісну експлуатацію об’єкта протягом усього життєвого циклу. Варто також зауважити, що у випадку реалізації </w:t>
      </w:r>
      <w:proofErr w:type="spellStart"/>
      <w:r>
        <w:rPr>
          <w:sz w:val="28"/>
          <w:szCs w:val="28"/>
          <w:lang w:eastAsia="ru-RU"/>
        </w:rPr>
        <w:t>проєкту</w:t>
      </w:r>
      <w:proofErr w:type="spellEnd"/>
      <w:r>
        <w:rPr>
          <w:sz w:val="28"/>
          <w:szCs w:val="28"/>
          <w:lang w:eastAsia="ru-RU"/>
        </w:rPr>
        <w:t xml:space="preserve"> громада отримує нову сучасну спортивну інфраструктуру, а приватний партнер </w:t>
      </w:r>
      <w:r w:rsidR="00EB07F8">
        <w:rPr>
          <w:sz w:val="28"/>
          <w:szCs w:val="28"/>
          <w:lang w:eastAsia="ru-RU"/>
        </w:rPr>
        <w:t>–</w:t>
      </w:r>
      <w:r>
        <w:rPr>
          <w:sz w:val="28"/>
          <w:szCs w:val="28"/>
          <w:lang w:eastAsia="ru-RU"/>
        </w:rPr>
        <w:t xml:space="preserve"> стійку економічну модель співпраці. Показники соціальної, економічної та бюджетної ефективності свідчать про високий рівень доцільності реалізації </w:t>
      </w:r>
      <w:proofErr w:type="spellStart"/>
      <w:r>
        <w:rPr>
          <w:sz w:val="28"/>
          <w:szCs w:val="28"/>
          <w:lang w:eastAsia="ru-RU"/>
        </w:rPr>
        <w:t>проєкту</w:t>
      </w:r>
      <w:proofErr w:type="spellEnd"/>
      <w:r>
        <w:rPr>
          <w:sz w:val="28"/>
          <w:szCs w:val="28"/>
          <w:lang w:eastAsia="ru-RU"/>
        </w:rPr>
        <w:t>.</w:t>
      </w:r>
    </w:p>
    <w:p w14:paraId="55BE04BC" w14:textId="209D40B3" w:rsidR="003B2804" w:rsidRDefault="00000000" w:rsidP="00725878">
      <w:pPr>
        <w:pStyle w:val="rvps2"/>
        <w:shd w:val="clear" w:color="auto" w:fill="FFFFFF"/>
        <w:spacing w:before="280" w:after="280"/>
        <w:ind w:firstLine="567"/>
        <w:contextualSpacing/>
        <w:jc w:val="both"/>
        <w:rPr>
          <w:sz w:val="28"/>
          <w:szCs w:val="28"/>
        </w:rPr>
      </w:pPr>
      <w:r>
        <w:rPr>
          <w:sz w:val="28"/>
          <w:szCs w:val="28"/>
        </w:rPr>
        <w:lastRenderedPageBreak/>
        <w:t>Контроль за термінами виконання робіт та відповідніст</w:t>
      </w:r>
      <w:r w:rsidR="00EB3B1E">
        <w:rPr>
          <w:sz w:val="28"/>
          <w:szCs w:val="28"/>
        </w:rPr>
        <w:t>ю</w:t>
      </w:r>
      <w:r>
        <w:rPr>
          <w:sz w:val="28"/>
          <w:szCs w:val="28"/>
        </w:rPr>
        <w:t xml:space="preserve"> їх </w:t>
      </w:r>
      <w:proofErr w:type="spellStart"/>
      <w:r>
        <w:rPr>
          <w:sz w:val="28"/>
          <w:szCs w:val="28"/>
        </w:rPr>
        <w:t>проєктній</w:t>
      </w:r>
      <w:proofErr w:type="spellEnd"/>
      <w:r>
        <w:rPr>
          <w:sz w:val="28"/>
          <w:szCs w:val="28"/>
        </w:rPr>
        <w:t xml:space="preserve"> документації буде здійснюватися виконавчими органами міської ради: управлінням капітального будівництва, департамент</w:t>
      </w:r>
      <w:r w:rsidR="00EB3B1E">
        <w:rPr>
          <w:sz w:val="28"/>
          <w:szCs w:val="28"/>
        </w:rPr>
        <w:t>ом</w:t>
      </w:r>
      <w:r>
        <w:rPr>
          <w:sz w:val="28"/>
          <w:szCs w:val="28"/>
        </w:rPr>
        <w:t xml:space="preserve"> містобудування, земельних ресурсів та реклами, департамент</w:t>
      </w:r>
      <w:r w:rsidR="00EB3B1E">
        <w:rPr>
          <w:sz w:val="28"/>
          <w:szCs w:val="28"/>
        </w:rPr>
        <w:t>ом</w:t>
      </w:r>
      <w:r>
        <w:rPr>
          <w:sz w:val="28"/>
          <w:szCs w:val="28"/>
        </w:rPr>
        <w:t xml:space="preserve"> житлово-комунального господарства. </w:t>
      </w:r>
    </w:p>
    <w:p w14:paraId="75C8800D" w14:textId="77777777" w:rsidR="003B2804" w:rsidRDefault="00000000" w:rsidP="00725878">
      <w:pPr>
        <w:pStyle w:val="rvps2"/>
        <w:shd w:val="clear" w:color="auto" w:fill="FFFFFF"/>
        <w:spacing w:beforeAutospacing="0" w:afterAutospacing="0"/>
        <w:ind w:firstLine="567"/>
        <w:jc w:val="both"/>
        <w:rPr>
          <w:sz w:val="28"/>
          <w:szCs w:val="28"/>
        </w:rPr>
      </w:pPr>
      <w:r>
        <w:rPr>
          <w:sz w:val="28"/>
          <w:szCs w:val="28"/>
        </w:rPr>
        <w:t>Контроль за дотриманням договору публічно-приватного партнерства, буде здійснювати відділ управління майном міської комунальної власності.</w:t>
      </w:r>
    </w:p>
    <w:p w14:paraId="27E5782C" w14:textId="4BC7DE68" w:rsidR="003B2804" w:rsidRDefault="00000000" w:rsidP="00725878">
      <w:pPr>
        <w:pStyle w:val="rvps2"/>
        <w:shd w:val="clear" w:color="auto" w:fill="FFFFFF"/>
        <w:spacing w:beforeAutospacing="0" w:afterAutospacing="0"/>
        <w:ind w:firstLine="567"/>
        <w:jc w:val="both"/>
        <w:rPr>
          <w:sz w:val="28"/>
          <w:szCs w:val="28"/>
        </w:rPr>
      </w:pPr>
      <w:r>
        <w:rPr>
          <w:sz w:val="28"/>
          <w:szCs w:val="28"/>
        </w:rPr>
        <w:t xml:space="preserve">Загальний моніторинг здійснення публічно-приватного партнерства щодо </w:t>
      </w:r>
      <w:proofErr w:type="spellStart"/>
      <w:r>
        <w:rPr>
          <w:sz w:val="28"/>
          <w:szCs w:val="28"/>
        </w:rPr>
        <w:t>проєкту</w:t>
      </w:r>
      <w:proofErr w:type="spellEnd"/>
      <w:r>
        <w:rPr>
          <w:sz w:val="28"/>
          <w:szCs w:val="28"/>
        </w:rPr>
        <w:t xml:space="preserve"> «Будівництво та експлуатація стадіону з штучним покриттям за </w:t>
      </w:r>
      <w:proofErr w:type="spellStart"/>
      <w:r>
        <w:rPr>
          <w:sz w:val="28"/>
          <w:szCs w:val="28"/>
        </w:rPr>
        <w:t>адресою</w:t>
      </w:r>
      <w:proofErr w:type="spellEnd"/>
      <w:r w:rsidR="00EB3B1E">
        <w:rPr>
          <w:sz w:val="28"/>
          <w:szCs w:val="28"/>
        </w:rPr>
        <w:t>:</w:t>
      </w:r>
      <w:r>
        <w:rPr>
          <w:sz w:val="28"/>
          <w:szCs w:val="28"/>
        </w:rPr>
        <w:t xml:space="preserve"> м. Луцьк, вул. </w:t>
      </w:r>
      <w:proofErr w:type="spellStart"/>
      <w:r>
        <w:rPr>
          <w:sz w:val="28"/>
          <w:szCs w:val="28"/>
        </w:rPr>
        <w:t>Теремнівська</w:t>
      </w:r>
      <w:proofErr w:type="spellEnd"/>
      <w:r>
        <w:rPr>
          <w:sz w:val="28"/>
          <w:szCs w:val="28"/>
        </w:rPr>
        <w:t>, 40-г» на усіх етапах його реалізації буде здійснювати департамент економічної політики Луцької міської ради.</w:t>
      </w:r>
    </w:p>
    <w:p w14:paraId="293FF6CB" w14:textId="77777777" w:rsidR="003B2804" w:rsidRDefault="003B2804">
      <w:pPr>
        <w:pStyle w:val="rvps2"/>
        <w:shd w:val="clear" w:color="auto" w:fill="FFFFFF"/>
        <w:spacing w:beforeAutospacing="0" w:afterAutospacing="0"/>
        <w:jc w:val="both"/>
        <w:rPr>
          <w:sz w:val="28"/>
          <w:szCs w:val="28"/>
        </w:rPr>
      </w:pPr>
    </w:p>
    <w:p w14:paraId="15EB962D" w14:textId="77777777" w:rsidR="003B2804" w:rsidRDefault="003B2804">
      <w:pPr>
        <w:pStyle w:val="rvps2"/>
        <w:shd w:val="clear" w:color="auto" w:fill="FFFFFF"/>
        <w:spacing w:beforeAutospacing="0" w:afterAutospacing="0"/>
        <w:jc w:val="both"/>
        <w:rPr>
          <w:sz w:val="28"/>
          <w:szCs w:val="28"/>
        </w:rPr>
      </w:pPr>
    </w:p>
    <w:p w14:paraId="09ECFA51" w14:textId="77777777" w:rsidR="003B2804" w:rsidRDefault="003B2804">
      <w:pPr>
        <w:pStyle w:val="rvps2"/>
        <w:shd w:val="clear" w:color="auto" w:fill="FFFFFF"/>
        <w:spacing w:beforeAutospacing="0" w:afterAutospacing="0"/>
        <w:jc w:val="both"/>
        <w:rPr>
          <w:sz w:val="28"/>
          <w:szCs w:val="28"/>
        </w:rPr>
      </w:pPr>
    </w:p>
    <w:p w14:paraId="18559FAF" w14:textId="77777777" w:rsidR="00EB3B1E" w:rsidRDefault="00000000" w:rsidP="00EB3B1E">
      <w:pPr>
        <w:pStyle w:val="rvps2"/>
        <w:shd w:val="clear" w:color="auto" w:fill="FFFFFF"/>
        <w:spacing w:beforeAutospacing="0" w:afterAutospacing="0"/>
        <w:rPr>
          <w:sz w:val="28"/>
          <w:szCs w:val="28"/>
        </w:rPr>
      </w:pPr>
      <w:r>
        <w:rPr>
          <w:sz w:val="28"/>
          <w:szCs w:val="28"/>
        </w:rPr>
        <w:t>Директор департаменту</w:t>
      </w:r>
      <w:r w:rsidR="00EB3B1E">
        <w:rPr>
          <w:sz w:val="28"/>
          <w:szCs w:val="28"/>
        </w:rPr>
        <w:t xml:space="preserve"> </w:t>
      </w:r>
      <w:r>
        <w:rPr>
          <w:sz w:val="28"/>
          <w:szCs w:val="28"/>
        </w:rPr>
        <w:t xml:space="preserve">економічної </w:t>
      </w:r>
    </w:p>
    <w:p w14:paraId="69DA893B" w14:textId="30F8202A" w:rsidR="003B2804" w:rsidRDefault="00000000" w:rsidP="00EB3B1E">
      <w:pPr>
        <w:pStyle w:val="rvps2"/>
        <w:shd w:val="clear" w:color="auto" w:fill="FFFFFF"/>
        <w:spacing w:beforeAutospacing="0" w:afterAutospacing="0"/>
        <w:rPr>
          <w:sz w:val="28"/>
          <w:szCs w:val="28"/>
        </w:rPr>
      </w:pPr>
      <w:r>
        <w:rPr>
          <w:sz w:val="28"/>
          <w:szCs w:val="28"/>
        </w:rPr>
        <w:t>політики</w:t>
      </w:r>
      <w:r w:rsidR="00EB3B1E">
        <w:rPr>
          <w:sz w:val="28"/>
          <w:szCs w:val="28"/>
        </w:rPr>
        <w:t xml:space="preserve"> </w:t>
      </w:r>
      <w:r>
        <w:rPr>
          <w:sz w:val="28"/>
          <w:szCs w:val="28"/>
        </w:rPr>
        <w:t xml:space="preserve">Луцької міської ради                           </w:t>
      </w:r>
      <w:r w:rsidR="00EB3B1E">
        <w:rPr>
          <w:sz w:val="28"/>
          <w:szCs w:val="28"/>
        </w:rPr>
        <w:tab/>
      </w:r>
      <w:r w:rsidR="00EB3B1E">
        <w:rPr>
          <w:sz w:val="28"/>
          <w:szCs w:val="28"/>
        </w:rPr>
        <w:tab/>
      </w:r>
      <w:r w:rsidR="00EB3B1E">
        <w:rPr>
          <w:sz w:val="28"/>
          <w:szCs w:val="28"/>
        </w:rPr>
        <w:tab/>
      </w:r>
      <w:r>
        <w:rPr>
          <w:sz w:val="28"/>
          <w:szCs w:val="28"/>
        </w:rPr>
        <w:t xml:space="preserve">   Борис СМАЛЬ</w:t>
      </w:r>
    </w:p>
    <w:p w14:paraId="7FCF9F1B" w14:textId="77777777" w:rsidR="003B2804" w:rsidRDefault="003B2804">
      <w:pPr>
        <w:pStyle w:val="rvps2"/>
        <w:shd w:val="clear" w:color="auto" w:fill="FFFFFF"/>
        <w:spacing w:beforeAutospacing="0" w:afterAutospacing="0"/>
        <w:jc w:val="both"/>
        <w:rPr>
          <w:color w:val="333333"/>
          <w:sz w:val="28"/>
          <w:szCs w:val="28"/>
        </w:rPr>
      </w:pPr>
    </w:p>
    <w:sectPr w:rsidR="003B2804" w:rsidSect="00606E18">
      <w:headerReference w:type="default" r:id="rId6"/>
      <w:pgSz w:w="11906" w:h="16838"/>
      <w:pgMar w:top="766" w:right="567" w:bottom="1134" w:left="1985"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BDF5" w14:textId="77777777" w:rsidR="005518C5" w:rsidRDefault="005518C5">
      <w:r>
        <w:separator/>
      </w:r>
    </w:p>
  </w:endnote>
  <w:endnote w:type="continuationSeparator" w:id="0">
    <w:p w14:paraId="68A47B53" w14:textId="77777777" w:rsidR="005518C5" w:rsidRDefault="0055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A986" w14:textId="77777777" w:rsidR="005518C5" w:rsidRDefault="005518C5">
      <w:r>
        <w:separator/>
      </w:r>
    </w:p>
  </w:footnote>
  <w:footnote w:type="continuationSeparator" w:id="0">
    <w:p w14:paraId="58B7ACFE" w14:textId="77777777" w:rsidR="005518C5" w:rsidRDefault="0055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91030"/>
      <w:docPartObj>
        <w:docPartGallery w:val="Page Numbers (Top of Page)"/>
        <w:docPartUnique/>
      </w:docPartObj>
    </w:sdtPr>
    <w:sdtContent>
      <w:p w14:paraId="025EC9A7" w14:textId="61B7A325" w:rsidR="00606E18" w:rsidRDefault="00606E18">
        <w:pPr>
          <w:pStyle w:val="af"/>
          <w:jc w:val="center"/>
        </w:pPr>
        <w:r>
          <w:fldChar w:fldCharType="begin"/>
        </w:r>
        <w:r>
          <w:instrText>PAGE   \* MERGEFORMAT</w:instrText>
        </w:r>
        <w:r>
          <w:fldChar w:fldCharType="separate"/>
        </w:r>
        <w:r>
          <w:t>2</w:t>
        </w:r>
        <w:r>
          <w:fldChar w:fldCharType="end"/>
        </w:r>
      </w:p>
    </w:sdtContent>
  </w:sdt>
  <w:p w14:paraId="65AC8842" w14:textId="77777777" w:rsidR="003B2804" w:rsidRDefault="003B2804">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04"/>
    <w:rsid w:val="00004FFF"/>
    <w:rsid w:val="00165551"/>
    <w:rsid w:val="00222EDC"/>
    <w:rsid w:val="00280481"/>
    <w:rsid w:val="00364E88"/>
    <w:rsid w:val="003B2804"/>
    <w:rsid w:val="004131DD"/>
    <w:rsid w:val="005518C5"/>
    <w:rsid w:val="005F30B3"/>
    <w:rsid w:val="00606E18"/>
    <w:rsid w:val="00614DD1"/>
    <w:rsid w:val="00675537"/>
    <w:rsid w:val="00725878"/>
    <w:rsid w:val="00757792"/>
    <w:rsid w:val="00777F7A"/>
    <w:rsid w:val="00810DF3"/>
    <w:rsid w:val="00865B25"/>
    <w:rsid w:val="008E0D37"/>
    <w:rsid w:val="009467E5"/>
    <w:rsid w:val="00946F41"/>
    <w:rsid w:val="00BB0D0D"/>
    <w:rsid w:val="00BE2A89"/>
    <w:rsid w:val="00C203C1"/>
    <w:rsid w:val="00CA4B18"/>
    <w:rsid w:val="00DD20DB"/>
    <w:rsid w:val="00E05A24"/>
    <w:rsid w:val="00E64FE5"/>
    <w:rsid w:val="00EA31D5"/>
    <w:rsid w:val="00EB07F8"/>
    <w:rsid w:val="00EB3B1E"/>
    <w:rsid w:val="00F65FD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FCB5"/>
  <w15:docId w15:val="{AE0C4C0A-EAE0-4D5F-BF49-6AD018DF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08F"/>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qFormat/>
    <w:locked/>
    <w:rsid w:val="00A24016"/>
    <w:rPr>
      <w:b/>
      <w:sz w:val="32"/>
      <w:lang w:val="x-none" w:eastAsia="ru-RU" w:bidi="ar-SA"/>
    </w:rPr>
  </w:style>
  <w:style w:type="character" w:styleId="a4">
    <w:name w:val="Hyperlink"/>
    <w:uiPriority w:val="99"/>
    <w:semiHidden/>
    <w:unhideWhenUsed/>
    <w:rsid w:val="0027645C"/>
    <w:rPr>
      <w:color w:val="0000FF"/>
      <w:u w:val="single"/>
    </w:rPr>
  </w:style>
  <w:style w:type="character" w:customStyle="1" w:styleId="a5">
    <w:name w:val="Верхній колонтитул Знак"/>
    <w:basedOn w:val="a0"/>
    <w:uiPriority w:val="99"/>
    <w:qFormat/>
    <w:rsid w:val="004A21A5"/>
    <w:rPr>
      <w:sz w:val="24"/>
      <w:szCs w:val="24"/>
      <w:lang w:eastAsia="ru-RU"/>
    </w:rPr>
  </w:style>
  <w:style w:type="character" w:customStyle="1" w:styleId="a6">
    <w:name w:val="Нижній колонтитул Знак"/>
    <w:basedOn w:val="a0"/>
    <w:uiPriority w:val="99"/>
    <w:qFormat/>
    <w:rsid w:val="004A21A5"/>
    <w:rPr>
      <w:sz w:val="24"/>
      <w:szCs w:val="24"/>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rsid w:val="00A24016"/>
    <w:rPr>
      <w:b/>
      <w:sz w:val="32"/>
      <w:szCs w:val="20"/>
      <w:lang w:val="x-none"/>
    </w:r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Покажчик"/>
    <w:basedOn w:val="a"/>
    <w:qFormat/>
    <w:pPr>
      <w:suppressLineNumbers/>
    </w:pPr>
    <w:rPr>
      <w:rFonts w:cs="Lucida Sans"/>
    </w:rPr>
  </w:style>
  <w:style w:type="paragraph" w:customStyle="1" w:styleId="1">
    <w:name w:val="Обычный1"/>
    <w:qFormat/>
    <w:rsid w:val="003A208F"/>
    <w:rPr>
      <w:sz w:val="24"/>
      <w:lang w:val="ru-RU" w:eastAsia="ru-RU"/>
    </w:rPr>
  </w:style>
  <w:style w:type="paragraph" w:styleId="ac">
    <w:name w:val="Balloon Text"/>
    <w:basedOn w:val="a"/>
    <w:semiHidden/>
    <w:qFormat/>
    <w:rsid w:val="00B831B6"/>
    <w:rPr>
      <w:rFonts w:ascii="Tahoma" w:hAnsi="Tahoma" w:cs="Tahoma"/>
      <w:sz w:val="16"/>
      <w:szCs w:val="16"/>
    </w:rPr>
  </w:style>
  <w:style w:type="paragraph" w:customStyle="1" w:styleId="rvps2">
    <w:name w:val="rvps2"/>
    <w:basedOn w:val="a"/>
    <w:qFormat/>
    <w:rsid w:val="00DE7411"/>
    <w:pPr>
      <w:spacing w:beforeAutospacing="1" w:afterAutospacing="1"/>
    </w:pPr>
    <w:rPr>
      <w:lang w:eastAsia="uk-UA"/>
    </w:rPr>
  </w:style>
  <w:style w:type="paragraph" w:styleId="ad">
    <w:name w:val="Normal (Web)"/>
    <w:basedOn w:val="a"/>
    <w:uiPriority w:val="99"/>
    <w:unhideWhenUsed/>
    <w:qFormat/>
    <w:rsid w:val="00172235"/>
    <w:pPr>
      <w:spacing w:beforeAutospacing="1" w:afterAutospacing="1"/>
    </w:pPr>
    <w:rPr>
      <w:lang w:eastAsia="uk-UA"/>
    </w:rPr>
  </w:style>
  <w:style w:type="paragraph" w:customStyle="1" w:styleId="ae">
    <w:name w:val="Верхній і нижній колонтитули"/>
    <w:basedOn w:val="a"/>
    <w:qFormat/>
  </w:style>
  <w:style w:type="paragraph" w:styleId="af">
    <w:name w:val="header"/>
    <w:basedOn w:val="a"/>
    <w:uiPriority w:val="99"/>
    <w:unhideWhenUsed/>
    <w:rsid w:val="004A21A5"/>
    <w:pPr>
      <w:tabs>
        <w:tab w:val="center" w:pos="4819"/>
        <w:tab w:val="right" w:pos="9639"/>
      </w:tabs>
    </w:pPr>
  </w:style>
  <w:style w:type="paragraph" w:styleId="af0">
    <w:name w:val="footer"/>
    <w:basedOn w:val="a"/>
    <w:uiPriority w:val="99"/>
    <w:unhideWhenUsed/>
    <w:rsid w:val="004A21A5"/>
    <w:pPr>
      <w:tabs>
        <w:tab w:val="center" w:pos="4819"/>
        <w:tab w:val="right" w:pos="9639"/>
      </w:tabs>
    </w:pPr>
  </w:style>
  <w:style w:type="table" w:styleId="af1">
    <w:name w:val="Table Grid"/>
    <w:basedOn w:val="a1"/>
    <w:rsid w:val="00681F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13</Pages>
  <Words>15408</Words>
  <Characters>8783</Characters>
  <Application>Microsoft Office Word</Application>
  <DocSecurity>0</DocSecurity>
  <Lines>73</Lines>
  <Paragraphs>48</Paragraphs>
  <ScaleCrop>false</ScaleCrop>
  <Company>Microsoft</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 об'єктами міської комунальної власності</dc:title>
  <dc:subject/>
  <dc:creator>XTreme</dc:creator>
  <dc:description/>
  <cp:lastModifiedBy>Ірина Демидюк</cp:lastModifiedBy>
  <cp:revision>41</cp:revision>
  <cp:lastPrinted>2025-11-07T09:38:00Z</cp:lastPrinted>
  <dcterms:created xsi:type="dcterms:W3CDTF">2025-11-04T19:26:00Z</dcterms:created>
  <dcterms:modified xsi:type="dcterms:W3CDTF">2025-11-07T10:22:00Z</dcterms:modified>
  <dc:language>uk-UA</dc:language>
</cp:coreProperties>
</file>