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511476454" r:id="rId2"/>
        </w:object>
      </w:r>
    </w:p>
    <w:p>
      <w:pPr>
        <w:pStyle w:val="111"/>
        <w:jc w:val="center"/>
        <w:rPr>
          <w:sz w:val="28"/>
          <w:szCs w:val="28"/>
        </w:rPr>
      </w:pPr>
      <w:r>
        <w:rPr>
          <w:rFonts w:ascii="Times New Roman" w:hAnsi="Times New Roman"/>
          <w:sz w:val="28"/>
          <w:szCs w:val="28"/>
        </w:rPr>
        <w:t>ЛУЦЬКА  МІСЬКА  РАДА</w:t>
      </w:r>
    </w:p>
    <w:p>
      <w:pPr>
        <w:pStyle w:val="Normal"/>
        <w:rPr>
          <w:sz w:val="20"/>
          <w:szCs w:val="20"/>
        </w:rPr>
      </w:pPr>
      <w:r>
        <w:rPr>
          <w:sz w:val="20"/>
          <w:szCs w:val="20"/>
        </w:rPr>
      </w:r>
    </w:p>
    <w:p>
      <w:pPr>
        <w:pStyle w:val="211"/>
        <w:tabs>
          <w:tab w:val="clear" w:pos="708"/>
          <w:tab w:val="left" w:pos="4218" w:leader="none"/>
          <w:tab w:val="left" w:pos="4674" w:leader="none"/>
        </w:tabs>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jc w:val="center"/>
        <w:rPr/>
      </w:pPr>
      <w:r>
        <w:rPr/>
        <w:t>________________                                        Луцьк                                         №_____________</w:t>
      </w:r>
    </w:p>
    <w:p>
      <w:pPr>
        <w:pStyle w:val="Normal"/>
        <w:jc w:val="center"/>
        <w:rPr/>
      </w:pPr>
      <w:r>
        <w:rPr/>
      </w:r>
    </w:p>
    <w:p>
      <w:pPr>
        <w:pStyle w:val="Normal"/>
        <w:widowControl w:val="false"/>
        <w:jc w:val="both"/>
        <w:rPr>
          <w:spacing w:val="6"/>
          <w:sz w:val="28"/>
          <w:szCs w:val="28"/>
        </w:rPr>
      </w:pPr>
      <w:r>
        <w:rPr>
          <w:spacing w:val="-6"/>
          <w:sz w:val="28"/>
          <w:szCs w:val="28"/>
        </w:rPr>
        <w:t xml:space="preserve">Про  надання   ТОВ </w:t>
      </w:r>
      <w:r>
        <w:rPr>
          <w:rFonts w:eastAsia="SimSun;宋体" w:cs="Times New Roman"/>
          <w:color w:val="000000"/>
          <w:spacing w:val="-6"/>
          <w:sz w:val="28"/>
          <w:szCs w:val="28"/>
          <w:lang w:val="uk-UA"/>
        </w:rPr>
        <w:t>«ЛУЧЕСЬК-ТОРГ»</w:t>
      </w:r>
      <w:r>
        <w:rPr>
          <w:spacing w:val="-6"/>
          <w:sz w:val="28"/>
          <w:szCs w:val="28"/>
        </w:rPr>
        <w:t xml:space="preserve"> </w:t>
      </w:r>
    </w:p>
    <w:p>
      <w:pPr>
        <w:pStyle w:val="Normal"/>
        <w:widowControl w:val="false"/>
        <w:jc w:val="both"/>
        <w:rPr>
          <w:spacing w:val="6"/>
          <w:sz w:val="28"/>
          <w:szCs w:val="28"/>
        </w:rPr>
      </w:pPr>
      <w:r>
        <w:rPr>
          <w:spacing w:val="6"/>
          <w:sz w:val="28"/>
          <w:szCs w:val="28"/>
        </w:rPr>
        <w:t xml:space="preserve">дозволу  на    проведення  </w:t>
      </w:r>
      <w:r>
        <w:rPr>
          <w:sz w:val="28"/>
          <w:szCs w:val="28"/>
        </w:rPr>
        <w:t xml:space="preserve">експертної </w:t>
      </w:r>
    </w:p>
    <w:p>
      <w:pPr>
        <w:pStyle w:val="Normal"/>
        <w:widowControl w:val="false"/>
        <w:jc w:val="both"/>
        <w:rPr>
          <w:spacing w:val="6"/>
          <w:sz w:val="28"/>
          <w:szCs w:val="28"/>
        </w:rPr>
      </w:pPr>
      <w:r>
        <w:rPr>
          <w:sz w:val="28"/>
          <w:szCs w:val="28"/>
        </w:rPr>
        <w:t>грошової  оцінки   земе</w:t>
      </w:r>
      <w:r>
        <w:rPr>
          <w:spacing w:val="4"/>
          <w:sz w:val="28"/>
          <w:szCs w:val="28"/>
        </w:rPr>
        <w:t>льної</w:t>
      </w:r>
      <w:r>
        <w:rPr>
          <w:spacing w:val="-6"/>
          <w:sz w:val="28"/>
          <w:szCs w:val="28"/>
        </w:rPr>
        <w:t xml:space="preserve">   </w:t>
      </w:r>
      <w:r>
        <w:rPr>
          <w:spacing w:val="4"/>
          <w:sz w:val="28"/>
          <w:szCs w:val="28"/>
        </w:rPr>
        <w:t xml:space="preserve">ділянки  </w:t>
      </w:r>
    </w:p>
    <w:p>
      <w:pPr>
        <w:pStyle w:val="Normal"/>
        <w:widowControl w:val="false"/>
        <w:jc w:val="both"/>
        <w:rPr>
          <w:spacing w:val="6"/>
          <w:sz w:val="28"/>
          <w:szCs w:val="28"/>
        </w:rPr>
      </w:pPr>
      <w:r>
        <w:rPr>
          <w:spacing w:val="4"/>
          <w:sz w:val="28"/>
          <w:szCs w:val="28"/>
        </w:rPr>
        <w:t xml:space="preserve">комунальної   власності   у   </w:t>
      </w:r>
      <w:r>
        <w:rPr>
          <w:bCs/>
          <w:color w:val="000000"/>
          <w:spacing w:val="-18"/>
          <w:kern w:val="2"/>
          <w:sz w:val="28"/>
          <w:szCs w:val="28"/>
          <w:lang w:eastAsia="zh-CN"/>
        </w:rPr>
        <w:t xml:space="preserve">с. Милуші  </w:t>
      </w:r>
    </w:p>
    <w:p>
      <w:pPr>
        <w:pStyle w:val="Normal"/>
        <w:widowControl w:val="false"/>
        <w:jc w:val="both"/>
        <w:rPr>
          <w:spacing w:val="4"/>
          <w:sz w:val="28"/>
          <w:szCs w:val="28"/>
        </w:rPr>
      </w:pPr>
      <w:r>
        <w:rPr>
          <w:spacing w:val="4"/>
          <w:sz w:val="28"/>
          <w:szCs w:val="28"/>
        </w:rPr>
        <w:t>Луцького району Волинської області</w:t>
      </w:r>
    </w:p>
    <w:p>
      <w:pPr>
        <w:pStyle w:val="Normal"/>
        <w:widowControl w:val="false"/>
        <w:jc w:val="both"/>
        <w:rPr>
          <w:sz w:val="28"/>
          <w:szCs w:val="28"/>
        </w:rPr>
      </w:pPr>
      <w:r>
        <w:rPr>
          <w:sz w:val="28"/>
          <w:szCs w:val="28"/>
        </w:rPr>
      </w:r>
    </w:p>
    <w:p>
      <w:pPr>
        <w:pStyle w:val="Normal"/>
        <w:widowControl w:val="false"/>
        <w:jc w:val="both"/>
        <w:rPr>
          <w:bCs/>
          <w:color w:val="000000"/>
          <w:kern w:val="2"/>
          <w:sz w:val="28"/>
          <w:szCs w:val="28"/>
          <w:lang w:eastAsia="zh-CN"/>
        </w:rPr>
      </w:pPr>
      <w:r>
        <w:rPr>
          <w:sz w:val="28"/>
          <w:szCs w:val="28"/>
        </w:rPr>
        <w:tab/>
      </w:r>
      <w:r>
        <w:rPr>
          <w:rFonts w:eastAsia="Times New Roman" w:cs="Times New Roman"/>
          <w:color w:val="00000A"/>
          <w:spacing w:val="-4"/>
          <w:kern w:val="0"/>
          <w:sz w:val="28"/>
          <w:szCs w:val="28"/>
          <w:lang w:val="uk-UA" w:eastAsia="ru-RU" w:bidi="ar-SA"/>
        </w:rPr>
        <w:t xml:space="preserve">Розглянувши заяву ТОВАРИСТВА З ОБМЕЖЕНОЮ ВІДПОВІДАЛЬНІСТЮ «ЛУЧЕСЬК-ТОРГ» про надання дозволу на проведення експертної грошової оцінки земельної ділянки комунальної власності у                         с. Милуші Луцького району Волинської області, площею 0,7141 га, з кадастровим номером 0722883700:05:001:4884, видом цільового призначення земельної ділянки: 03.07 - для будівництва та обслуговування будівель торгівлі з метою її подальшого продажу у власність шляхом викупу, враховуючи витяги з Державного реєстру речових прав на нерухоме майно про реєстрацію права власності від 06.04.2023, номери відомостей про речове право: 49884246, 49884361, 49884616, 49884467 відповідно до яких, право власності на обʼєкти нерухомого майна (будівля магазину «Продовольчі товари», будівля контори споживчого товариства, будівля магазину «Господарчі товари», будівля ковбасного цеху) розташовані на земельній ділянці, належить ТОВАРИСТВУ З ОБМЕЖЕНОЮ ВІДПОВІДАЛЬНІСТЮ «ЛУЧЕСЬК-ТОРГ», технічні паспорти на обʼєкти нерухомого майна: будівля магазину «Продовольчі товари», будівля контори споживчого товариства, будівля магазину «Господарчі товари», будівля ковбасного цеху, витяг з балансу ТОВАРИСТВА З ОБМЕЖЕНОЮ ВІДПОВІДАЛЬНІСТЮ «ЛУЧЕСЬК-ТОРГ» від 01.10.2025 № 1 щодо перебування на балансі: піднавісу металевого (2 штуки), навісу-сітки для тари, цистерни; витяг з Державного земельного кадастру про земельну ділянку, керуючись статтями 12, 82, 128 Земельного кодексу України, статтями 5, 13, 20 Закону України «Про оцінку земель»,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w:t>
      </w:r>
      <w:r>
        <w:rPr>
          <w:rFonts w:eastAsia="SimSun;宋体" w:cs="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b w:val="false"/>
          <w:bCs w:val="false"/>
          <w:color w:val="000000"/>
          <w:spacing w:val="-6"/>
          <w:kern w:val="2"/>
          <w:sz w:val="28"/>
          <w:szCs w:val="28"/>
          <w:highlight w:val="white"/>
          <w:u w:val="none"/>
          <w:shd w:fill="FFFFFF" w:val="clear"/>
          <w:vertAlign w:val="superscript"/>
          <w:lang w:val="uk-UA" w:eastAsia="uk-UA" w:bidi="hi-IN"/>
        </w:rPr>
        <w:t>-1</w:t>
      </w:r>
      <w:r>
        <w:rPr>
          <w:rFonts w:eastAsia="Times New Roman" w:cs="Times New Roman"/>
          <w:color w:val="00000A"/>
          <w:spacing w:val="-4"/>
          <w:kern w:val="0"/>
          <w:sz w:val="28"/>
          <w:szCs w:val="28"/>
          <w:lang w:val="uk-UA" w:eastAsia="ru-RU" w:bidi="ar-SA"/>
        </w:rPr>
        <w:t xml:space="preserve"> розділу</w:t>
      </w:r>
      <w:r>
        <w:rPr>
          <w:rFonts w:eastAsia="Times New Roman" w:cs="Times New Roman"/>
          <w:color w:val="00000A"/>
          <w:spacing w:val="-4"/>
          <w:kern w:val="0"/>
          <w:sz w:val="28"/>
          <w:szCs w:val="28"/>
          <w:lang w:val="en-US" w:eastAsia="ru-RU" w:bidi="ar-SA"/>
        </w:rPr>
        <w:t xml:space="preserve"> V </w:t>
      </w:r>
      <w:r>
        <w:rPr>
          <w:rFonts w:eastAsia="Times New Roman" w:cs="Times New Roman"/>
          <w:color w:val="00000A"/>
          <w:spacing w:val="-4"/>
          <w:kern w:val="0"/>
          <w:sz w:val="28"/>
          <w:szCs w:val="28"/>
          <w:lang w:val="uk-UA" w:eastAsia="ru-RU" w:bidi="ar-SA"/>
        </w:rPr>
        <w:t>Прикінцевих та перехідних положень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rPr>
          <w:sz w:val="28"/>
          <w:szCs w:val="28"/>
        </w:rPr>
      </w:pPr>
      <w:r>
        <w:rPr>
          <w:sz w:val="28"/>
          <w:szCs w:val="28"/>
        </w:rPr>
      </w:r>
    </w:p>
    <w:p>
      <w:pPr>
        <w:pStyle w:val="Normal"/>
        <w:widowControl w:val="false"/>
        <w:suppressAutoHyphens w:val="true"/>
        <w:bidi w:val="0"/>
        <w:spacing w:before="0" w:after="0"/>
        <w:ind w:firstLine="567" w:left="0" w:right="0"/>
        <w:jc w:val="both"/>
        <w:rPr>
          <w:spacing w:val="-4"/>
          <w:sz w:val="28"/>
          <w:szCs w:val="28"/>
        </w:rPr>
      </w:pPr>
      <w:r>
        <w:rPr>
          <w:spacing w:val="-4"/>
          <w:sz w:val="28"/>
          <w:szCs w:val="28"/>
        </w:rPr>
        <w:t>1. Надати ТОВАРИСТВУ З ОБМЕЖЕНОЮ ВІДПОВІДАЛЬНІСТЮ «ЛУЧЕСЬК-ТОРГ» дозвіл на проведення експертної грошової оцінки земельної ділянки комунальної власності у с. Милуші Луцького району Волинської області площею 0,7141 га, з кадастровим номером 0722883700:05:001:4884, видом цільового призначення земельної ділянки: 03.07 - для будівництва та обслуговування будівель торгівлі, згідно з додатком.</w:t>
      </w:r>
    </w:p>
    <w:p>
      <w:pPr>
        <w:pStyle w:val="Normal"/>
        <w:widowControl w:val="false"/>
        <w:suppressAutoHyphens w:val="true"/>
        <w:bidi w:val="0"/>
        <w:spacing w:before="0" w:after="0"/>
        <w:ind w:firstLine="567" w:left="0" w:right="0"/>
        <w:jc w:val="both"/>
        <w:rPr>
          <w:spacing w:val="-4"/>
          <w:sz w:val="28"/>
          <w:szCs w:val="28"/>
        </w:rPr>
      </w:pPr>
      <w:r>
        <w:rPr>
          <w:spacing w:val="-4"/>
          <w:sz w:val="28"/>
          <w:szCs w:val="28"/>
        </w:rPr>
        <w:t>2. Зобов’язати ТОВАРИСТВО З ОБМЕЖЕНОЮ ВІДПОВІДАЛЬНІСТЮ «ЛУЧЕСЬК-ТОРГ» впродовж 30-ти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w:t>
      </w:r>
    </w:p>
    <w:p>
      <w:pPr>
        <w:pStyle w:val="Normal"/>
        <w:widowControl w:val="false"/>
        <w:suppressAutoHyphens w:val="true"/>
        <w:bidi w:val="0"/>
        <w:spacing w:before="0" w:after="0"/>
        <w:ind w:firstLine="567" w:left="0" w:right="0"/>
        <w:jc w:val="both"/>
        <w:rPr>
          <w:spacing w:val="-4"/>
          <w:sz w:val="28"/>
          <w:szCs w:val="28"/>
        </w:rPr>
      </w:pPr>
      <w:r>
        <w:rPr>
          <w:spacing w:val="-4"/>
          <w:sz w:val="28"/>
          <w:szCs w:val="28"/>
        </w:rPr>
        <w:t>3. Департаменту містобудування, земельних ресурсів та реклами Луцької міської ради забезпечити укладення виконавчим комітетом Луцької міської ради:</w:t>
      </w:r>
    </w:p>
    <w:p>
      <w:pPr>
        <w:pStyle w:val="Normal"/>
        <w:widowControl w:val="false"/>
        <w:suppressAutoHyphens w:val="true"/>
        <w:bidi w:val="0"/>
        <w:spacing w:before="0" w:after="0"/>
        <w:ind w:firstLine="567" w:left="0" w:right="0"/>
        <w:jc w:val="both"/>
        <w:rPr>
          <w:spacing w:val="-4"/>
          <w:sz w:val="28"/>
          <w:szCs w:val="28"/>
        </w:rPr>
      </w:pPr>
      <w:r>
        <w:rPr>
          <w:spacing w:val="-4"/>
          <w:sz w:val="28"/>
          <w:szCs w:val="28"/>
        </w:rPr>
        <w:t>3.1. Договору про оплату авансового внеску в рахунок оплати ціни земельної ділянки з ТОВАРИСТВОМ З ОБМЕЖЕНОЮ ВІДПОВІДАЛЬНІСТЮ «ЛУЧЕСЬК-ТОРГ».</w:t>
      </w:r>
    </w:p>
    <w:p>
      <w:pPr>
        <w:pStyle w:val="Normal"/>
        <w:widowControl w:val="false"/>
        <w:suppressAutoHyphens w:val="true"/>
        <w:bidi w:val="0"/>
        <w:spacing w:before="0" w:after="0"/>
        <w:ind w:firstLine="567" w:left="0" w:right="0"/>
        <w:jc w:val="both"/>
        <w:rPr>
          <w:spacing w:val="-4"/>
          <w:sz w:val="28"/>
          <w:szCs w:val="28"/>
        </w:rPr>
      </w:pPr>
      <w:r>
        <w:rPr>
          <w:spacing w:val="-4"/>
          <w:sz w:val="28"/>
          <w:szCs w:val="28"/>
        </w:rPr>
        <w:t>3.2. Договору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«Про оцінку земель» має у своєму складі оцінювачів, внесених до Державного реєстру оцінювачів з експертної грошової оцінки земельних ділянок.</w:t>
      </w:r>
    </w:p>
    <w:p>
      <w:pPr>
        <w:pStyle w:val="Normal"/>
        <w:widowControl w:val="false"/>
        <w:suppressAutoHyphens w:val="true"/>
        <w:bidi w:val="0"/>
        <w:spacing w:before="0" w:after="0"/>
        <w:ind w:firstLine="567" w:left="0" w:right="0"/>
        <w:jc w:val="both"/>
        <w:rPr>
          <w:spacing w:val="-4"/>
          <w:sz w:val="28"/>
          <w:szCs w:val="28"/>
        </w:rPr>
      </w:pPr>
      <w:r>
        <w:rPr>
          <w:spacing w:val="-4"/>
          <w:sz w:val="28"/>
          <w:szCs w:val="28"/>
        </w:rPr>
        <w:t>4. При недотриманні ТОВАРИСТВОМ З ОБМЕЖЕНОЮ ВІДПОВІДАЛЬНІСТЮ «ЛУЧЕСЬК-ТОРГ» строку укладення договору про оплату авансового внеску рішення буде відкликане.</w:t>
      </w:r>
    </w:p>
    <w:p>
      <w:pPr>
        <w:pStyle w:val="Normal"/>
        <w:widowControl w:val="false"/>
        <w:suppressAutoHyphens w:val="true"/>
        <w:bidi w:val="0"/>
        <w:spacing w:before="0" w:after="0"/>
        <w:ind w:firstLine="567" w:left="0" w:right="0"/>
        <w:jc w:val="both"/>
        <w:rPr/>
      </w:pPr>
      <w:r>
        <w:rPr>
          <w:spacing w:val="-4"/>
          <w:sz w:val="28"/>
          <w:szCs w:val="28"/>
        </w:rPr>
        <w:t>5. </w:t>
      </w:r>
      <w:r>
        <w:rPr>
          <w:rFonts w:eastAsia="Times New Roman" w:cs="Times New Roman"/>
          <w:color w:val="00000A"/>
          <w:spacing w:val="-4"/>
          <w:kern w:val="0"/>
          <w:sz w:val="28"/>
          <w:szCs w:val="28"/>
          <w:lang w:val="uk-UA" w:eastAsia="ru-RU"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7513" w:leader="none"/>
        </w:tabs>
        <w:rPr>
          <w:sz w:val="28"/>
          <w:szCs w:val="28"/>
        </w:rPr>
      </w:pPr>
      <w:r>
        <w:rPr>
          <w:sz w:val="28"/>
          <w:szCs w:val="28"/>
        </w:rPr>
        <w:t>Міський голова                                                                             Ігор ПОЛІЩУК</w:t>
      </w:r>
    </w:p>
    <w:p>
      <w:pPr>
        <w:pStyle w:val="Normal"/>
        <w:tabs>
          <w:tab w:val="clear" w:pos="708"/>
          <w:tab w:val="left" w:pos="7513" w:leader="none"/>
        </w:tabs>
        <w:rPr>
          <w:sz w:val="28"/>
          <w:szCs w:val="28"/>
        </w:rPr>
      </w:pPr>
      <w:r>
        <w:rPr>
          <w:sz w:val="28"/>
          <w:szCs w:val="28"/>
        </w:rPr>
      </w:r>
    </w:p>
    <w:p>
      <w:pPr>
        <w:pStyle w:val="Normal"/>
        <w:tabs>
          <w:tab w:val="clear" w:pos="708"/>
          <w:tab w:val="left" w:pos="7513" w:leader="none"/>
        </w:tabs>
        <w:rPr/>
      </w:pPr>
      <w:r>
        <w:rPr/>
      </w:r>
    </w:p>
    <w:p>
      <w:pPr>
        <w:pStyle w:val="Normal"/>
        <w:tabs>
          <w:tab w:val="clear" w:pos="708"/>
          <w:tab w:val="left" w:pos="7513" w:leader="none"/>
        </w:tabs>
        <w:ind w:right="-365"/>
        <w:jc w:val="both"/>
        <w:rPr/>
      </w:pPr>
      <w:r>
        <w:rPr/>
        <w:t>Туз 777 863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4"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customStyle="1">
    <w:name w:val="Покажчик"/>
    <w:basedOn w:val="Normal"/>
    <w:qFormat/>
    <w:rsid w:val="00c7405a"/>
    <w:pPr>
      <w:suppressLineNumbers/>
    </w:pPr>
    <w:rPr>
      <w:rFonts w:cs="Lucida 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111" w:customStyle="1">
    <w:name w:val="Заголовок 11"/>
    <w:basedOn w:val="Normal"/>
    <w:qFormat/>
    <w:rsid w:val="000d696a"/>
    <w:pPr>
      <w:keepNext w:val="true"/>
      <w:spacing w:before="240" w:after="60"/>
      <w:outlineLvl w:val="0"/>
    </w:pPr>
    <w:rPr>
      <w:rFonts w:ascii="Arial" w:hAnsi="Arial" w:cs="Arial"/>
      <w:b/>
      <w:bCs/>
      <w:kern w:val="2"/>
      <w:sz w:val="32"/>
      <w:szCs w:val="32"/>
    </w:rPr>
  </w:style>
  <w:style w:type="paragraph" w:styleId="211" w:customStyle="1">
    <w:name w:val="Заголовок 21"/>
    <w:basedOn w:val="Normal"/>
    <w:uiPriority w:val="9"/>
    <w:semiHidden/>
    <w:unhideWhenUsed/>
    <w:qFormat/>
    <w:rsid w:val="000d696a"/>
    <w:pPr>
      <w:keepNext w:val="true"/>
      <w:spacing w:before="240" w:after="60"/>
      <w:outlineLvl w:val="1"/>
    </w:pPr>
    <w:rPr>
      <w:rFonts w:ascii="Cambria" w:hAnsi="Cambria"/>
      <w:b/>
      <w:bCs/>
      <w:i/>
      <w:iCs/>
      <w:sz w:val="28"/>
      <w:szCs w:val="28"/>
    </w:rPr>
  </w:style>
  <w:style w:type="paragraph" w:styleId="12" w:customStyle="1">
    <w:name w:val="Название объекта1"/>
    <w:basedOn w:val="Normal"/>
    <w:qFormat/>
    <w:rsid w:val="00c7405a"/>
    <w:pPr>
      <w:suppressLineNumbers/>
      <w:spacing w:before="120" w:after="120"/>
    </w:pPr>
    <w:rPr>
      <w:rFonts w:cs="Lucida Sans"/>
      <w:i/>
      <w:iCs/>
    </w:rPr>
  </w:style>
  <w:style w:type="numbering" w:styleId="user2" w:default="1">
    <w:name w:val="Без маркерів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670</TotalTime>
  <Application>LibreOffice/25.2.6.2$Windows_X86_64 LibreOffice_project/729c5bfe710f5eb71ed3bbde9e06a6065e9c6c5d</Application>
  <AppVersion>15.0000</AppVersion>
  <Pages>2</Pages>
  <Words>497</Words>
  <Characters>3410</Characters>
  <CharactersWithSpaces>4095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2025-11-04T11:43:28Z</cp:lastPrinted>
  <dcterms:modified xsi:type="dcterms:W3CDTF">2025-11-06T16:29:37Z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