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uppressAutoHyphens w:val="false"/>
        <w:jc w:val="center"/>
        <w:rPr>
          <w:bCs/>
          <w:color w:val="auto"/>
          <w:sz w:val="28"/>
        </w:rPr>
      </w:pPr>
      <w:r>
        <w:rPr/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317538723" r:id="rId2"/>
        </w:object>
      </w:r>
    </w:p>
    <w:p>
      <w:pPr>
        <w:pStyle w:val="Normal"/>
        <w:suppressAutoHyphens w:val="false"/>
        <w:jc w:val="center"/>
        <w:rPr>
          <w:bCs/>
          <w:color w:val="auto"/>
          <w:sz w:val="16"/>
          <w:szCs w:val="16"/>
        </w:rPr>
      </w:pPr>
      <w:r>
        <w:rPr>
          <w:bCs/>
          <w:color w:val="auto"/>
          <w:sz w:val="16"/>
          <w:szCs w:val="16"/>
        </w:rPr>
      </w:r>
    </w:p>
    <w:p>
      <w:pPr>
        <w:pStyle w:val="Normal"/>
        <w:keepNext w:val="true"/>
        <w:numPr>
          <w:ilvl w:val="0"/>
          <w:numId w:val="0"/>
        </w:numPr>
        <w:suppressAutoHyphens w:val="false"/>
        <w:jc w:val="center"/>
        <w:outlineLvl w:val="0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ЛУЦЬКА  МІСЬКА  РАДА</w:t>
      </w:r>
    </w:p>
    <w:p>
      <w:pPr>
        <w:pStyle w:val="Normal"/>
        <w:suppressAutoHyphens w:val="false"/>
        <w:rPr>
          <w:bCs/>
          <w:color w:val="auto"/>
          <w:sz w:val="20"/>
          <w:szCs w:val="20"/>
        </w:rPr>
      </w:pPr>
      <w:r>
        <w:rPr>
          <w:bCs/>
          <w:color w:val="auto"/>
          <w:sz w:val="20"/>
          <w:szCs w:val="20"/>
        </w:rPr>
      </w:r>
    </w:p>
    <w:p>
      <w:pPr>
        <w:pStyle w:val="Normal"/>
        <w:keepNext w:val="true"/>
        <w:numPr>
          <w:ilvl w:val="0"/>
          <w:numId w:val="0"/>
        </w:numPr>
        <w:tabs>
          <w:tab w:val="clear" w:pos="708"/>
          <w:tab w:val="left" w:pos="4218" w:leader="none"/>
          <w:tab w:val="left" w:pos="4674" w:leader="none"/>
        </w:tabs>
        <w:suppressAutoHyphens w:val="false"/>
        <w:jc w:val="center"/>
        <w:outlineLvl w:val="1"/>
        <w:rPr>
          <w:b/>
          <w:bCs/>
          <w:iCs/>
          <w:color w:val="auto"/>
          <w:sz w:val="32"/>
          <w:szCs w:val="32"/>
        </w:rPr>
      </w:pPr>
      <w:r>
        <w:rPr>
          <w:b/>
          <w:bCs/>
          <w:iCs/>
          <w:color w:val="auto"/>
          <w:sz w:val="32"/>
          <w:szCs w:val="32"/>
        </w:rPr>
        <w:t>Р І Ш Е Н Н Я</w:t>
      </w:r>
    </w:p>
    <w:p>
      <w:pPr>
        <w:pStyle w:val="Normal"/>
        <w:suppressAutoHyphens w:val="false"/>
        <w:jc w:val="center"/>
        <w:rPr>
          <w:b/>
          <w:color w:val="auto"/>
          <w:sz w:val="40"/>
          <w:szCs w:val="40"/>
        </w:rPr>
      </w:pPr>
      <w:r>
        <w:rPr>
          <w:b/>
          <w:color w:val="auto"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suppressAutoHyphens w:val="false"/>
        <w:jc w:val="both"/>
        <w:rPr>
          <w:bCs/>
          <w:color w:val="auto"/>
        </w:rPr>
      </w:pPr>
      <w:r>
        <w:rPr>
          <w:bCs/>
          <w:color w:val="auto"/>
        </w:rPr>
        <w:t>________________                                        Луцьк                                         №______________</w:t>
      </w:r>
    </w:p>
    <w:p>
      <w:pPr>
        <w:pStyle w:val="Normal"/>
        <w:jc w:val="center"/>
        <w:rPr>
          <w:sz w:val="20"/>
        </w:rPr>
      </w:pPr>
      <w:r>
        <w:rPr>
          <w:sz w:val="20"/>
        </w:rPr>
      </w:r>
    </w:p>
    <w:p>
      <w:pPr>
        <w:pStyle w:val="BodyText2"/>
        <w:rPr>
          <w:sz w:val="27"/>
          <w:szCs w:val="27"/>
        </w:rPr>
      </w:pPr>
      <w:r>
        <w:rPr>
          <w:sz w:val="27"/>
          <w:szCs w:val="27"/>
        </w:rPr>
        <w:t xml:space="preserve">Про внесення змін до Програми розвитку </w:t>
      </w:r>
    </w:p>
    <w:p>
      <w:pPr>
        <w:pStyle w:val="BodyText2"/>
        <w:rPr>
          <w:sz w:val="27"/>
          <w:szCs w:val="27"/>
        </w:rPr>
      </w:pPr>
      <w:r>
        <w:rPr>
          <w:sz w:val="27"/>
          <w:szCs w:val="27"/>
        </w:rPr>
        <w:t xml:space="preserve">цивільного захисту Луцької міської </w:t>
      </w:r>
    </w:p>
    <w:p>
      <w:pPr>
        <w:pStyle w:val="BodyText2"/>
        <w:rPr>
          <w:sz w:val="27"/>
          <w:szCs w:val="27"/>
        </w:rPr>
      </w:pPr>
      <w:bookmarkStart w:id="0" w:name="__DdeLink__31870_3072169630"/>
      <w:r>
        <w:rPr>
          <w:sz w:val="27"/>
          <w:szCs w:val="27"/>
        </w:rPr>
        <w:t>територіальної громади на 2021–</w:t>
      </w:r>
      <w:bookmarkEnd w:id="0"/>
      <w:r>
        <w:rPr>
          <w:sz w:val="27"/>
          <w:szCs w:val="27"/>
        </w:rPr>
        <w:t>2025 роки</w:t>
      </w:r>
    </w:p>
    <w:p>
      <w:pPr>
        <w:pStyle w:val="BodyText2"/>
        <w:rPr/>
      </w:pPr>
      <w:r>
        <w:rPr/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7"/>
          <w:szCs w:val="27"/>
        </w:rPr>
        <w:t>Відповідно до статті 26 Закону України «Про місцеве самоврядування в Україні», частини другої статті 19 Кодексу цивільного захисту України, з метою виконання заходів, передбачених пунктом 21 Плану запровадження та забезпечення заходів здійснення правового режиму воєнного стану в Україні, затверджених розпорядженням Кабінету Міністрів України від 24.02.2022 № 181-р «Питання запровадження та забезпечення здійснення заходів правового режиму воєнного стану в Україні», міська рада</w:t>
      </w:r>
    </w:p>
    <w:p>
      <w:pPr>
        <w:pStyle w:val="BodyText"/>
        <w:shd w:val="clear" w:color="auto" w:fill="FFFFFF"/>
        <w:spacing w:lineRule="auto" w:line="240" w:before="0" w:after="0"/>
        <w:jc w:val="both"/>
        <w:rPr>
          <w:sz w:val="20"/>
        </w:rPr>
      </w:pPr>
      <w:r>
        <w:rPr>
          <w:sz w:val="20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7"/>
          <w:szCs w:val="27"/>
        </w:rPr>
        <w:t>ВИРІШИЛА</w:t>
      </w:r>
      <w:r>
        <w:rPr>
          <w:sz w:val="28"/>
          <w:szCs w:val="28"/>
        </w:rPr>
        <w:t>:</w:t>
      </w:r>
    </w:p>
    <w:p>
      <w:pPr>
        <w:pStyle w:val="Normal"/>
        <w:jc w:val="both"/>
        <w:rPr>
          <w:sz w:val="20"/>
        </w:rPr>
      </w:pPr>
      <w:r>
        <w:rPr>
          <w:sz w:val="20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7"/>
          <w:szCs w:val="27"/>
        </w:rPr>
        <w:t>1. Внести зміни до додатку 2 Програми розвитку цивільного захисту Луцької міської територіальної громади на 2021–2025 роки, затвердженої рішенням міської ради від 23.12.2020 №</w:t>
      </w:r>
      <w:r>
        <w:rPr>
          <w:sz w:val="27"/>
          <w:szCs w:val="27"/>
          <w:lang w:val="en-US"/>
        </w:rPr>
        <w:t> </w:t>
      </w:r>
      <w:r>
        <w:rPr>
          <w:sz w:val="27"/>
          <w:szCs w:val="27"/>
        </w:rPr>
        <w:t>2/12, з врахуванням змін, внесених рішеннями міської ради від 24.02.2021 № 7/106, від 30.07.2021 № 15/83, від 01.03.2022 № 27/3, від 04.03.2022 № 28/3, рішеннями виконавчого комітету міської ради від 23.03.2022 № 146-1, від 18.05.2022 № 241-1, від 03.11.2022 № 556-1 та рішеннями міської ради від 30.11.2022 № 37/87, від 25.01.2023 № 40/84, від 28.06.2023 № 47/96, від 30.08.2023 № 50/80, від 31.10.2023 № 52/118, від 20.12.2023 № 54/18, від 27.03.2024 № 57/128, від 24.04.2024 № 58/129, від</w:t>
      </w:r>
      <w:r>
        <w:rPr>
          <w:sz w:val="27"/>
          <w:szCs w:val="27"/>
        </w:rPr>
        <w:t> </w:t>
      </w:r>
      <w:r>
        <w:rPr>
          <w:sz w:val="27"/>
          <w:szCs w:val="27"/>
        </w:rPr>
        <w:t>29.05.2024 № 59/113, від 27.11.2024 № 65/111,</w:t>
      </w:r>
      <w:r>
        <w:rPr>
          <w:sz w:val="27"/>
          <w:szCs w:val="27"/>
        </w:rPr>
        <w:t xml:space="preserve"> від 29.01.2025 № 70/95, від 26.03.2025 № 73/102,</w:t>
      </w:r>
      <w:r>
        <w:rPr>
          <w:sz w:val="27"/>
          <w:szCs w:val="27"/>
        </w:rPr>
        <w:t xml:space="preserve"> виклавши </w:t>
      </w:r>
      <w:r>
        <w:rPr>
          <w:sz w:val="27"/>
          <w:szCs w:val="27"/>
          <w:lang w:val="en-US"/>
        </w:rPr>
        <w:t>н</w:t>
      </w:r>
      <w:r>
        <w:rPr>
          <w:sz w:val="27"/>
          <w:szCs w:val="27"/>
        </w:rPr>
        <w:t>айм</w:t>
      </w:r>
      <w:r>
        <w:rPr>
          <w:sz w:val="27"/>
          <w:szCs w:val="27"/>
          <w:lang w:val="en-US"/>
        </w:rPr>
        <w:t>е</w:t>
      </w:r>
      <w:r>
        <w:rPr>
          <w:sz w:val="27"/>
          <w:szCs w:val="27"/>
        </w:rPr>
        <w:t>нування заходу пункту </w:t>
      </w:r>
      <w:r>
        <w:rPr>
          <w:sz w:val="27"/>
          <w:szCs w:val="27"/>
          <w:lang w:val="en-US"/>
        </w:rPr>
        <w:t>2</w:t>
      </w:r>
      <w:r>
        <w:rPr>
          <w:sz w:val="27"/>
          <w:szCs w:val="27"/>
        </w:rPr>
        <w:t xml:space="preserve"> розділу </w:t>
      </w:r>
      <w:r>
        <w:rPr>
          <w:sz w:val="27"/>
          <w:szCs w:val="27"/>
          <w:lang w:val="en-US"/>
        </w:rPr>
        <w:t>I</w:t>
      </w:r>
      <w:r>
        <w:rPr>
          <w:sz w:val="27"/>
          <w:szCs w:val="27"/>
          <w:lang w:val="uk-UA"/>
        </w:rPr>
        <w:t>І</w:t>
      </w:r>
      <w:r>
        <w:rPr>
          <w:sz w:val="27"/>
          <w:szCs w:val="27"/>
          <w:lang w:val="en-US"/>
        </w:rPr>
        <w:t xml:space="preserve"> </w:t>
      </w:r>
      <w:r>
        <w:rPr>
          <w:sz w:val="27"/>
          <w:szCs w:val="27"/>
        </w:rPr>
        <w:t>«</w:t>
      </w:r>
      <w:r>
        <w:rPr>
          <w:sz w:val="27"/>
          <w:szCs w:val="27"/>
        </w:rPr>
        <w:t>Утримання захисних споруд ЦЗ, найпростіших укриттів та споруд подвійного призначення комунальної форми власності</w:t>
      </w:r>
      <w:r>
        <w:rPr>
          <w:sz w:val="27"/>
          <w:szCs w:val="27"/>
        </w:rPr>
        <w:t>» у такій редакції: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sz w:val="27"/>
          <w:szCs w:val="27"/>
        </w:rPr>
      </w:pPr>
      <w:r>
        <w:rPr>
          <w:sz w:val="27"/>
          <w:szCs w:val="27"/>
        </w:rPr>
        <w:tab/>
        <w:t>«</w:t>
      </w:r>
      <w:r>
        <w:rPr>
          <w:sz w:val="27"/>
          <w:szCs w:val="27"/>
          <w:lang w:val="uk-UA"/>
        </w:rPr>
        <w:t>Комплектація захисних споруд спеціальним обладнанням, виготовлення та оновлення технічної документації</w:t>
      </w:r>
      <w:r>
        <w:rPr>
          <w:sz w:val="27"/>
          <w:szCs w:val="27"/>
          <w:lang w:val="en-US"/>
        </w:rPr>
        <w:t>»</w:t>
      </w:r>
      <w:r>
        <w:rPr>
          <w:sz w:val="27"/>
          <w:szCs w:val="27"/>
        </w:rPr>
        <w:t>.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sz w:val="27"/>
          <w:szCs w:val="27"/>
        </w:rPr>
      </w:pPr>
      <w:r>
        <w:rPr>
          <w:sz w:val="27"/>
          <w:szCs w:val="27"/>
        </w:rPr>
        <w:tab/>
        <w:t>2. Контроль за виконанням рішення покласти на заступника міського голови відповідно до розподілу обов’язків, постійну комісію міської ради з питань генерального планування, будівництва, архітектури та благоустрою, </w:t>
      </w:r>
      <w:bookmarkStart w:id="1" w:name="_GoBack"/>
      <w:bookmarkEnd w:id="1"/>
      <w:r>
        <w:rPr>
          <w:sz w:val="27"/>
          <w:szCs w:val="27"/>
        </w:rPr>
        <w:t>житлово-комунального господарства, екології, транспорту та енергоощадності та постійну комісію міської ради з питань планування соціально-економічного розвитку, бюджету та фінансів.</w:t>
      </w:r>
    </w:p>
    <w:p>
      <w:pPr>
        <w:pStyle w:val="BodyTextIndented"/>
        <w:ind w:hanging="0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BodyTextIndented"/>
        <w:ind w:hanging="0"/>
        <w:rPr>
          <w:sz w:val="27"/>
          <w:szCs w:val="27"/>
        </w:rPr>
      </w:pPr>
      <w:r>
        <w:rPr>
          <w:sz w:val="27"/>
          <w:szCs w:val="27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BodyTextIndented"/>
        <w:ind w:hanging="0"/>
        <w:rPr/>
      </w:pPr>
      <w:r>
        <w:rPr/>
      </w:r>
    </w:p>
    <w:p>
      <w:pPr>
        <w:pStyle w:val="Normal"/>
        <w:rPr/>
      </w:pPr>
      <w:r>
        <w:rPr/>
        <w:t>Кирилюк 720 087</w:t>
        <w:tab/>
      </w:r>
    </w:p>
    <w:sectPr>
      <w:type w:val="nextPage"/>
      <w:pgSz w:w="11906" w:h="16838"/>
      <w:pgMar w:left="1701" w:right="567" w:gutter="0" w:header="0" w:top="426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eastAsia="ru-RU" w:val="uk-U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qFormat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Lucida Sans"/>
    </w:rPr>
  </w:style>
  <w:style w:type="paragraph" w:styleId="111" w:customStyle="1">
    <w:name w:val="Заголовок 11"/>
    <w:basedOn w:val="Normal"/>
    <w:qFormat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11" w:customStyle="1">
    <w:name w:val="Заголовок 21"/>
    <w:basedOn w:val="Normal"/>
    <w:qFormat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12" w:customStyle="1">
    <w:name w:val="Назва об'єкта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BodyText2">
    <w:name w:val="Body Text 2"/>
    <w:basedOn w:val="Normal"/>
    <w:qFormat/>
    <w:pPr>
      <w:jc w:val="both"/>
    </w:pPr>
    <w:rPr>
      <w:szCs w:val="20"/>
    </w:rPr>
  </w:style>
  <w:style w:type="paragraph" w:styleId="BodyTextIndented" w:customStyle="1">
    <w:name w:val="Body Text;Indented"/>
    <w:basedOn w:val="Normal"/>
    <w:qFormat/>
    <w:pPr>
      <w:ind w:firstLine="545"/>
      <w:jc w:val="both"/>
    </w:pPr>
    <w:rPr/>
  </w:style>
  <w:style w:type="paragraph" w:styleId="Style16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677" w:leader="none"/>
        <w:tab w:val="right" w:pos="9355" w:leader="none"/>
      </w:tabs>
    </w:pPr>
    <w:rPr/>
  </w:style>
  <w:style w:type="paragraph" w:styleId="Header">
    <w:name w:val="header"/>
    <w:basedOn w:val="Style16"/>
    <w:pPr/>
    <w:rPr/>
  </w:style>
  <w:style w:type="paragraph" w:styleId="user2" w:customStyle="1">
    <w:name w:val="Верхній колонтитул ліворуч (user)"/>
    <w:basedOn w:val="Header"/>
    <w:qFormat/>
    <w:pPr/>
    <w:rPr/>
  </w:style>
  <w:style w:type="paragraph" w:styleId="Footer">
    <w:name w:val="footer"/>
    <w:basedOn w:val="Style16"/>
    <w:pPr/>
    <w:rPr/>
  </w:style>
  <w:style w:type="numbering" w:styleId="Style17" w:default="1">
    <w:name w:val="Без маркерів"/>
    <w:uiPriority w:val="99"/>
    <w:semiHidden/>
    <w:unhideWhenUsed/>
    <w:qFormat/>
  </w:style>
  <w:style w:type="numbering" w:styleId="user3" w:customStyle="1">
    <w:name w:val="Без маркерів (user)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Application>LibreOffice/25.2.6.2$Windows_X86_64 LibreOffice_project/729c5bfe710f5eb71ed3bbde9e06a6065e9c6c5d</Application>
  <AppVersion>15.0000</AppVersion>
  <Pages>1</Pages>
  <Words>1412</Words>
  <Characters>805</Characters>
  <CharactersWithSpaces>2213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2025-11-14T11:43:25Z</cp:lastPrinted>
  <dcterms:modified xsi:type="dcterms:W3CDTF">2025-11-14T11:56:37Z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