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98ED" w14:textId="77777777" w:rsidR="00C01511" w:rsidRDefault="00000000">
      <w:pPr>
        <w:ind w:firstLine="567"/>
        <w:jc w:val="both"/>
      </w:pPr>
      <w:r>
        <w:tab/>
      </w:r>
      <w:r>
        <w:tab/>
      </w:r>
      <w:r>
        <w:tab/>
      </w:r>
      <w:r>
        <w:tab/>
      </w:r>
      <w:r>
        <w:tab/>
      </w:r>
      <w:r>
        <w:tab/>
      </w:r>
      <w:r>
        <w:tab/>
        <w:t xml:space="preserve">     ЗАТВЕРДЖЕНО</w:t>
      </w:r>
    </w:p>
    <w:p w14:paraId="1B28A513" w14:textId="020958F0" w:rsidR="00C01511" w:rsidRDefault="00000000">
      <w:pPr>
        <w:ind w:firstLine="567"/>
        <w:jc w:val="both"/>
      </w:pPr>
      <w:r>
        <w:tab/>
      </w:r>
      <w:r>
        <w:tab/>
      </w:r>
      <w:r>
        <w:tab/>
      </w:r>
      <w:r>
        <w:tab/>
      </w:r>
      <w:r>
        <w:tab/>
      </w:r>
      <w:r>
        <w:tab/>
      </w:r>
      <w:r>
        <w:tab/>
        <w:t xml:space="preserve">     Розпорядження міського голови</w:t>
      </w:r>
    </w:p>
    <w:p w14:paraId="01518FD1" w14:textId="77777777" w:rsidR="00C01511" w:rsidRDefault="00000000">
      <w:pPr>
        <w:ind w:firstLine="567"/>
        <w:jc w:val="both"/>
      </w:pPr>
      <w:r>
        <w:tab/>
      </w:r>
      <w:r>
        <w:tab/>
      </w:r>
      <w:r>
        <w:tab/>
      </w:r>
      <w:r>
        <w:tab/>
      </w:r>
      <w:r>
        <w:tab/>
      </w:r>
      <w:r>
        <w:tab/>
      </w:r>
      <w:r>
        <w:tab/>
        <w:t xml:space="preserve">     ________________ № _______</w:t>
      </w:r>
    </w:p>
    <w:p w14:paraId="3106E419" w14:textId="77777777" w:rsidR="00C01511" w:rsidRDefault="00C01511">
      <w:pPr>
        <w:ind w:firstLine="567"/>
        <w:jc w:val="both"/>
      </w:pPr>
    </w:p>
    <w:p w14:paraId="3FF78AF2" w14:textId="77777777" w:rsidR="00D96AE9" w:rsidRDefault="00D96AE9">
      <w:pPr>
        <w:ind w:firstLine="567"/>
        <w:jc w:val="center"/>
      </w:pPr>
    </w:p>
    <w:p w14:paraId="5235E2D9" w14:textId="3D06910E" w:rsidR="00C01511" w:rsidRDefault="00000000">
      <w:pPr>
        <w:ind w:firstLine="567"/>
        <w:jc w:val="center"/>
      </w:pPr>
      <w:r>
        <w:t>ПЛАН ЗАХИСТУ ІНФОРМАЦІЇ</w:t>
      </w:r>
    </w:p>
    <w:p w14:paraId="784C7CF0" w14:textId="77777777" w:rsidR="00C01511" w:rsidRDefault="00000000">
      <w:pPr>
        <w:ind w:firstLine="567"/>
        <w:jc w:val="center"/>
      </w:pPr>
      <w:r>
        <w:t>на об’єктах інформаційної діяльності</w:t>
      </w:r>
    </w:p>
    <w:p w14:paraId="296208C9" w14:textId="77777777" w:rsidR="00C01511" w:rsidRDefault="00000000">
      <w:pPr>
        <w:ind w:firstLine="567"/>
        <w:jc w:val="center"/>
      </w:pPr>
      <w:r>
        <w:t>адміністративних приміщень Луцької міської ради</w:t>
      </w:r>
    </w:p>
    <w:p w14:paraId="30F7DBC4" w14:textId="77777777" w:rsidR="00C01511" w:rsidRDefault="00C01511">
      <w:pPr>
        <w:ind w:firstLine="567"/>
        <w:jc w:val="both"/>
      </w:pPr>
    </w:p>
    <w:p w14:paraId="2FB6B264" w14:textId="77777777" w:rsidR="00C01511" w:rsidRDefault="00000000">
      <w:pPr>
        <w:ind w:firstLine="567"/>
        <w:jc w:val="center"/>
      </w:pPr>
      <w:r>
        <w:t>1. Загальні положення</w:t>
      </w:r>
    </w:p>
    <w:p w14:paraId="0EE6650C" w14:textId="5EBAD8E3" w:rsidR="00C01511" w:rsidRDefault="00000000">
      <w:pPr>
        <w:ind w:firstLine="567"/>
        <w:jc w:val="both"/>
      </w:pPr>
      <w:r>
        <w:t>1.1.</w:t>
      </w:r>
      <w:r w:rsidR="00680EBB">
        <w:t> </w:t>
      </w:r>
      <w:r>
        <w:t xml:space="preserve">План захисту інформації на об’єктах інформаційної діяльності адміністративних приміщень Луцької міської ради (далі – План) визначає загальні принципи організації захисту інформації, яка обробляється, зберігається або передається в інформаційних, електронних комунікаційних, інформаційно-комунікаційних та технологічних </w:t>
      </w:r>
      <w:r w:rsidRPr="00D27140">
        <w:rPr>
          <w:color w:val="000000"/>
        </w:rPr>
        <w:t>системах (далі – системи)</w:t>
      </w:r>
      <w:r>
        <w:t xml:space="preserve"> Луцької міської ради.</w:t>
      </w:r>
    </w:p>
    <w:p w14:paraId="19BBB4A8" w14:textId="6D6F1B47" w:rsidR="00C01511" w:rsidRDefault="00000000" w:rsidP="003A1CD4">
      <w:pPr>
        <w:ind w:firstLine="567"/>
        <w:jc w:val="both"/>
      </w:pPr>
      <w:r>
        <w:t>1.2.</w:t>
      </w:r>
      <w:r w:rsidR="00680EBB">
        <w:t> </w:t>
      </w:r>
      <w:r>
        <w:t>План розроблено відповідно до чинного законодавства України, зокрема:</w:t>
      </w:r>
      <w:r w:rsidR="003A1CD4">
        <w:t xml:space="preserve"> з</w:t>
      </w:r>
      <w:r>
        <w:t>акон</w:t>
      </w:r>
      <w:r w:rsidR="003A1CD4">
        <w:t>ів</w:t>
      </w:r>
      <w:r>
        <w:t xml:space="preserve"> України «Про захист інформації в інформаційно-комунікаційних системах»</w:t>
      </w:r>
      <w:r w:rsidR="003A1CD4">
        <w:t>,</w:t>
      </w:r>
      <w:r>
        <w:t xml:space="preserve"> «Про основні засади забезпечення </w:t>
      </w:r>
      <w:proofErr w:type="spellStart"/>
      <w:r>
        <w:t>кібербезпеки</w:t>
      </w:r>
      <w:proofErr w:type="spellEnd"/>
      <w:r>
        <w:t xml:space="preserve"> України»</w:t>
      </w:r>
      <w:r w:rsidR="003A1CD4">
        <w:t>,</w:t>
      </w:r>
      <w:r>
        <w:t xml:space="preserve"> «Про захист персональних даних»</w:t>
      </w:r>
      <w:r w:rsidR="003A1CD4">
        <w:t xml:space="preserve">, </w:t>
      </w:r>
      <w:r w:rsidR="000006AF">
        <w:t>постанов Кабінету Міністрів України від 29</w:t>
      </w:r>
      <w:r w:rsidR="003A1CD4">
        <w:t>.03.</w:t>
      </w:r>
      <w:r w:rsidR="000006AF">
        <w:t xml:space="preserve">2006 № 373 </w:t>
      </w:r>
      <w:r w:rsidR="000006AF" w:rsidRPr="000006AF">
        <w:t>«Про затвердження Правил забезпечення захисту інформації в інформаційних, електронних комунікаційних та інформаційно-комунікаційних системах»</w:t>
      </w:r>
      <w:r w:rsidR="000006AF">
        <w:t xml:space="preserve"> зі змінами</w:t>
      </w:r>
      <w:r w:rsidR="003A1CD4">
        <w:t>,</w:t>
      </w:r>
      <w:r w:rsidR="000006AF">
        <w:t xml:space="preserve"> від 18.06.2025 № 712 «Деякі питання захисту інформаційних, електронних комунікаційних, інформаційно-комунікаційних, технологічних систем» зі змінами</w:t>
      </w:r>
      <w:r w:rsidR="003A1CD4">
        <w:t xml:space="preserve">,                           </w:t>
      </w:r>
      <w:r>
        <w:t>НД ТЗІ 2.5-010-2021 «Вимоги до захисту інформації в інформаційно-комунікаційних системах»</w:t>
      </w:r>
      <w:r w:rsidR="003A1CD4">
        <w:t xml:space="preserve">, </w:t>
      </w:r>
      <w:r>
        <w:t>НД ТЗІ 3.7-003-2023 «Порядок розроблення та затвердження профілів безпеки інформаційних, електронних комунікаційних, інформаційно-комунікаційних, технологічних систем».</w:t>
      </w:r>
    </w:p>
    <w:p w14:paraId="510E4D93" w14:textId="0A29D4CA" w:rsidR="00C01511" w:rsidRDefault="00000000">
      <w:pPr>
        <w:ind w:firstLine="567"/>
        <w:jc w:val="both"/>
      </w:pPr>
      <w:r>
        <w:t>1.3.</w:t>
      </w:r>
      <w:r w:rsidR="00680EBB">
        <w:t> </w:t>
      </w:r>
      <w:r>
        <w:t>Метою Плану є узгодження підходів до обробки та захисту інформації різних видів в органах місцевого самоврядування відповідно до чинних норм законодавства.</w:t>
      </w:r>
    </w:p>
    <w:p w14:paraId="2CC2D140" w14:textId="77777777" w:rsidR="00C01511" w:rsidRDefault="00C01511">
      <w:pPr>
        <w:ind w:firstLine="567"/>
        <w:jc w:val="both"/>
      </w:pPr>
    </w:p>
    <w:p w14:paraId="48E25DB7" w14:textId="77777777" w:rsidR="00C01511" w:rsidRDefault="00000000">
      <w:pPr>
        <w:ind w:firstLine="567"/>
        <w:jc w:val="center"/>
      </w:pPr>
      <w:r>
        <w:t>2. Загальні принципи захисту інформації</w:t>
      </w:r>
    </w:p>
    <w:p w14:paraId="2F320AAD" w14:textId="617CC689" w:rsidR="00C01511" w:rsidRDefault="00000000">
      <w:pPr>
        <w:ind w:firstLine="567"/>
        <w:jc w:val="both"/>
      </w:pPr>
      <w:r>
        <w:t>2.1.</w:t>
      </w:r>
      <w:r w:rsidR="00680EBB">
        <w:t> </w:t>
      </w:r>
      <w:r>
        <w:t xml:space="preserve">Захист інформації в системах Луцької міської ради здійснюється шляхом реалізації організаційних і технічних заходів відповідно до вимог чинного законодавства та нормативних документів </w:t>
      </w:r>
      <w:proofErr w:type="spellStart"/>
      <w:r>
        <w:t>Держспецзв’язку</w:t>
      </w:r>
      <w:proofErr w:type="spellEnd"/>
      <w:r>
        <w:t>.</w:t>
      </w:r>
    </w:p>
    <w:p w14:paraId="2DD0567B" w14:textId="4E291856" w:rsidR="00C01511" w:rsidRDefault="00000000">
      <w:pPr>
        <w:ind w:firstLine="567"/>
        <w:jc w:val="both"/>
      </w:pPr>
      <w:r>
        <w:t>2.2.</w:t>
      </w:r>
      <w:r w:rsidR="00680EBB">
        <w:t> </w:t>
      </w:r>
      <w:r>
        <w:t>Для забезпечення захисту інформації застосовуються технічні та криптографічні засоби, що:</w:t>
      </w:r>
    </w:p>
    <w:p w14:paraId="2C927909" w14:textId="77777777" w:rsidR="00C01511" w:rsidRDefault="00000000">
      <w:pPr>
        <w:ind w:firstLine="567"/>
        <w:jc w:val="both"/>
      </w:pPr>
      <w:r>
        <w:t>мають підтверджену відповідність вимогам нормативних документів у сфері технічного захисту інформації;</w:t>
      </w:r>
    </w:p>
    <w:p w14:paraId="0A3A2BA2" w14:textId="77777777" w:rsidR="00C01511" w:rsidRDefault="00000000">
      <w:pPr>
        <w:ind w:firstLine="567"/>
        <w:jc w:val="both"/>
      </w:pPr>
      <w:r>
        <w:t xml:space="preserve">внесені до реєстру засобів технічного захисту інформації, який ведеться Адміністрацією </w:t>
      </w:r>
      <w:proofErr w:type="spellStart"/>
      <w:r>
        <w:t>Держспецзв’язку</w:t>
      </w:r>
      <w:proofErr w:type="spellEnd"/>
      <w:r>
        <w:t>;</w:t>
      </w:r>
    </w:p>
    <w:p w14:paraId="74A8A5C3" w14:textId="77777777" w:rsidR="00C01511" w:rsidRDefault="00000000">
      <w:pPr>
        <w:ind w:firstLine="567"/>
        <w:jc w:val="both"/>
      </w:pPr>
      <w:r>
        <w:lastRenderedPageBreak/>
        <w:t>використовуються у системах із затвердженими профілями безпеки.</w:t>
      </w:r>
    </w:p>
    <w:p w14:paraId="04EC27B9" w14:textId="64E05C5D" w:rsidR="00C01511" w:rsidRPr="00D27140" w:rsidRDefault="00000000">
      <w:pPr>
        <w:ind w:firstLine="567"/>
        <w:jc w:val="both"/>
        <w:rPr>
          <w:color w:val="000000"/>
        </w:rPr>
      </w:pPr>
      <w:r>
        <w:t>2.3.</w:t>
      </w:r>
      <w:r w:rsidR="00680EBB">
        <w:t> </w:t>
      </w:r>
      <w:r>
        <w:t xml:space="preserve">Для підтримання цілісності та доступності інформації застосовуються базові організаційні заходи, які поширюються на всі </w:t>
      </w:r>
      <w:r w:rsidRPr="00D27140">
        <w:rPr>
          <w:color w:val="000000"/>
        </w:rPr>
        <w:t>інформаційні системи незалежно від категорії оброблюваної інформації:</w:t>
      </w:r>
    </w:p>
    <w:p w14:paraId="72BC9DAD" w14:textId="77777777" w:rsidR="00C01511" w:rsidRDefault="00000000">
      <w:pPr>
        <w:ind w:firstLine="567"/>
        <w:jc w:val="both"/>
      </w:pPr>
      <w:r>
        <w:t>антивірусний захист;</w:t>
      </w:r>
    </w:p>
    <w:p w14:paraId="48F9DBE6" w14:textId="77777777" w:rsidR="00C01511" w:rsidRDefault="00000000">
      <w:pPr>
        <w:ind w:firstLine="567"/>
        <w:jc w:val="both"/>
      </w:pPr>
      <w:r>
        <w:t>резервне копіювання даних;</w:t>
      </w:r>
    </w:p>
    <w:p w14:paraId="3475EFAE" w14:textId="77777777" w:rsidR="00C01511" w:rsidRDefault="00000000">
      <w:pPr>
        <w:ind w:firstLine="567"/>
        <w:jc w:val="both"/>
      </w:pPr>
      <w:r>
        <w:t>контроль доступу користувачів до систем, де обробляється інформація.</w:t>
      </w:r>
    </w:p>
    <w:p w14:paraId="2B78B9FB" w14:textId="77777777" w:rsidR="00C01511" w:rsidRDefault="00C01511">
      <w:pPr>
        <w:ind w:firstLine="567"/>
        <w:jc w:val="both"/>
      </w:pPr>
    </w:p>
    <w:p w14:paraId="5183AEDF" w14:textId="77777777" w:rsidR="00C01511" w:rsidRDefault="00000000">
      <w:pPr>
        <w:ind w:firstLine="567"/>
        <w:jc w:val="center"/>
      </w:pPr>
      <w:r>
        <w:t>3. Види інформації та підходи до їх захисту</w:t>
      </w:r>
    </w:p>
    <w:p w14:paraId="43D86EF0" w14:textId="6E4D98CE" w:rsidR="00C01511" w:rsidRDefault="00000000">
      <w:pPr>
        <w:ind w:firstLine="567"/>
        <w:jc w:val="both"/>
      </w:pPr>
      <w:r>
        <w:t>3.1.</w:t>
      </w:r>
      <w:r w:rsidR="00680EBB">
        <w:t> </w:t>
      </w:r>
      <w:r>
        <w:t>На об’єктах інформаційної діяльності Луцької міської ради обробляється інформація таких категорій за режимом доступу:</w:t>
      </w:r>
    </w:p>
    <w:p w14:paraId="6124C36E" w14:textId="57285A8E" w:rsidR="00C01511" w:rsidRDefault="004E01F5">
      <w:pPr>
        <w:ind w:firstLine="567"/>
        <w:jc w:val="both"/>
      </w:pPr>
      <w:r>
        <w:t xml:space="preserve">відкрита інформація – публічна інформація, що підлягає оприлюдненню або наданню на запити відповідно до Закону України «Про доступ до публічної інформації». До неї належать рішення ради та виконавчого комітету, регуляторні акти, </w:t>
      </w:r>
      <w:proofErr w:type="spellStart"/>
      <w:r>
        <w:t>проєкти</w:t>
      </w:r>
      <w:proofErr w:type="spellEnd"/>
      <w:r>
        <w:t xml:space="preserve"> рішень, звіти, плани діяльності, бюджетна інформація та інші відомості, що підлягають оприлюдненню згідно </w:t>
      </w:r>
      <w:r w:rsidR="00EB58E7">
        <w:t>і</w:t>
      </w:r>
      <w:r>
        <w:t>з законодавством. Підхід до захисту – забезпечення цілісності та доступності інформації шляхом застосування базових організаційних і технічних заходів (антивірусний захист, резервне копіювання, контроль доступу до систем);</w:t>
      </w:r>
    </w:p>
    <w:p w14:paraId="5A6A2F6C" w14:textId="09CBA1FF" w:rsidR="00C01511" w:rsidRDefault="004E01F5">
      <w:pPr>
        <w:ind w:firstLine="567"/>
        <w:jc w:val="both"/>
      </w:pPr>
      <w:r>
        <w:t xml:space="preserve">конфіденційна інформація про особу (персональні дані) – відомості про фізичних осіб, що дозволяють їх ідентифікувати. Підхід до захисту – обробка виключно в межах чинного законодавства, з реалізацією організаційних та технічних заходів безпеки відповідно до Закону України «Про захист персональних даних» та постанови Кабінету Міністрів України від 18.06.2025 № 712 «Деякі питання захисту інформаційних, електронних комунікаційних, інформаційно-комунікаційних, технологічних систем» зі змінами. Обробка відбувається в системах із затвердженими профілями безпеки, застосовуються засоби технічного захисту з підтвердженою відповідністю, контроль доступу користувачів, </w:t>
      </w:r>
      <w:proofErr w:type="spellStart"/>
      <w:r>
        <w:t>логування</w:t>
      </w:r>
      <w:proofErr w:type="spellEnd"/>
      <w:r>
        <w:t>, облік носіїв та резервне копіювання</w:t>
      </w:r>
      <w:r w:rsidR="00DD3910">
        <w:t>;</w:t>
      </w:r>
    </w:p>
    <w:p w14:paraId="36AA219E" w14:textId="30D9B768" w:rsidR="00C01511" w:rsidRDefault="00DD3910">
      <w:pPr>
        <w:ind w:firstLine="567"/>
        <w:jc w:val="both"/>
      </w:pPr>
      <w:r>
        <w:t>службова інформація – інформація, створена у процесі діяльності органу місцевого самоврядування (службове листування, робочі матеріали, положення про виконавчі органи, посадові інструкції тощо), яка використовується для внутрішніх потреб. Підхід до захисту – обмеження доступу для сторонніх осіб, контроль доступу користувачів, захист від несанкціонованого видалення або зміни даних. Службова інформація може надаватися громадянам на запити відповідно до Закону України «Про доступ до публічної інформації», якщо не містить відомостей з обмеженим доступом.</w:t>
      </w:r>
    </w:p>
    <w:p w14:paraId="37D88D01" w14:textId="5B7E9468" w:rsidR="00C01511" w:rsidRDefault="00000000">
      <w:pPr>
        <w:ind w:firstLine="567"/>
        <w:jc w:val="both"/>
      </w:pPr>
      <w:r>
        <w:t>Службова інформація з грифом «Для службового користування» підлягає додатковому захисту згідно з профілем безпеки відповідного рівня</w:t>
      </w:r>
      <w:r w:rsidR="003A1CD4">
        <w:t>,</w:t>
      </w:r>
      <w:r>
        <w:t xml:space="preserve"> зазначеного в порядку авторизації з безпеки інформаційних, електронних комунікаційних, інформаційно-комунікаційних, технологічних систем затвердженого </w:t>
      </w:r>
      <w:r w:rsidR="00DD5A28">
        <w:t>п</w:t>
      </w:r>
      <w:r>
        <w:t>остановою К</w:t>
      </w:r>
      <w:r w:rsidR="00DD5A28">
        <w:t xml:space="preserve">абінету </w:t>
      </w:r>
      <w:r>
        <w:t>М</w:t>
      </w:r>
      <w:r w:rsidR="00DD5A28">
        <w:t xml:space="preserve">іністрів </w:t>
      </w:r>
      <w:r>
        <w:t>У</w:t>
      </w:r>
      <w:r w:rsidR="00DD5A28">
        <w:t>країни</w:t>
      </w:r>
      <w:r>
        <w:t xml:space="preserve"> від 18.06.25 №</w:t>
      </w:r>
      <w:r w:rsidR="00680EBB">
        <w:t> </w:t>
      </w:r>
      <w:r>
        <w:t>712</w:t>
      </w:r>
      <w:r w:rsidR="00DD5A28">
        <w:t xml:space="preserve"> </w:t>
      </w:r>
      <w:r w:rsidR="00DD5A28">
        <w:lastRenderedPageBreak/>
        <w:t>«Деякі питання захисту інформаційних, електронних комунікаційних, інформаційно-комунікаційних, технологічних систем» зі змінами</w:t>
      </w:r>
      <w:r>
        <w:t xml:space="preserve"> та вимогами нормативних документів у сфері технічного захисту інформації.</w:t>
      </w:r>
    </w:p>
    <w:p w14:paraId="09A63AB4" w14:textId="481D3950" w:rsidR="00C01511" w:rsidRDefault="00000000">
      <w:pPr>
        <w:ind w:firstLine="567"/>
        <w:jc w:val="both"/>
      </w:pPr>
      <w:r>
        <w:t>3.2.</w:t>
      </w:r>
      <w:r w:rsidR="00680EBB">
        <w:t> </w:t>
      </w:r>
      <w:r>
        <w:t>Уся інша інформація, що не належить до категорій обмеженого доступу, у межах діяльності Луцької міської ради вважається відкритою та доступною для громадян відповідно до принципів прозорості влади.</w:t>
      </w:r>
    </w:p>
    <w:p w14:paraId="4926CEFA" w14:textId="77777777" w:rsidR="00C01511" w:rsidRDefault="00C01511">
      <w:pPr>
        <w:ind w:firstLine="567"/>
        <w:jc w:val="both"/>
      </w:pPr>
    </w:p>
    <w:p w14:paraId="70DF2083" w14:textId="77777777" w:rsidR="00C01511" w:rsidRDefault="00000000">
      <w:pPr>
        <w:ind w:firstLine="567"/>
        <w:jc w:val="center"/>
      </w:pPr>
      <w:r>
        <w:t>4. Характеристика об’єктів інформаційної діяльності</w:t>
      </w:r>
    </w:p>
    <w:p w14:paraId="3AEF3DAC" w14:textId="675355FC" w:rsidR="00C01511" w:rsidRDefault="00000000" w:rsidP="00680EBB">
      <w:pPr>
        <w:ind w:firstLine="567"/>
        <w:jc w:val="both"/>
      </w:pPr>
      <w:r>
        <w:t>4.1.</w:t>
      </w:r>
      <w:r w:rsidR="00680EBB">
        <w:t> </w:t>
      </w:r>
      <w:r>
        <w:t>До об’єктів інформаційної діяльності (</w:t>
      </w:r>
      <w:r w:rsidR="007E2CCF">
        <w:t>далі – </w:t>
      </w:r>
      <w:r>
        <w:t>ОІД) належать адміністративні приміщення виконавчих органів Луцької міської ради, що розташовані за адресами:</w:t>
      </w:r>
    </w:p>
    <w:p w14:paraId="071DC189" w14:textId="77777777" w:rsidR="00C01511" w:rsidRDefault="00000000">
      <w:pPr>
        <w:ind w:firstLine="567"/>
        <w:jc w:val="both"/>
      </w:pPr>
      <w:r>
        <w:t>м. Луцьк, вул. Богдана Хмельницького, 1;</w:t>
      </w:r>
    </w:p>
    <w:p w14:paraId="1B965447" w14:textId="77777777" w:rsidR="00C01511" w:rsidRDefault="00000000">
      <w:pPr>
        <w:ind w:firstLine="567"/>
        <w:jc w:val="both"/>
      </w:pPr>
      <w:r>
        <w:t>м. Луцьк, вул. Богдана Хмельницького, 17;</w:t>
      </w:r>
    </w:p>
    <w:p w14:paraId="712BE169" w14:textId="77777777" w:rsidR="00C01511" w:rsidRDefault="00000000">
      <w:pPr>
        <w:ind w:firstLine="567"/>
        <w:jc w:val="both"/>
      </w:pPr>
      <w:r>
        <w:t>м. Луцьк, вул. Богдана Хмельницького, 19;</w:t>
      </w:r>
    </w:p>
    <w:p w14:paraId="3B736D22" w14:textId="77777777" w:rsidR="00C01511" w:rsidRDefault="00000000">
      <w:pPr>
        <w:ind w:firstLine="567"/>
        <w:jc w:val="both"/>
      </w:pPr>
      <w:r>
        <w:t>м. Луцьк, вул. Богдана Хмельницького, 21;</w:t>
      </w:r>
    </w:p>
    <w:p w14:paraId="562E9215" w14:textId="77777777" w:rsidR="00C01511" w:rsidRDefault="00000000">
      <w:pPr>
        <w:ind w:firstLine="567"/>
        <w:jc w:val="both"/>
      </w:pPr>
      <w:r>
        <w:t>м. Луцьк, вул. Богдана Хмельницького, 40а;</w:t>
      </w:r>
    </w:p>
    <w:p w14:paraId="53A71C93" w14:textId="77777777" w:rsidR="00C01511" w:rsidRDefault="00000000">
      <w:pPr>
        <w:ind w:firstLine="567"/>
        <w:jc w:val="both"/>
      </w:pPr>
      <w:r>
        <w:t>м. Луцьк, вул. Лесі Українки, 35;</w:t>
      </w:r>
    </w:p>
    <w:p w14:paraId="4D001149" w14:textId="77777777" w:rsidR="00C01511" w:rsidRDefault="00000000">
      <w:pPr>
        <w:ind w:firstLine="567"/>
        <w:jc w:val="both"/>
      </w:pPr>
      <w:r>
        <w:t>м. Луцьк, вул. Шевченка, 1;</w:t>
      </w:r>
    </w:p>
    <w:p w14:paraId="16A40E37" w14:textId="77777777" w:rsidR="00C01511" w:rsidRDefault="00000000">
      <w:pPr>
        <w:ind w:firstLine="567"/>
        <w:jc w:val="both"/>
      </w:pPr>
      <w:r>
        <w:t>м. Луцьк, вул. Шевченка, 14;</w:t>
      </w:r>
    </w:p>
    <w:p w14:paraId="2EC20EA7" w14:textId="77777777" w:rsidR="00C01511" w:rsidRDefault="00000000">
      <w:pPr>
        <w:ind w:firstLine="567"/>
        <w:jc w:val="both"/>
      </w:pPr>
      <w:r>
        <w:t>м. Луцьк, вул. Сергія Тимошенка, 2;</w:t>
      </w:r>
    </w:p>
    <w:p w14:paraId="65B8D8C2" w14:textId="48FD9B35" w:rsidR="00C01511" w:rsidRDefault="00000000">
      <w:pPr>
        <w:ind w:firstLine="567"/>
        <w:jc w:val="both"/>
      </w:pPr>
      <w:r>
        <w:t>м. Луцьк, п</w:t>
      </w:r>
      <w:r w:rsidR="007E2CCF">
        <w:t>р-т</w:t>
      </w:r>
      <w:r>
        <w:t xml:space="preserve"> Волі, 3а;</w:t>
      </w:r>
    </w:p>
    <w:p w14:paraId="7F607E3D" w14:textId="578EE5B2" w:rsidR="00C01511" w:rsidRDefault="00000000">
      <w:pPr>
        <w:ind w:firstLine="567"/>
        <w:jc w:val="both"/>
      </w:pPr>
      <w:r>
        <w:t>м. Луцьк, пр</w:t>
      </w:r>
      <w:r w:rsidR="007E2CCF">
        <w:t>-т</w:t>
      </w:r>
      <w:r>
        <w:t xml:space="preserve"> Волі, 4а;</w:t>
      </w:r>
    </w:p>
    <w:p w14:paraId="33D7DC5A" w14:textId="7E98A58B" w:rsidR="00C01511" w:rsidRDefault="00000000">
      <w:pPr>
        <w:ind w:firstLine="567"/>
        <w:jc w:val="both"/>
      </w:pPr>
      <w:r>
        <w:t>м. Луцьк, пр</w:t>
      </w:r>
      <w:r w:rsidR="007E2CCF">
        <w:t>-т</w:t>
      </w:r>
      <w:r>
        <w:t xml:space="preserve"> Волі, 8;</w:t>
      </w:r>
    </w:p>
    <w:p w14:paraId="7B2D3BA3" w14:textId="1F49B65A" w:rsidR="00C01511" w:rsidRDefault="00000000">
      <w:pPr>
        <w:ind w:firstLine="567"/>
        <w:jc w:val="both"/>
      </w:pPr>
      <w:r>
        <w:t>м. Луцьк, пр</w:t>
      </w:r>
      <w:r w:rsidR="007E2CCF">
        <w:t>-т</w:t>
      </w:r>
      <w:r>
        <w:t xml:space="preserve"> Соборності, 18;</w:t>
      </w:r>
    </w:p>
    <w:p w14:paraId="1155DF58" w14:textId="77777777" w:rsidR="00C01511" w:rsidRDefault="00000000">
      <w:pPr>
        <w:ind w:firstLine="567"/>
        <w:jc w:val="both"/>
      </w:pPr>
      <w:r>
        <w:t>с. Прилуцьке, вул. Ківерцівська, 35а;</w:t>
      </w:r>
    </w:p>
    <w:p w14:paraId="2665E1A7" w14:textId="77777777" w:rsidR="00C01511" w:rsidRDefault="00000000">
      <w:pPr>
        <w:ind w:firstLine="567"/>
        <w:jc w:val="both"/>
      </w:pPr>
      <w:r>
        <w:t xml:space="preserve">с. </w:t>
      </w:r>
      <w:proofErr w:type="spellStart"/>
      <w:r>
        <w:t>Жидичин</w:t>
      </w:r>
      <w:proofErr w:type="spellEnd"/>
      <w:r>
        <w:t>, вул. Данила Галицького, 12;</w:t>
      </w:r>
    </w:p>
    <w:p w14:paraId="2D8E7D5D" w14:textId="77777777" w:rsidR="00C01511" w:rsidRDefault="00000000">
      <w:pPr>
        <w:ind w:firstLine="567"/>
        <w:jc w:val="both"/>
      </w:pPr>
      <w:r>
        <w:t xml:space="preserve">с. </w:t>
      </w:r>
      <w:proofErr w:type="spellStart"/>
      <w:r>
        <w:t>Боголюби</w:t>
      </w:r>
      <w:proofErr w:type="spellEnd"/>
      <w:r>
        <w:t>, вул. Центральна, 57;</w:t>
      </w:r>
    </w:p>
    <w:p w14:paraId="4E6C2D61" w14:textId="77777777" w:rsidR="00C01511" w:rsidRDefault="00000000">
      <w:pPr>
        <w:ind w:firstLine="567"/>
        <w:jc w:val="both"/>
      </w:pPr>
      <w:r>
        <w:t xml:space="preserve">с. </w:t>
      </w:r>
      <w:proofErr w:type="spellStart"/>
      <w:r>
        <w:t>Княгининок</w:t>
      </w:r>
      <w:proofErr w:type="spellEnd"/>
      <w:r>
        <w:t>, вул. Соборна, 77;</w:t>
      </w:r>
    </w:p>
    <w:p w14:paraId="2715BEDA" w14:textId="77777777" w:rsidR="00C01511" w:rsidRDefault="00000000">
      <w:pPr>
        <w:ind w:firstLine="567"/>
        <w:jc w:val="both"/>
      </w:pPr>
      <w:r>
        <w:t>с. Забороль, вул. Володимирська, 34а.</w:t>
      </w:r>
    </w:p>
    <w:p w14:paraId="08477828" w14:textId="155F5B13" w:rsidR="00C01511" w:rsidRDefault="00000000">
      <w:pPr>
        <w:ind w:firstLine="567"/>
        <w:jc w:val="both"/>
      </w:pPr>
      <w:r>
        <w:t>4.2.</w:t>
      </w:r>
      <w:r w:rsidR="00680EBB">
        <w:t> </w:t>
      </w:r>
      <w:r>
        <w:t>Приміщення обладнані системами охорони, відеоспостереження та контролю доступу. Використовуються технічні засоби, що забезпечують стабільність роботи інформаційних систем. Здійснюється використання електронних комунікаційних систем на ОІД для передачі інформації, зокрема</w:t>
      </w:r>
      <w:r w:rsidR="0082273E">
        <w:t>:</w:t>
      </w:r>
      <w:r>
        <w:t xml:space="preserve"> внутрішні мережі, </w:t>
      </w:r>
      <w:r>
        <w:rPr>
          <w:lang w:val="en-US"/>
        </w:rPr>
        <w:t>VPN,</w:t>
      </w:r>
      <w:r>
        <w:t xml:space="preserve"> </w:t>
      </w:r>
      <w:r w:rsidR="00D27140" w:rsidRPr="00D27140">
        <w:rPr>
          <w:color w:val="000000"/>
        </w:rPr>
        <w:t>і</w:t>
      </w:r>
      <w:r w:rsidRPr="00D27140">
        <w:rPr>
          <w:color w:val="000000"/>
        </w:rPr>
        <w:t>нтернет та</w:t>
      </w:r>
      <w:r>
        <w:t xml:space="preserve"> електронна пошта. Захист таких каналів передачі здійснюється відповідно до вимог чинного законодавства.</w:t>
      </w:r>
    </w:p>
    <w:p w14:paraId="38D94A88" w14:textId="77777777" w:rsidR="00C01511" w:rsidRDefault="00C01511">
      <w:pPr>
        <w:ind w:firstLine="567"/>
        <w:jc w:val="both"/>
      </w:pPr>
    </w:p>
    <w:p w14:paraId="030D1F7F" w14:textId="77777777" w:rsidR="00C01511" w:rsidRDefault="00000000">
      <w:pPr>
        <w:ind w:firstLine="567"/>
        <w:jc w:val="center"/>
      </w:pPr>
      <w:r>
        <w:t>5. Заключні положення</w:t>
      </w:r>
    </w:p>
    <w:p w14:paraId="297E07AE" w14:textId="5182A1D1" w:rsidR="00C01511" w:rsidRPr="0082273E" w:rsidRDefault="00000000" w:rsidP="00680EBB">
      <w:pPr>
        <w:ind w:firstLine="567"/>
        <w:jc w:val="both"/>
        <w:rPr>
          <w:color w:val="FF0000"/>
        </w:rPr>
      </w:pPr>
      <w:r>
        <w:t>5.1.</w:t>
      </w:r>
      <w:r w:rsidR="00680EBB">
        <w:t> </w:t>
      </w:r>
      <w:r>
        <w:t xml:space="preserve">Цей План має довідково-інформаційний характер і визначає загальні принципи організації захисту інформації </w:t>
      </w:r>
      <w:r w:rsidR="00680EBB" w:rsidRPr="00680EBB">
        <w:t>на об’єктах інформаційної діяльності адміністративних приміщень Луцької міської ради</w:t>
      </w:r>
      <w:r w:rsidRPr="00D27140">
        <w:rPr>
          <w:color w:val="000000"/>
        </w:rPr>
        <w:t>.</w:t>
      </w:r>
    </w:p>
    <w:p w14:paraId="62F96F0F" w14:textId="2E032F09" w:rsidR="00C01511" w:rsidRDefault="00000000">
      <w:pPr>
        <w:ind w:firstLine="567"/>
        <w:jc w:val="both"/>
      </w:pPr>
      <w:r>
        <w:t>5.2.</w:t>
      </w:r>
      <w:r w:rsidR="00680EBB">
        <w:t> </w:t>
      </w:r>
      <w:r>
        <w:t xml:space="preserve">План оновлюється у разі змін </w:t>
      </w:r>
      <w:r w:rsidR="00680EBB">
        <w:t xml:space="preserve">у </w:t>
      </w:r>
      <w:r>
        <w:t>законодавств</w:t>
      </w:r>
      <w:r w:rsidR="00680EBB">
        <w:t>і</w:t>
      </w:r>
      <w:r>
        <w:t xml:space="preserve"> або прийняття нових нормативних документів у сфері технічного захисту інформації та </w:t>
      </w:r>
      <w:proofErr w:type="spellStart"/>
      <w:r>
        <w:t>кібербезпеки</w:t>
      </w:r>
      <w:proofErr w:type="spellEnd"/>
      <w:r>
        <w:t>.</w:t>
      </w:r>
    </w:p>
    <w:p w14:paraId="162682EB" w14:textId="77777777" w:rsidR="00C01511" w:rsidRDefault="00C01511">
      <w:pPr>
        <w:ind w:firstLine="567"/>
        <w:jc w:val="both"/>
      </w:pPr>
    </w:p>
    <w:p w14:paraId="301C7BBE" w14:textId="77777777" w:rsidR="00680EBB" w:rsidRDefault="00680EBB">
      <w:pPr>
        <w:jc w:val="both"/>
      </w:pPr>
    </w:p>
    <w:p w14:paraId="465BC509" w14:textId="77777777" w:rsidR="003D7E16" w:rsidRDefault="003D7E16">
      <w:pPr>
        <w:jc w:val="both"/>
      </w:pPr>
    </w:p>
    <w:p w14:paraId="668BC647" w14:textId="74F06B92" w:rsidR="00C01511" w:rsidRDefault="00000000">
      <w:pPr>
        <w:jc w:val="both"/>
      </w:pPr>
      <w:r>
        <w:t>Заступник міського голови,</w:t>
      </w:r>
    </w:p>
    <w:p w14:paraId="1B428EB3" w14:textId="77777777" w:rsidR="00C01511" w:rsidRDefault="00000000">
      <w:pPr>
        <w:jc w:val="both"/>
      </w:pPr>
      <w:r>
        <w:t>керуючий справами виконкому</w:t>
      </w:r>
      <w:r>
        <w:tab/>
      </w:r>
      <w:r>
        <w:tab/>
      </w:r>
      <w:r>
        <w:tab/>
      </w:r>
      <w:r>
        <w:tab/>
      </w:r>
      <w:r>
        <w:tab/>
        <w:t xml:space="preserve">      Юрій ВЕРБИЧ</w:t>
      </w:r>
    </w:p>
    <w:p w14:paraId="2D3D9052" w14:textId="77777777" w:rsidR="00680EBB" w:rsidRDefault="00680EBB">
      <w:pPr>
        <w:jc w:val="both"/>
        <w:rPr>
          <w:sz w:val="24"/>
        </w:rPr>
      </w:pPr>
    </w:p>
    <w:p w14:paraId="06AB9C6E" w14:textId="77777777" w:rsidR="003D7E16" w:rsidRDefault="003D7E16">
      <w:pPr>
        <w:jc w:val="both"/>
        <w:rPr>
          <w:sz w:val="24"/>
        </w:rPr>
      </w:pPr>
    </w:p>
    <w:p w14:paraId="189884A9" w14:textId="49A2D3FE" w:rsidR="00C01511" w:rsidRDefault="00000000">
      <w:pPr>
        <w:jc w:val="both"/>
        <w:rPr>
          <w:sz w:val="24"/>
        </w:rPr>
      </w:pPr>
      <w:r>
        <w:rPr>
          <w:sz w:val="24"/>
        </w:rPr>
        <w:t>Король  777 999</w:t>
      </w:r>
    </w:p>
    <w:sectPr w:rsidR="00C01511" w:rsidSect="00D96AE9">
      <w:headerReference w:type="even" r:id="rId6"/>
      <w:headerReference w:type="default" r:id="rId7"/>
      <w:footerReference w:type="even" r:id="rId8"/>
      <w:footerReference w:type="default" r:id="rId9"/>
      <w:headerReference w:type="first" r:id="rId10"/>
      <w:footerReference w:type="first" r:id="rId11"/>
      <w:pgSz w:w="11906" w:h="16838"/>
      <w:pgMar w:top="1134" w:right="567" w:bottom="1701" w:left="1985" w:header="567" w:footer="0" w:gutter="0"/>
      <w:pgNumType w:start="1"/>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7183" w14:textId="77777777" w:rsidR="00A86F0C" w:rsidRDefault="00A86F0C">
      <w:r>
        <w:separator/>
      </w:r>
    </w:p>
  </w:endnote>
  <w:endnote w:type="continuationSeparator" w:id="0">
    <w:p w14:paraId="7D5681C9" w14:textId="77777777" w:rsidR="00A86F0C" w:rsidRDefault="00A8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92DB" w14:textId="77777777" w:rsidR="001A37DA" w:rsidRDefault="001A37D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9E68" w14:textId="77777777" w:rsidR="001A37DA" w:rsidRDefault="001A37D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E42D" w14:textId="77777777" w:rsidR="001A37DA" w:rsidRDefault="001A37D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75D1" w14:textId="77777777" w:rsidR="00A86F0C" w:rsidRDefault="00A86F0C">
      <w:r>
        <w:separator/>
      </w:r>
    </w:p>
  </w:footnote>
  <w:footnote w:type="continuationSeparator" w:id="0">
    <w:p w14:paraId="3ECF0A37" w14:textId="77777777" w:rsidR="00A86F0C" w:rsidRDefault="00A8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FF1C" w14:textId="77777777" w:rsidR="00C01511" w:rsidRDefault="00C0151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1EE3" w14:textId="77777777" w:rsidR="001A37DA" w:rsidRDefault="001A37DA">
    <w:pPr>
      <w:pStyle w:val="ac"/>
      <w:jc w:val="center"/>
    </w:pPr>
    <w:r>
      <w:fldChar w:fldCharType="begin"/>
    </w:r>
    <w:r>
      <w:instrText>PAGE   \* MERGEFORMAT</w:instrText>
    </w:r>
    <w:r>
      <w:fldChar w:fldCharType="separate"/>
    </w:r>
    <w:r>
      <w:t>2</w:t>
    </w:r>
    <w:r>
      <w:fldChar w:fldCharType="end"/>
    </w:r>
  </w:p>
  <w:p w14:paraId="2FB7B777" w14:textId="29357CB8" w:rsidR="00C01511" w:rsidRDefault="00C01511">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289D" w14:textId="77777777" w:rsidR="00C01511" w:rsidRDefault="00C0151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511"/>
    <w:rsid w:val="000006AF"/>
    <w:rsid w:val="001A37DA"/>
    <w:rsid w:val="002D6047"/>
    <w:rsid w:val="003A1CD4"/>
    <w:rsid w:val="003D7E16"/>
    <w:rsid w:val="004E01F5"/>
    <w:rsid w:val="005238BD"/>
    <w:rsid w:val="005400FC"/>
    <w:rsid w:val="006357AC"/>
    <w:rsid w:val="00680EBB"/>
    <w:rsid w:val="007E2CCF"/>
    <w:rsid w:val="007F31D8"/>
    <w:rsid w:val="0082273E"/>
    <w:rsid w:val="00884A34"/>
    <w:rsid w:val="008A7233"/>
    <w:rsid w:val="008F3EE0"/>
    <w:rsid w:val="0095221A"/>
    <w:rsid w:val="00A86F0C"/>
    <w:rsid w:val="00C01511"/>
    <w:rsid w:val="00C81933"/>
    <w:rsid w:val="00CA211E"/>
    <w:rsid w:val="00D27140"/>
    <w:rsid w:val="00D96AE9"/>
    <w:rsid w:val="00DD3910"/>
    <w:rsid w:val="00DD5A28"/>
    <w:rsid w:val="00EA039A"/>
    <w:rsid w:val="00EB58E7"/>
    <w:rsid w:val="00F625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5A4C"/>
  <w15:docId w15:val="{956B1DCA-A8BC-4708-A08C-2F1C0492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SimSun;宋体" w:cs="Lucida Sans"/>
      <w:kern w:val="2"/>
      <w:sz w:val="28"/>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rPr>
      <w:rFonts w:ascii="Times New Roman" w:hAnsi="Times New Roman" w:cs="Times New Roman"/>
    </w:rPr>
  </w:style>
  <w:style w:type="character" w:customStyle="1" w:styleId="WW8Num6z0">
    <w:name w:val="WW8Num6z0"/>
    <w:qFormat/>
    <w:rPr>
      <w:rFonts w:ascii="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b w:val="0"/>
    </w:rPr>
  </w:style>
  <w:style w:type="character" w:customStyle="1" w:styleId="WW8Num10z0">
    <w:name w:val="WW8Num10z0"/>
    <w:qFormat/>
    <w:rPr>
      <w:b w:val="0"/>
    </w:rPr>
  </w:style>
  <w:style w:type="character" w:customStyle="1" w:styleId="WW8Num11z0">
    <w:name w:val="WW8Num11z0"/>
    <w:qFormat/>
  </w:style>
  <w:style w:type="character" w:customStyle="1" w:styleId="WW8Num12z0">
    <w:name w:val="WW8Num12z0"/>
    <w:qFormat/>
    <w:rPr>
      <w:rFonts w:ascii="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b w:val="0"/>
    </w:rPr>
  </w:style>
  <w:style w:type="character" w:customStyle="1" w:styleId="WW8Num15z0">
    <w:name w:val="WW8Num15z0"/>
    <w:qFormat/>
  </w:style>
  <w:style w:type="character" w:customStyle="1" w:styleId="WW8Num15z1">
    <w:name w:val="WW8Num15z1"/>
    <w:qFormat/>
    <w:rPr>
      <w:rFonts w:ascii="Times New Roman" w:hAnsi="Times New Roman" w:cs="Times New Roman"/>
    </w:rPr>
  </w:style>
  <w:style w:type="character" w:customStyle="1" w:styleId="WW8Num16z0">
    <w:name w:val="WW8Num16z0"/>
    <w:qFormat/>
    <w:rPr>
      <w:b w:val="0"/>
    </w:rPr>
  </w:style>
  <w:style w:type="character" w:customStyle="1" w:styleId="WW8Num16z1">
    <w:name w:val="WW8Num16z1"/>
    <w:qFormat/>
    <w:rPr>
      <w:rFonts w:ascii="Times New Roman" w:hAnsi="Times New Roman" w:cs="Times New Roman"/>
      <w:b w:val="0"/>
    </w:rPr>
  </w:style>
  <w:style w:type="character" w:customStyle="1" w:styleId="WW8Num17z0">
    <w:name w:val="WW8Num17z0"/>
    <w:qFormat/>
    <w:rPr>
      <w:b w:val="0"/>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b w:val="0"/>
    </w:rPr>
  </w:style>
  <w:style w:type="character" w:customStyle="1" w:styleId="WW8Num25z1">
    <w:name w:val="WW8Num25z1"/>
    <w:qFormat/>
    <w:rPr>
      <w:rFonts w:ascii="Times New Roman" w:hAnsi="Times New Roman" w:cs="Times New Roman"/>
      <w:b w:val="0"/>
    </w:rPr>
  </w:style>
  <w:style w:type="character" w:customStyle="1" w:styleId="WW8Num26z0">
    <w:name w:val="WW8Num26z0"/>
    <w:qFormat/>
  </w:style>
  <w:style w:type="character" w:customStyle="1" w:styleId="WW8Num26z1">
    <w:name w:val="WW8Num26z1"/>
    <w:qFormat/>
    <w:rPr>
      <w:rFonts w:ascii="Times New Roman" w:hAnsi="Times New Roman" w:cs="Times New Roman"/>
    </w:rPr>
  </w:style>
  <w:style w:type="character" w:customStyle="1" w:styleId="WW8Num27z0">
    <w:name w:val="WW8Num27z0"/>
    <w:qFormat/>
    <w:rPr>
      <w:b w:val="0"/>
    </w:rPr>
  </w:style>
  <w:style w:type="character" w:customStyle="1" w:styleId="WW8Num28z0">
    <w:name w:val="WW8Num28z0"/>
    <w:qFormat/>
    <w:rPr>
      <w:rFonts w:ascii="Times New Roman" w:hAnsi="Times New Roman" w:cs="Times New Roman"/>
    </w:rPr>
  </w:style>
  <w:style w:type="character" w:customStyle="1" w:styleId="WW8Num28z1">
    <w:name w:val="WW8Num28z1"/>
    <w:qFormat/>
  </w:style>
  <w:style w:type="character" w:customStyle="1" w:styleId="WW8Num28z4">
    <w:name w:val="WW8Num28z4"/>
    <w:qFormat/>
    <w:rPr>
      <w:rFonts w:ascii="Courier New" w:hAnsi="Courier New" w:cs="Courier New"/>
    </w:rPr>
  </w:style>
  <w:style w:type="character" w:customStyle="1" w:styleId="WW8Num28z5">
    <w:name w:val="WW8Num28z5"/>
    <w:qFormat/>
    <w:rPr>
      <w:rFonts w:ascii="Wingdings" w:hAnsi="Wingdings" w:cs="Wingdings"/>
    </w:rPr>
  </w:style>
  <w:style w:type="character" w:customStyle="1" w:styleId="WW8Num28z6">
    <w:name w:val="WW8Num28z6"/>
    <w:qFormat/>
    <w:rPr>
      <w:rFonts w:ascii="Symbol" w:hAnsi="Symbol" w:cs="Symbol"/>
    </w:rPr>
  </w:style>
  <w:style w:type="character" w:customStyle="1" w:styleId="WW8Num29z0">
    <w:name w:val="WW8Num29z0"/>
    <w:qFormat/>
    <w:rPr>
      <w:b w:val="0"/>
    </w:rPr>
  </w:style>
  <w:style w:type="character" w:customStyle="1" w:styleId="WW8Num30z0">
    <w:name w:val="WW8Num30z0"/>
    <w:qFormat/>
    <w:rPr>
      <w:rFonts w:ascii="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2z0">
    <w:name w:val="WW8Num32z0"/>
    <w:qFormat/>
    <w:rPr>
      <w:b w:val="0"/>
    </w:rPr>
  </w:style>
  <w:style w:type="character" w:customStyle="1" w:styleId="WW8Num33z0">
    <w:name w:val="WW8Num33z0"/>
    <w:qFormat/>
    <w:rPr>
      <w:b w:val="0"/>
    </w:rPr>
  </w:style>
  <w:style w:type="character" w:customStyle="1" w:styleId="WW8Num33z1">
    <w:name w:val="WW8Num33z1"/>
    <w:qFormat/>
    <w:rPr>
      <w:rFonts w:ascii="Times New Roman" w:hAnsi="Times New Roman" w:cs="Times New Roman"/>
      <w:b w:val="0"/>
    </w:rPr>
  </w:style>
  <w:style w:type="character" w:customStyle="1" w:styleId="a3">
    <w:name w:val="Основной шрифт абзаца"/>
    <w:qFormat/>
  </w:style>
  <w:style w:type="character" w:styleId="a4">
    <w:name w:val="page number"/>
    <w:basedOn w:val="a3"/>
  </w:style>
  <w:style w:type="character" w:customStyle="1" w:styleId="spelle">
    <w:name w:val="spelle"/>
    <w:basedOn w:val="a3"/>
    <w:qFormat/>
  </w:style>
  <w:style w:type="character" w:customStyle="1" w:styleId="user">
    <w:name w:val="Символ нумерації (user)"/>
    <w:qFormat/>
  </w:style>
  <w:style w:type="paragraph" w:customStyle="1" w:styleId="a5">
    <w:name w:val="Заголовок"/>
    <w:basedOn w:val="a"/>
    <w:next w:val="a6"/>
    <w:qFormat/>
    <w:pPr>
      <w:keepNext/>
      <w:spacing w:before="240" w:after="120"/>
    </w:pPr>
    <w:rPr>
      <w:rFonts w:eastAsia="Microsoft YaHei" w:cs="Arial"/>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customStyle="1" w:styleId="user0">
    <w:name w:val="Заголовок (user)"/>
    <w:basedOn w:val="a"/>
    <w:next w:val="a6"/>
    <w:qFormat/>
    <w:pPr>
      <w:keepNext/>
      <w:spacing w:before="240" w:after="120"/>
    </w:pPr>
    <w:rPr>
      <w:rFonts w:eastAsia="Microsoft YaHei" w:cs="Arial"/>
      <w:szCs w:val="28"/>
    </w:rPr>
  </w:style>
  <w:style w:type="paragraph" w:customStyle="1" w:styleId="user1">
    <w:name w:val="Покажчик (user)"/>
    <w:basedOn w:val="a"/>
    <w:qFormat/>
    <w:pPr>
      <w:suppressLineNumbers/>
    </w:pPr>
    <w:rPr>
      <w:rFonts w:cs="Arial"/>
    </w:rPr>
  </w:style>
  <w:style w:type="paragraph" w:customStyle="1" w:styleId="aa">
    <w:name w:val="Название объекта"/>
    <w:basedOn w:val="a"/>
    <w:qFormat/>
    <w:pPr>
      <w:suppressLineNumbers/>
      <w:spacing w:before="120" w:after="120"/>
    </w:pPr>
    <w:rPr>
      <w:i/>
      <w:iCs/>
    </w:rPr>
  </w:style>
  <w:style w:type="paragraph" w:customStyle="1" w:styleId="user2">
    <w:name w:val="Верхній і нижній колонтитули (user)"/>
    <w:basedOn w:val="a"/>
    <w:qFormat/>
  </w:style>
  <w:style w:type="paragraph" w:customStyle="1" w:styleId="ab">
    <w:name w:val="Верхній і нижній колонтитули"/>
    <w:basedOn w:val="a"/>
    <w:qFormat/>
  </w:style>
  <w:style w:type="paragraph" w:styleId="ac">
    <w:name w:val="header"/>
    <w:basedOn w:val="a"/>
    <w:link w:val="ad"/>
    <w:uiPriority w:val="99"/>
    <w:pPr>
      <w:tabs>
        <w:tab w:val="center" w:pos="4819"/>
        <w:tab w:val="right" w:pos="9639"/>
      </w:tabs>
    </w:pPr>
  </w:style>
  <w:style w:type="paragraph" w:customStyle="1" w:styleId="headertexttopleveltextcentertext">
    <w:name w:val="headertext topleveltext centertext"/>
    <w:basedOn w:val="a"/>
    <w:qFormat/>
    <w:pPr>
      <w:suppressAutoHyphens w:val="0"/>
      <w:spacing w:before="100" w:after="100"/>
    </w:pPr>
    <w:rPr>
      <w:rFonts w:eastAsia="Times New Roman" w:cs="Times New Roman"/>
      <w:kern w:val="0"/>
      <w:sz w:val="24"/>
      <w:lang w:bidi="ar-SA"/>
    </w:rPr>
  </w:style>
  <w:style w:type="paragraph" w:customStyle="1" w:styleId="user3">
    <w:name w:val="Вміст таблиці (user)"/>
    <w:basedOn w:val="a"/>
    <w:qFormat/>
    <w:pPr>
      <w:widowControl w:val="0"/>
      <w:suppressLineNumbers/>
    </w:pPr>
  </w:style>
  <w:style w:type="paragraph" w:customStyle="1" w:styleId="user4">
    <w:name w:val="Заголовок таблиці (user)"/>
    <w:basedOn w:val="user3"/>
    <w:qFormat/>
    <w:pPr>
      <w:jc w:val="center"/>
    </w:pPr>
    <w:rPr>
      <w:b/>
      <w:bCs/>
    </w:rPr>
  </w:style>
  <w:style w:type="paragraph" w:customStyle="1" w:styleId="user5">
    <w:name w:val="Вміст рамки (user)"/>
    <w:basedOn w:val="a"/>
    <w:qFormat/>
  </w:style>
  <w:style w:type="numbering" w:customStyle="1" w:styleId="ae">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paragraph" w:styleId="af">
    <w:name w:val="footer"/>
    <w:basedOn w:val="a"/>
    <w:link w:val="af0"/>
    <w:uiPriority w:val="99"/>
    <w:unhideWhenUsed/>
    <w:rsid w:val="001A37DA"/>
    <w:pPr>
      <w:tabs>
        <w:tab w:val="center" w:pos="4819"/>
        <w:tab w:val="right" w:pos="9639"/>
      </w:tabs>
    </w:pPr>
    <w:rPr>
      <w:rFonts w:cs="Mangal"/>
    </w:rPr>
  </w:style>
  <w:style w:type="character" w:customStyle="1" w:styleId="af0">
    <w:name w:val="Нижній колонтитул Знак"/>
    <w:link w:val="af"/>
    <w:uiPriority w:val="99"/>
    <w:rsid w:val="001A37DA"/>
    <w:rPr>
      <w:rFonts w:eastAsia="SimSun;宋体" w:cs="Mangal"/>
      <w:kern w:val="2"/>
      <w:sz w:val="28"/>
      <w:szCs w:val="24"/>
      <w:lang w:eastAsia="zh-CN" w:bidi="hi-IN"/>
    </w:rPr>
  </w:style>
  <w:style w:type="character" w:customStyle="1" w:styleId="ad">
    <w:name w:val="Верхній колонтитул Знак"/>
    <w:link w:val="ac"/>
    <w:uiPriority w:val="99"/>
    <w:rsid w:val="001A37DA"/>
    <w:rPr>
      <w:rFonts w:eastAsia="SimSun;宋体" w:cs="Lucida Sans"/>
      <w:kern w:val="2"/>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4</Pages>
  <Words>4498</Words>
  <Characters>2564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mvk</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Karpyuk</dc:creator>
  <dc:description/>
  <cp:lastModifiedBy>Ірина Демидюк</cp:lastModifiedBy>
  <cp:revision>104</cp:revision>
  <cp:lastPrinted>2019-08-21T08:44:00Z</cp:lastPrinted>
  <dcterms:created xsi:type="dcterms:W3CDTF">2019-09-02T11:57:00Z</dcterms:created>
  <dcterms:modified xsi:type="dcterms:W3CDTF">2025-11-20T12:42:00Z</dcterms:modified>
  <dc:language>uk-UA</dc:language>
</cp:coreProperties>
</file>