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B664" w14:textId="77777777" w:rsidR="006F2EC1" w:rsidRDefault="00CB72F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3A2D983F" wp14:editId="02366E59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D340E6A" wp14:editId="511A00A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7860" cy="657860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65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22485B" id="Прямоугольник 4" o:spid="_x0000_s1026" style="position:absolute;margin-left:0;margin-top:.05pt;width:51.8pt;height:51.8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l8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" o:allowincell="f" filled="f" stroked="f" strokeweight="0"/>
            </w:pict>
          </mc:Fallback>
        </mc:AlternateContent>
      </w:r>
    </w:p>
    <w:p w14:paraId="362E1643" w14:textId="77777777" w:rsidR="006F2EC1" w:rsidRDefault="006F2EC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18CC74" w14:textId="77777777" w:rsidR="006F2EC1" w:rsidRDefault="00CB72F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6835E3" w14:textId="77777777" w:rsidR="006F2EC1" w:rsidRDefault="006F2EC1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BE824B2" w14:textId="77777777" w:rsidR="006F2EC1" w:rsidRDefault="00CB72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D4BBB2" w14:textId="77777777" w:rsidR="006F2EC1" w:rsidRDefault="006F2E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317F65" w14:textId="77777777" w:rsidR="006F2EC1" w:rsidRDefault="00CB72F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7D865A" w14:textId="77777777" w:rsidR="0052055C" w:rsidRDefault="0052055C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37F7A5BA" w14:textId="5FB34C28" w:rsidR="006F2EC1" w:rsidRPr="0052055C" w:rsidRDefault="00CB72F9">
      <w:pPr>
        <w:ind w:right="4818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 xml:space="preserve">Про відшкодування видатків, </w:t>
      </w:r>
    </w:p>
    <w:p w14:paraId="329DA9E3" w14:textId="77777777" w:rsidR="006F2EC1" w:rsidRPr="0052055C" w:rsidRDefault="00CB72F9">
      <w:pPr>
        <w:ind w:right="4818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14:paraId="658B30B8" w14:textId="77777777" w:rsidR="006F2EC1" w:rsidRPr="0052055C" w:rsidRDefault="00CB72F9">
      <w:pPr>
        <w:ind w:right="4818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>Харічева М.О., Бондарука В.О.,</w:t>
      </w:r>
    </w:p>
    <w:p w14:paraId="27D8F915" w14:textId="77777777" w:rsidR="006F2EC1" w:rsidRPr="0052055C" w:rsidRDefault="00CB72F9">
      <w:pPr>
        <w:ind w:right="4818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>Смірнова В.І., Ясенюка М.С.,</w:t>
      </w:r>
    </w:p>
    <w:p w14:paraId="49D8663B" w14:textId="77777777" w:rsidR="006F2EC1" w:rsidRPr="0052055C" w:rsidRDefault="00CB72F9">
      <w:pPr>
        <w:ind w:right="4818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 xml:space="preserve">Кравчука А.В., Жука А.М., </w:t>
      </w:r>
    </w:p>
    <w:p w14:paraId="0DD6C9D7" w14:textId="77777777" w:rsidR="006F2EC1" w:rsidRPr="0052055C" w:rsidRDefault="00CB72F9">
      <w:pPr>
        <w:ind w:right="4818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>Грабка І.В., Целюха В.В.,</w:t>
      </w:r>
    </w:p>
    <w:p w14:paraId="0409FFDF" w14:textId="77777777" w:rsidR="006F2EC1" w:rsidRPr="0052055C" w:rsidRDefault="00CB72F9">
      <w:pPr>
        <w:ind w:right="4818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>Хомича С.В., Гусака М.А.</w:t>
      </w:r>
    </w:p>
    <w:p w14:paraId="0EA9BB6C" w14:textId="77777777" w:rsidR="006F2EC1" w:rsidRPr="0052055C" w:rsidRDefault="006F2EC1">
      <w:pPr>
        <w:ind w:right="4818"/>
        <w:jc w:val="both"/>
      </w:pPr>
    </w:p>
    <w:p w14:paraId="2087D48F" w14:textId="6C7495F5" w:rsidR="006F2EC1" w:rsidRPr="0052055C" w:rsidRDefault="00CB72F9">
      <w:pPr>
        <w:ind w:right="-2" w:firstLine="567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</w:t>
      </w:r>
      <w:r w:rsidR="003E3F27">
        <w:rPr>
          <w:rFonts w:ascii="Times New Roman" w:hAnsi="Times New Roman" w:cs="Times New Roman"/>
          <w:sz w:val="28"/>
          <w:szCs w:val="28"/>
        </w:rPr>
        <w:t>восьмої</w:t>
      </w:r>
      <w:r w:rsidRPr="0052055C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рішення Луцької міської ради від 29.11.2023 № 53/71 «Про внесення змін до Комплексної програми соціальної підтримки ветеранів війни та членів їх сімей на 2021–2023 роки та продовження терміну її дії на 2024</w:t>
      </w:r>
      <w:r w:rsidR="003E3F27">
        <w:rPr>
          <w:rFonts w:ascii="Times New Roman" w:hAnsi="Times New Roman" w:cs="Times New Roman"/>
          <w:sz w:val="28"/>
          <w:szCs w:val="28"/>
        </w:rPr>
        <w:t>–</w:t>
      </w:r>
      <w:r w:rsidRPr="0052055C">
        <w:rPr>
          <w:rFonts w:ascii="Times New Roman" w:hAnsi="Times New Roman" w:cs="Times New Roman"/>
          <w:sz w:val="28"/>
          <w:szCs w:val="28"/>
        </w:rPr>
        <w:t>2026 роки», для відшкодування видатків, пов'язаних з похованням загиблих військовослужбовців Харічева Микол</w:t>
      </w:r>
      <w:r w:rsidR="00EF3E74" w:rsidRPr="0052055C">
        <w:rPr>
          <w:rFonts w:ascii="Times New Roman" w:hAnsi="Times New Roman" w:cs="Times New Roman"/>
          <w:sz w:val="28"/>
          <w:szCs w:val="28"/>
        </w:rPr>
        <w:t>и</w:t>
      </w:r>
      <w:r w:rsidRPr="0052055C">
        <w:rPr>
          <w:rFonts w:ascii="Times New Roman" w:hAnsi="Times New Roman" w:cs="Times New Roman"/>
          <w:sz w:val="28"/>
          <w:szCs w:val="28"/>
        </w:rPr>
        <w:t xml:space="preserve"> Олександровича, Бондарука Віктора Олеговича, Смірнова </w:t>
      </w:r>
      <w:r w:rsidR="00EF3E74" w:rsidRPr="0052055C">
        <w:rPr>
          <w:rFonts w:ascii="Times New Roman" w:hAnsi="Times New Roman" w:cs="Times New Roman"/>
          <w:sz w:val="28"/>
          <w:szCs w:val="28"/>
        </w:rPr>
        <w:t xml:space="preserve">Вадима Ігоровича, Ясенюка Миколи Сергійовича, Кравчука </w:t>
      </w:r>
      <w:r w:rsidRPr="0052055C">
        <w:rPr>
          <w:rFonts w:ascii="Times New Roman" w:hAnsi="Times New Roman" w:cs="Times New Roman"/>
          <w:sz w:val="28"/>
          <w:szCs w:val="28"/>
        </w:rPr>
        <w:t>Анатолія Васильовича, Жука Андрія Миколайовича, Грабка Ігоря В'ячеславовича, Целюха Вадима Володимировича, Хомича Сергія Вікторовича, Гусака Михайла Анатолійовича</w:t>
      </w:r>
      <w:r w:rsidRPr="0052055C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 w:rsidRPr="00520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23FE1" w14:textId="77777777" w:rsidR="006F2EC1" w:rsidRPr="0052055C" w:rsidRDefault="006F2EC1">
      <w:pPr>
        <w:ind w:right="-2" w:firstLine="567"/>
        <w:jc w:val="both"/>
      </w:pPr>
    </w:p>
    <w:p w14:paraId="09894A9F" w14:textId="77777777" w:rsidR="006F2EC1" w:rsidRPr="0052055C" w:rsidRDefault="00CB72F9">
      <w:pPr>
        <w:ind w:right="-2" w:firstLine="567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>1. Затвердити кошториси видатків, пов’язаних із похованням загиблих вій</w:t>
      </w:r>
      <w:r w:rsidR="00EF3E74" w:rsidRPr="0052055C">
        <w:rPr>
          <w:rFonts w:ascii="Times New Roman" w:hAnsi="Times New Roman" w:cs="Times New Roman"/>
          <w:sz w:val="28"/>
          <w:szCs w:val="28"/>
        </w:rPr>
        <w:t>ськовослужбовців Харічева Миколи</w:t>
      </w:r>
      <w:r w:rsidRPr="0052055C">
        <w:rPr>
          <w:rFonts w:ascii="Times New Roman" w:hAnsi="Times New Roman" w:cs="Times New Roman"/>
          <w:sz w:val="28"/>
          <w:szCs w:val="28"/>
        </w:rPr>
        <w:t xml:space="preserve"> Олександровича, Бондарука Віктора Олеговича, Смірнова </w:t>
      </w:r>
      <w:r w:rsidR="00EF3E74" w:rsidRPr="0052055C">
        <w:rPr>
          <w:rFonts w:ascii="Times New Roman" w:hAnsi="Times New Roman" w:cs="Times New Roman"/>
          <w:sz w:val="28"/>
          <w:szCs w:val="28"/>
        </w:rPr>
        <w:t>Вадима Ігоровича, Ясенюка Миколи</w:t>
      </w:r>
      <w:r w:rsidRPr="0052055C">
        <w:rPr>
          <w:rFonts w:ascii="Times New Roman" w:hAnsi="Times New Roman" w:cs="Times New Roman"/>
          <w:sz w:val="28"/>
          <w:szCs w:val="28"/>
        </w:rPr>
        <w:t xml:space="preserve"> Сергійовича, Кравчука Анатолія Васильовича, Жука Андрія Миколайовича, Грабка Ігоря В'ячеславовича, Целюха Вадима Володимировича, Хомича Сергія Вікторовича, Гусака Михайла Анатолійовича, згідно з додатками</w:t>
      </w:r>
      <w:r w:rsidRPr="005205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055C">
        <w:rPr>
          <w:rFonts w:ascii="Times New Roman" w:hAnsi="Times New Roman" w:cs="Times New Roman"/>
          <w:sz w:val="28"/>
          <w:szCs w:val="28"/>
        </w:rPr>
        <w:t>1–10 відповідно.</w:t>
      </w:r>
    </w:p>
    <w:p w14:paraId="73006BDB" w14:textId="77777777" w:rsidR="006F2EC1" w:rsidRPr="0052055C" w:rsidRDefault="00CB72F9">
      <w:pPr>
        <w:ind w:right="-2" w:firstLine="567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7236B64E" w14:textId="77777777" w:rsidR="006F2EC1" w:rsidRPr="0052055C" w:rsidRDefault="00CB72F9">
      <w:pPr>
        <w:ind w:firstLine="567"/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37FCB104" w14:textId="77777777" w:rsidR="006F2EC1" w:rsidRDefault="006F2E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52372" w14:textId="77777777" w:rsidR="0052055C" w:rsidRPr="0052055C" w:rsidRDefault="005205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8802E" w14:textId="77777777" w:rsidR="006F2EC1" w:rsidRPr="0052055C" w:rsidRDefault="00CB72F9">
      <w:pPr>
        <w:jc w:val="both"/>
        <w:rPr>
          <w:sz w:val="28"/>
          <w:szCs w:val="28"/>
        </w:rPr>
      </w:pPr>
      <w:r w:rsidRPr="0052055C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2055C">
        <w:rPr>
          <w:rFonts w:ascii="Times New Roman" w:hAnsi="Times New Roman" w:cs="Times New Roman"/>
          <w:sz w:val="28"/>
          <w:szCs w:val="28"/>
        </w:rPr>
        <w:tab/>
      </w:r>
      <w:r w:rsidRPr="0052055C">
        <w:rPr>
          <w:rFonts w:ascii="Times New Roman" w:hAnsi="Times New Roman" w:cs="Times New Roman"/>
          <w:sz w:val="28"/>
          <w:szCs w:val="28"/>
        </w:rPr>
        <w:tab/>
      </w:r>
      <w:r w:rsidRPr="0052055C">
        <w:rPr>
          <w:rFonts w:ascii="Times New Roman" w:hAnsi="Times New Roman" w:cs="Times New Roman"/>
          <w:sz w:val="28"/>
          <w:szCs w:val="28"/>
        </w:rPr>
        <w:tab/>
      </w:r>
      <w:r w:rsidRPr="0052055C">
        <w:rPr>
          <w:rFonts w:ascii="Times New Roman" w:hAnsi="Times New Roman" w:cs="Times New Roman"/>
          <w:sz w:val="28"/>
          <w:szCs w:val="28"/>
        </w:rPr>
        <w:tab/>
      </w:r>
      <w:r w:rsidRPr="0052055C">
        <w:rPr>
          <w:rFonts w:ascii="Times New Roman" w:hAnsi="Times New Roman" w:cs="Times New Roman"/>
          <w:sz w:val="28"/>
          <w:szCs w:val="28"/>
        </w:rPr>
        <w:tab/>
      </w:r>
      <w:r w:rsidRPr="0052055C">
        <w:rPr>
          <w:rFonts w:ascii="Times New Roman" w:hAnsi="Times New Roman" w:cs="Times New Roman"/>
          <w:sz w:val="28"/>
          <w:szCs w:val="28"/>
        </w:rPr>
        <w:tab/>
      </w:r>
      <w:r w:rsidRPr="0052055C">
        <w:rPr>
          <w:rFonts w:ascii="Times New Roman" w:hAnsi="Times New Roman" w:cs="Times New Roman"/>
          <w:sz w:val="28"/>
          <w:szCs w:val="28"/>
        </w:rPr>
        <w:tab/>
      </w:r>
      <w:r w:rsidRPr="0052055C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0A0E4B" w14:textId="77777777" w:rsidR="006F2EC1" w:rsidRDefault="006F2EC1">
      <w:pPr>
        <w:jc w:val="both"/>
        <w:rPr>
          <w:sz w:val="28"/>
          <w:szCs w:val="28"/>
        </w:rPr>
      </w:pPr>
    </w:p>
    <w:p w14:paraId="7615B780" w14:textId="23155AE9" w:rsidR="006F2EC1" w:rsidRDefault="00CB72F9" w:rsidP="0052055C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Махецький 741 081</w:t>
      </w:r>
    </w:p>
    <w:sectPr w:rsidR="006F2EC1" w:rsidSect="006B40BB">
      <w:headerReference w:type="default" r:id="rId7"/>
      <w:footerReference w:type="first" r:id="rId8"/>
      <w:pgSz w:w="11906" w:h="16838"/>
      <w:pgMar w:top="567" w:right="567" w:bottom="102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6C06" w14:textId="77777777" w:rsidR="001D7958" w:rsidRDefault="001D7958">
      <w:r>
        <w:separator/>
      </w:r>
    </w:p>
  </w:endnote>
  <w:endnote w:type="continuationSeparator" w:id="0">
    <w:p w14:paraId="63174C0B" w14:textId="77777777" w:rsidR="001D7958" w:rsidRDefault="001D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0F70" w14:textId="77777777" w:rsidR="00CB72F9" w:rsidRDefault="00CB72F9">
    <w:pPr>
      <w:pStyle w:val="af0"/>
    </w:pPr>
  </w:p>
  <w:p w14:paraId="572BE3D9" w14:textId="77777777" w:rsidR="00CB72F9" w:rsidRDefault="00CB72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CB0A" w14:textId="77777777" w:rsidR="001D7958" w:rsidRDefault="001D7958">
      <w:r>
        <w:separator/>
      </w:r>
    </w:p>
  </w:footnote>
  <w:footnote w:type="continuationSeparator" w:id="0">
    <w:p w14:paraId="5BA8ABD1" w14:textId="77777777" w:rsidR="001D7958" w:rsidRDefault="001D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E8D3" w14:textId="77777777" w:rsidR="00CB72F9" w:rsidRDefault="00CB72F9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7B99CE80" w14:textId="77777777" w:rsidR="00CB72F9" w:rsidRDefault="00CB72F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EC1"/>
    <w:rsid w:val="001D7958"/>
    <w:rsid w:val="002324D9"/>
    <w:rsid w:val="003E3F27"/>
    <w:rsid w:val="0052055C"/>
    <w:rsid w:val="006B40BB"/>
    <w:rsid w:val="006F2EC1"/>
    <w:rsid w:val="007B78BC"/>
    <w:rsid w:val="008238D0"/>
    <w:rsid w:val="00CB72F9"/>
    <w:rsid w:val="00E27352"/>
    <w:rsid w:val="00E66488"/>
    <w:rsid w:val="00E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6D57"/>
  <w15:docId w15:val="{2B614911-F820-438B-9DE5-CEA43804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67</cp:revision>
  <cp:lastPrinted>2025-11-20T09:29:00Z</cp:lastPrinted>
  <dcterms:created xsi:type="dcterms:W3CDTF">2024-07-10T06:55:00Z</dcterms:created>
  <dcterms:modified xsi:type="dcterms:W3CDTF">2025-11-21T09:04:00Z</dcterms:modified>
  <dc:language>uk-UA</dc:language>
</cp:coreProperties>
</file>