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9"/>
          <w:tab w:val="left" w:pos="4680" w:leader="none"/>
        </w:tabs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4050" cy="65405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120" cy="654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51.45pt;height:51.4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95pt;height:58.85pt;mso-wrap-distance-right:0pt" filled="f" o:ole="">
            <v:imagedata r:id="rId3" o:title=""/>
          </v:shape>
          <o:OLEObject Type="Embed" ProgID="PBrush" ShapeID="ole_rId2" DrawAspect="Content" ObjectID="_1457561982" r:id="rId2"/>
        </w:object>
      </w:r>
      <w:r>
        <w:rPr/>
        <w:t xml:space="preserve">  </w:t>
      </w:r>
    </w:p>
    <w:p>
      <w:pPr>
        <w:pStyle w:val="Heading3"/>
        <w:numPr>
          <w:ilvl w:val="2"/>
          <w:numId w:val="2"/>
        </w:numPr>
        <w:ind w:hanging="720" w:left="0"/>
        <w:jc w:val="center"/>
        <w:rPr/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Heading8"/>
        <w:numPr>
          <w:ilvl w:val="7"/>
          <w:numId w:val="2"/>
        </w:numPr>
        <w:rPr/>
      </w:pPr>
      <w:r>
        <w:rPr>
          <w:sz w:val="32"/>
          <w:szCs w:val="32"/>
        </w:rPr>
        <w:t>РІШЕННЯ</w:t>
      </w:r>
    </w:p>
    <w:p>
      <w:pPr>
        <w:pStyle w:val="Normal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09"/>
          <w:tab w:val="left" w:pos="4687" w:leader="none"/>
        </w:tabs>
        <w:jc w:val="center"/>
        <w:rPr/>
      </w:pPr>
      <w:r>
        <w:rPr/>
        <w:t>________________                                       Луцьк                                       №______________</w:t>
      </w:r>
    </w:p>
    <w:p>
      <w:pPr>
        <w:pStyle w:val="Normal"/>
        <w:rPr/>
      </w:pPr>
      <w:r>
        <w:rPr/>
        <w:t xml:space="preserve">              </w:t>
      </w:r>
      <w:r>
        <w:rPr>
          <w:sz w:val="16"/>
          <w:szCs w:val="16"/>
        </w:rPr>
        <w:t xml:space="preserve">                                                                         </w:t>
      </w:r>
    </w:p>
    <w:p>
      <w:pPr>
        <w:pStyle w:val="Normal"/>
        <w:ind w:hanging="0" w:right="-319"/>
        <w:rPr>
          <w:sz w:val="28"/>
          <w:szCs w:val="28"/>
        </w:rPr>
      </w:pPr>
      <w:r>
        <w:rPr>
          <w:sz w:val="28"/>
          <w:szCs w:val="28"/>
          <w:lang w:val="uk-UA"/>
        </w:rPr>
        <w:t>П</w:t>
      </w:r>
      <w:r>
        <w:rPr>
          <w:sz w:val="28"/>
          <w:szCs w:val="28"/>
        </w:rPr>
        <w:t xml:space="preserve">ро надання згоди 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u w:val="none"/>
          <w:lang w:val="uk-UA"/>
        </w:rPr>
        <w:t>ЛУЦЬКОМУ СПЕЦІАЛЬ-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spacing w:val="-2"/>
          <w:sz w:val="28"/>
          <w:szCs w:val="28"/>
          <w:u w:val="none"/>
          <w:lang w:val="uk-UA"/>
        </w:rPr>
        <w:t>НОМУ   КОМУНАЛЬНОМУ   АВТОТРАНС-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spacing w:val="-2"/>
          <w:sz w:val="28"/>
          <w:szCs w:val="28"/>
          <w:u w:val="none"/>
          <w:lang w:val="uk-UA"/>
        </w:rPr>
        <w:t>ПОРТНОМУ    ПІДПРИЄМСТВУ</w:t>
      </w:r>
      <w:r>
        <w:rPr>
          <w:rFonts w:eastAsia="Times New Roman" w:cs="Times New Roman"/>
          <w:b w:val="false"/>
          <w:bCs w:val="false"/>
          <w:spacing w:val="-2"/>
          <w:sz w:val="30"/>
          <w:szCs w:val="30"/>
          <w:u w:val="none"/>
          <w:lang w:val="uk-UA"/>
        </w:rPr>
        <w:t xml:space="preserve">   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u w:val="none"/>
          <w:lang w:val="uk-UA"/>
        </w:rPr>
        <w:t>«ЛУЦЬК-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spacing w:val="-2"/>
          <w:sz w:val="28"/>
          <w:szCs w:val="28"/>
          <w:u w:val="none"/>
          <w:lang w:val="uk-UA"/>
        </w:rPr>
        <w:t>СПЕЦКОМУНТРАНС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»   та</w:t>
      </w:r>
      <w:r>
        <w:rPr>
          <w:rFonts w:eastAsia="Times New Roman" w:cs="Times New Roman"/>
          <w:b w:val="false"/>
          <w:bCs w:val="false"/>
          <w:spacing w:val="2"/>
          <w:sz w:val="30"/>
          <w:szCs w:val="30"/>
          <w:u w:val="none"/>
          <w:lang w:val="uk-UA" w:eastAsia="ar-SA"/>
        </w:rPr>
        <w:t xml:space="preserve">   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ТОВ</w:t>
      </w:r>
      <w:r>
        <w:rPr>
          <w:rFonts w:eastAsia="Times New Roman" w:cs="Times New Roman"/>
          <w:b w:val="false"/>
          <w:bCs w:val="false"/>
          <w:spacing w:val="2"/>
          <w:sz w:val="24"/>
          <w:szCs w:val="24"/>
          <w:u w:val="none"/>
          <w:lang w:val="uk-UA" w:eastAsia="ar-SA"/>
        </w:rPr>
        <w:t xml:space="preserve">   </w:t>
      </w:r>
      <w:r>
        <w:rPr>
          <w:rFonts w:eastAsia="Times New Roman" w:cs="Times New Roman"/>
          <w:b w:val="false"/>
          <w:bCs w:val="false"/>
          <w:spacing w:val="-6"/>
          <w:sz w:val="24"/>
          <w:szCs w:val="24"/>
          <w:u w:val="none"/>
          <w:lang w:val="uk-UA" w:eastAsia="ar-SA"/>
        </w:rPr>
        <w:t xml:space="preserve">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«КЛІАР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ЕНЕРДЖІ»</w:t>
      </w:r>
      <w:r>
        <w:rPr>
          <w:rFonts w:eastAsia="Times New Roman" w:cs="Times New Roman"/>
          <w:b w:val="false"/>
          <w:bCs w:val="false"/>
          <w:spacing w:val="2"/>
          <w:sz w:val="14"/>
          <w:szCs w:val="14"/>
          <w:u w:val="none"/>
          <w:lang w:val="uk-UA" w:eastAsia="ar-SA"/>
        </w:rPr>
        <w:t xml:space="preserve">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на</w:t>
      </w:r>
      <w:r>
        <w:rPr>
          <w:rFonts w:eastAsia="Times New Roman" w:cs="Times New Roman"/>
          <w:b w:val="false"/>
          <w:bCs w:val="false"/>
          <w:spacing w:val="2"/>
          <w:sz w:val="14"/>
          <w:szCs w:val="14"/>
          <w:u w:val="none"/>
          <w:lang w:val="uk-UA" w:eastAsia="ar-SA"/>
        </w:rPr>
        <w:t xml:space="preserve">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продовження</w:t>
      </w:r>
      <w:r>
        <w:rPr>
          <w:rFonts w:eastAsia="Times New Roman" w:cs="Times New Roman"/>
          <w:b w:val="false"/>
          <w:bCs w:val="false"/>
          <w:spacing w:val="2"/>
          <w:sz w:val="14"/>
          <w:szCs w:val="14"/>
          <w:u w:val="none"/>
          <w:lang w:val="uk-UA" w:eastAsia="ar-SA"/>
        </w:rPr>
        <w:t xml:space="preserve">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терміну</w:t>
      </w:r>
      <w:r>
        <w:rPr>
          <w:rFonts w:eastAsia="Times New Roman" w:cs="Times New Roman"/>
          <w:b w:val="false"/>
          <w:bCs w:val="false"/>
          <w:spacing w:val="2"/>
          <w:sz w:val="14"/>
          <w:szCs w:val="14"/>
          <w:u w:val="none"/>
          <w:lang w:val="uk-UA" w:eastAsia="ar-SA"/>
        </w:rPr>
        <w:t xml:space="preserve">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суборен-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 xml:space="preserve">ди   </w:t>
      </w:r>
      <w:r>
        <w:rPr>
          <w:sz w:val="28"/>
          <w:szCs w:val="28"/>
        </w:rPr>
        <w:t xml:space="preserve">землі   на    частину   земельної    </w:t>
      </w:r>
      <w:r>
        <w:rPr>
          <w:rFonts w:eastAsia="Times New Roman"/>
          <w:spacing w:val="2"/>
          <w:sz w:val="28"/>
          <w:szCs w:val="28"/>
          <w:lang w:eastAsia="ar-SA"/>
        </w:rPr>
        <w:t>ділянки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/>
          <w:spacing w:val="2"/>
          <w:sz w:val="28"/>
          <w:szCs w:val="28"/>
          <w:lang w:eastAsia="ar-SA"/>
        </w:rPr>
        <w:t>(0,0600 га)  за   межами   населених   пунктів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/>
          <w:spacing w:val="2"/>
          <w:sz w:val="28"/>
          <w:szCs w:val="28"/>
          <w:lang w:eastAsia="ar-SA"/>
        </w:rPr>
        <w:t xml:space="preserve">Луцької міської територіальної громади </w:t>
      </w:r>
      <w:r>
        <w:rPr>
          <w:rFonts w:eastAsia="Times New Roman"/>
          <w:spacing w:val="2"/>
          <w:sz w:val="28"/>
          <w:szCs w:val="28"/>
          <w:lang w:val="uk-UA" w:eastAsia="ar-SA"/>
        </w:rPr>
        <w:t>(с. Брище)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firstLine="567" w:left="0" w:right="0"/>
        <w:jc w:val="both"/>
        <w:rPr>
          <w:sz w:val="28"/>
          <w:szCs w:val="28"/>
        </w:rPr>
      </w:pPr>
      <w:r>
        <w:rPr>
          <w:b w:val="false"/>
          <w:bCs w:val="false"/>
          <w:spacing w:val="2"/>
          <w:sz w:val="28"/>
          <w:szCs w:val="28"/>
        </w:rPr>
        <w:t xml:space="preserve">Розглянувши </w:t>
      </w:r>
      <w:r>
        <w:rPr>
          <w:rFonts w:eastAsia="Times New Roman"/>
          <w:b w:val="false"/>
          <w:bCs w:val="false"/>
          <w:spacing w:val="2"/>
          <w:sz w:val="28"/>
          <w:szCs w:val="28"/>
          <w:lang w:eastAsia="ar-SA"/>
        </w:rPr>
        <w:t xml:space="preserve">заяву 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lang w:val="uk-UA"/>
        </w:rPr>
        <w:t xml:space="preserve">ЛУЦЬКОГО СПЕЦІАЛЬНОГО КОМУНАЛЬНОГО АВТОТРАНСПОРТНОГО ПІДПРИЄМСТВА 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u w:val="none"/>
          <w:lang w:val="uk-UA"/>
        </w:rPr>
        <w:t>«ЛУЦЬКСПЕЦКОМУН-ТРАНС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»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u w:val="none"/>
          <w:lang w:val="uk-UA"/>
        </w:rPr>
        <w:t xml:space="preserve"> та ТОВ</w:t>
      </w:r>
      <w:r>
        <w:rPr>
          <w:rFonts w:eastAsia="Times New Roman" w:cs="Times New Roman"/>
          <w:b w:val="false"/>
          <w:bCs w:val="false"/>
          <w:spacing w:val="-6"/>
          <w:sz w:val="28"/>
          <w:szCs w:val="28"/>
          <w:u w:val="none"/>
          <w:lang w:val="uk-UA" w:eastAsia="ar-SA"/>
        </w:rPr>
        <w:t xml:space="preserve">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«КЛІАР ЕНЕРДЖІ» про</w:t>
      </w:r>
      <w:r>
        <w:rPr>
          <w:b w:val="false"/>
          <w:bCs w:val="false"/>
          <w:spacing w:val="2"/>
          <w:sz w:val="28"/>
          <w:szCs w:val="28"/>
        </w:rPr>
        <w:t xml:space="preserve"> надання згоди на продовження терміну </w:t>
      </w:r>
      <w:r>
        <w:rPr>
          <w:rFonts w:eastAsia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суборенди землі згідно з договором суборенди землі від 19.10.2017, зареєстрованим у Державному реєстрі речових прав на нерухоме майно від 19.10.2017, номер запису про інше речове право: 22909568</w:t>
      </w:r>
      <w:r>
        <w:rPr>
          <w:b w:val="false"/>
          <w:bCs w:val="false"/>
          <w:spacing w:val="2"/>
          <w:sz w:val="28"/>
          <w:szCs w:val="28"/>
        </w:rPr>
        <w:t xml:space="preserve">, додаткову угоду про заміну сторони в договорі суборенди землі від </w:t>
      </w:r>
      <w:r>
        <w:rPr>
          <w:b w:val="false"/>
          <w:bCs w:val="false"/>
          <w:spacing w:val="2"/>
          <w:sz w:val="28"/>
          <w:szCs w:val="28"/>
          <w:lang w:val="uk-UA"/>
        </w:rPr>
        <w:t xml:space="preserve">19.10.2017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lang w:val="uk-UA"/>
        </w:rPr>
        <w:t xml:space="preserve">(право суборенди земельної ділянки зареєстроване у Державному реєстрі речових прав на нерухоме майно від 19.10.2017, номер запису про інше речове право: 22909568) </w:t>
      </w:r>
      <w:r>
        <w:rPr>
          <w:b w:val="false"/>
          <w:bCs w:val="false"/>
          <w:spacing w:val="2"/>
          <w:sz w:val="28"/>
          <w:szCs w:val="28"/>
          <w:lang w:val="uk-UA"/>
        </w:rPr>
        <w:t>до договору оренди землі</w:t>
      </w:r>
      <w:r>
        <w:rPr>
          <w:b w:val="false"/>
          <w:bCs w:val="false"/>
          <w:spacing w:val="0"/>
          <w:sz w:val="28"/>
          <w:szCs w:val="28"/>
          <w:lang w:val="uk-UA"/>
        </w:rPr>
        <w:t xml:space="preserve">, зареєстрованого у Державному реєстрі земель від 03.06.2009 № 040907600002 (право оренди земельної ділянки зареєстроване у Державному реєстрі речових прав на нерухоме майно від 28.09.2017, номер запису про інше речове право: </w:t>
      </w:r>
      <w:r>
        <w:rPr>
          <w:rFonts w:eastAsia="Times New Roman" w:cs="Times New Roman"/>
          <w:b w:val="false"/>
          <w:bCs w:val="false"/>
          <w:spacing w:val="0"/>
          <w:sz w:val="28"/>
          <w:szCs w:val="28"/>
          <w:lang w:val="uk-UA"/>
        </w:rPr>
        <w:t>22631096), поновленого додатковою угодою про поновлення договору оренди землі, зареєстрованого у Державному реєстрі земель від 03.06.2009 № 040907600002 (право оренди земельної ділянки зареєстроване у Державному реєстрі речових прав на нерухоме майно від 28.09.2017, номер запису про інше речове право: 22631096) від 08.02.2022 (реєстрація змін до іншого речового права від 08.02.2022)</w:t>
      </w:r>
      <w:r>
        <w:rPr>
          <w:spacing w:val="2"/>
          <w:sz w:val="28"/>
          <w:szCs w:val="28"/>
        </w:rPr>
        <w:t xml:space="preserve">, витяг з Державного земельного кадастру про земельну ділянку </w:t>
      </w:r>
      <w:r>
        <w:rPr>
          <w:color w:val="000000"/>
          <w:spacing w:val="2"/>
          <w:sz w:val="28"/>
          <w:szCs w:val="28"/>
        </w:rPr>
        <w:t>від 31</w:t>
      </w:r>
      <w:r>
        <w:rPr>
          <w:color w:val="000000"/>
          <w:spacing w:val="2"/>
          <w:sz w:val="28"/>
          <w:szCs w:val="28"/>
          <w:lang w:val="uk-UA"/>
        </w:rPr>
        <w:t>.10.2025</w:t>
      </w:r>
      <w:r>
        <w:rPr>
          <w:color w:val="000000"/>
          <w:spacing w:val="2"/>
          <w:sz w:val="28"/>
          <w:szCs w:val="28"/>
        </w:rPr>
        <w:t xml:space="preserve"> № </w:t>
      </w:r>
      <w:r>
        <w:rPr>
          <w:rFonts w:eastAsia="Times New Roman"/>
          <w:color w:val="000000"/>
          <w:spacing w:val="2"/>
          <w:sz w:val="28"/>
          <w:szCs w:val="28"/>
          <w:lang w:eastAsia="ar-SA"/>
        </w:rPr>
        <w:t>Н</w:t>
      </w:r>
      <w:r>
        <w:rPr>
          <w:color w:val="000000"/>
          <w:spacing w:val="2"/>
          <w:sz w:val="28"/>
          <w:szCs w:val="28"/>
        </w:rPr>
        <w:t>В-998430280</w:t>
      </w:r>
      <w:r>
        <w:rPr>
          <w:rFonts w:eastAsia="Times New Roman"/>
          <w:color w:val="000000"/>
          <w:spacing w:val="2"/>
          <w:sz w:val="28"/>
          <w:szCs w:val="28"/>
          <w:lang w:val="uk-UA" w:eastAsia="ar-SA"/>
        </w:rPr>
        <w:t>2025</w:t>
      </w:r>
      <w:r>
        <w:rPr>
          <w:spacing w:val="2"/>
          <w:sz w:val="28"/>
          <w:szCs w:val="28"/>
        </w:rPr>
        <w:t xml:space="preserve">, лист 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lang w:val="uk-UA"/>
        </w:rPr>
        <w:t xml:space="preserve">ЛУЦЬКОГО СПЕЦІАЛЬНОГО КОМУНАЛЬНОГО АВТОТРАНСПОРТНОГО ПІДПРИЄМСТВА 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u w:val="none"/>
          <w:lang w:val="uk-UA"/>
        </w:rPr>
        <w:t>«ЛУЦЬКСПЕЦКОМУНТРАНС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 xml:space="preserve">»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u w:val="none"/>
          <w:lang w:val="uk-UA" w:eastAsia="ar-SA"/>
        </w:rPr>
        <w:t>щодо відсутності заборгованості по</w:t>
      </w:r>
      <w:r>
        <w:rPr>
          <w:rFonts w:eastAsia="Times New Roman" w:cs="Times New Roman"/>
          <w:b w:val="false"/>
          <w:bCs w:val="false"/>
          <w:color w:val="000000"/>
          <w:spacing w:val="-2"/>
          <w:sz w:val="28"/>
          <w:szCs w:val="28"/>
          <w:u w:val="none"/>
          <w:lang w:val="uk-UA" w:eastAsia="ar-SA"/>
        </w:rPr>
        <w:t xml:space="preserve"> сплаті за суборенду землі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від 26.11.2025 № 1-1.8/3172</w:t>
      </w:r>
      <w:r>
        <w:rPr>
          <w:color w:val="1C1C1C"/>
          <w:spacing w:val="2"/>
          <w:sz w:val="28"/>
          <w:szCs w:val="28"/>
        </w:rPr>
        <w:t xml:space="preserve">, враховуючи право власності 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u w:val="none"/>
          <w:lang w:val="uk-UA"/>
        </w:rPr>
        <w:t>ТзОВ</w:t>
      </w:r>
      <w:r>
        <w:rPr>
          <w:rFonts w:eastAsia="Times New Roman" w:cs="Times New Roman"/>
          <w:b w:val="false"/>
          <w:bCs w:val="false"/>
          <w:spacing w:val="-6"/>
          <w:sz w:val="28"/>
          <w:szCs w:val="28"/>
          <w:u w:val="none"/>
          <w:lang w:val="uk-UA" w:eastAsia="ar-SA"/>
        </w:rPr>
        <w:t xml:space="preserve">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«КЛІАР ЕНЕРДЖІ»</w:t>
      </w:r>
      <w:r>
        <w:rPr>
          <w:color w:val="1C1C1C"/>
          <w:spacing w:val="2"/>
          <w:sz w:val="28"/>
          <w:szCs w:val="28"/>
        </w:rPr>
        <w:t xml:space="preserve"> на виробничий будинок — комплексна інженерна споруда для виробництва електричної енергії з системою збору біогазу, витяг з Державного реєстру речових прав на нерухоме майно від </w:t>
      </w:r>
      <w:r>
        <w:rPr>
          <w:color w:val="1C1C1C"/>
          <w:spacing w:val="2"/>
          <w:sz w:val="28"/>
          <w:szCs w:val="28"/>
          <w:lang w:val="uk-UA"/>
        </w:rPr>
        <w:t>28.03.2018,</w:t>
      </w:r>
      <w:r>
        <w:rPr>
          <w:color w:val="1C1C1C"/>
          <w:spacing w:val="2"/>
          <w:sz w:val="28"/>
          <w:szCs w:val="28"/>
        </w:rPr>
        <w:t xml:space="preserve"> номер запису про право власності: </w:t>
      </w:r>
      <w:r>
        <w:rPr>
          <w:color w:val="1C1C1C"/>
          <w:spacing w:val="2"/>
          <w:sz w:val="28"/>
          <w:szCs w:val="28"/>
          <w:lang w:val="uk-UA"/>
        </w:rPr>
        <w:t>25461416</w:t>
      </w:r>
      <w:r>
        <w:rPr>
          <w:color w:val="1C1C1C"/>
          <w:spacing w:val="2"/>
          <w:sz w:val="28"/>
          <w:szCs w:val="28"/>
        </w:rPr>
        <w:t xml:space="preserve">, </w:t>
      </w:r>
      <w:r>
        <w:rPr>
          <w:spacing w:val="2"/>
          <w:sz w:val="28"/>
          <w:szCs w:val="28"/>
        </w:rPr>
        <w:t xml:space="preserve">керуючись статтями 12, 93, 96, 122, 126-1, частиною другою статті 134 Земельного кодексу України, статтями 32-2, 33 та </w:t>
      </w:r>
      <w:r>
        <w:rPr>
          <w:rFonts w:eastAsia="Times New Roman"/>
          <w:spacing w:val="2"/>
          <w:sz w:val="28"/>
          <w:szCs w:val="28"/>
          <w:lang w:eastAsia="ar-SA"/>
        </w:rPr>
        <w:t>п</w:t>
      </w:r>
      <w:r>
        <w:rPr>
          <w:spacing w:val="2"/>
          <w:sz w:val="28"/>
          <w:szCs w:val="28"/>
        </w:rPr>
        <w:t>ерехідними положеннями Закону України «Про оренду землі», Закон</w:t>
      </w:r>
      <w:r>
        <w:rPr>
          <w:rFonts w:eastAsia="Times New Roman"/>
          <w:spacing w:val="2"/>
          <w:sz w:val="28"/>
          <w:szCs w:val="28"/>
          <w:lang w:eastAsia="ar-SA"/>
        </w:rPr>
        <w:t>ом</w:t>
      </w:r>
      <w:r>
        <w:rPr>
          <w:spacing w:val="2"/>
          <w:sz w:val="28"/>
          <w:szCs w:val="28"/>
        </w:rPr>
        <w:t xml:space="preserve"> України «Про </w:t>
      </w:r>
      <w:r>
        <w:rPr>
          <w:rFonts w:eastAsia="Times New Roman"/>
          <w:spacing w:val="2"/>
          <w:sz w:val="28"/>
          <w:szCs w:val="28"/>
          <w:lang w:eastAsia="ar-SA"/>
        </w:rPr>
        <w:t>Державний земельний кадастр</w:t>
      </w:r>
      <w:r>
        <w:rPr>
          <w:spacing w:val="2"/>
          <w:sz w:val="28"/>
          <w:szCs w:val="28"/>
        </w:rPr>
        <w:t xml:space="preserve">», Законом України «Про державну  реєстрацію речових прав на нерухоме майно та їх обтяжень», </w:t>
      </w:r>
      <w:r>
        <w:rPr>
          <w:rFonts w:eastAsia="Times New Roman"/>
          <w:spacing w:val="2"/>
          <w:sz w:val="28"/>
          <w:szCs w:val="28"/>
          <w:lang w:eastAsia="ar-SA"/>
        </w:rPr>
        <w:t>П</w:t>
      </w:r>
      <w:r>
        <w:rPr>
          <w:spacing w:val="2"/>
          <w:sz w:val="28"/>
          <w:szCs w:val="28"/>
        </w:rPr>
        <w:t xml:space="preserve">рикінцевими та </w:t>
      </w:r>
      <w:r>
        <w:rPr>
          <w:rFonts w:eastAsia="Times New Roman"/>
          <w:spacing w:val="2"/>
          <w:sz w:val="28"/>
          <w:szCs w:val="28"/>
          <w:lang w:eastAsia="ar-SA"/>
        </w:rPr>
        <w:t>п</w:t>
      </w:r>
      <w:r>
        <w:rPr>
          <w:spacing w:val="2"/>
          <w:sz w:val="28"/>
          <w:szCs w:val="28"/>
        </w:rPr>
        <w:t xml:space="preserve">ерехідними положеннями 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0"/>
          <w:spacing w:val="2"/>
          <w:sz w:val="28"/>
          <w:szCs w:val="28"/>
        </w:rPr>
        <w:t xml:space="preserve">постановою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eastAsia="ar-SA"/>
        </w:rPr>
        <w:t>п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останов</w:t>
      </w:r>
      <w:r>
        <w:rPr>
          <w:rFonts w:eastAsia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eastAsia="ar-SA"/>
        </w:rPr>
        <w:t>ою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Кабінету Міністрів України від 28 липня 2021 року № 821 «Про внесення  змін до деяких актів Кабінету Міністрів України</w:t>
      </w:r>
      <w:r>
        <w:rPr>
          <w:b w:val="false"/>
          <w:i w:val="false"/>
          <w:caps w:val="false"/>
          <w:smallCaps w:val="false"/>
          <w:color w:val="000000"/>
          <w:spacing w:val="2"/>
          <w:sz w:val="28"/>
          <w:szCs w:val="28"/>
        </w:rPr>
        <w:t>»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, </w:t>
      </w:r>
      <w:r>
        <w:rPr>
          <w:color w:val="000000"/>
          <w:spacing w:val="2"/>
          <w:sz w:val="28"/>
          <w:szCs w:val="28"/>
        </w:rPr>
        <w:t xml:space="preserve">розпорядженням Кабінету Міністрів України від 12.06.2020 № 708-р «Про визначення адміністративних центрів та затвердження територій територіальних </w:t>
      </w:r>
      <w:r>
        <w:rPr>
          <w:b w:val="false"/>
          <w:bCs w:val="false"/>
          <w:color w:val="000000"/>
          <w:spacing w:val="2"/>
          <w:sz w:val="28"/>
          <w:szCs w:val="28"/>
        </w:rPr>
        <w:t>громад Волинської області», пункт</w:t>
      </w:r>
      <w:r>
        <w:rPr>
          <w:rFonts w:eastAsia="Times New Roman"/>
          <w:b w:val="false"/>
          <w:bCs w:val="false"/>
          <w:color w:val="000000"/>
          <w:spacing w:val="2"/>
          <w:sz w:val="28"/>
          <w:szCs w:val="28"/>
          <w:lang w:eastAsia="ar-SA"/>
        </w:rPr>
        <w:t>ом</w:t>
      </w:r>
      <w:r>
        <w:rPr>
          <w:b w:val="false"/>
          <w:bCs w:val="false"/>
          <w:color w:val="000000"/>
          <w:spacing w:val="2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ar-SA"/>
        </w:rPr>
        <w:t>24</w:t>
      </w:r>
      <w:r>
        <w:rPr>
          <w:b w:val="false"/>
          <w:bCs w:val="false"/>
          <w:color w:val="000000"/>
          <w:spacing w:val="2"/>
          <w:sz w:val="28"/>
          <w:szCs w:val="28"/>
        </w:rPr>
        <w:t xml:space="preserve"> додаткової угоди від 10.05.2023 </w:t>
      </w:r>
      <w:r>
        <w:rPr>
          <w:b w:val="false"/>
          <w:bCs w:val="false"/>
          <w:color w:val="000000"/>
          <w:spacing w:val="2"/>
          <w:sz w:val="28"/>
          <w:szCs w:val="28"/>
          <w:lang w:val="uk-UA"/>
        </w:rPr>
        <w:t>про заміну сторони в договорі оренди землі, зареєстрованого у Державному реєстрі земель від 03.06.2009 № 040907600002 (право оренди земельної ділянки зареєстроване у Державному реєстрі речових прав на нерухоме майно від 28.09.2017, номер запису про інше речове право: 22631096), поновлен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lang w:val="uk-UA"/>
        </w:rPr>
        <w:t>ого</w:t>
      </w:r>
      <w:r>
        <w:rPr>
          <w:b w:val="false"/>
          <w:bCs w:val="false"/>
          <w:color w:val="000000"/>
          <w:spacing w:val="2"/>
          <w:sz w:val="28"/>
          <w:szCs w:val="28"/>
          <w:lang w:val="uk-UA"/>
        </w:rPr>
        <w:t xml:space="preserve"> додатковою угодою про поновлення договору оренди землі, зареєстрован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lang w:val="uk-UA"/>
        </w:rPr>
        <w:t>ого</w:t>
      </w:r>
      <w:r>
        <w:rPr>
          <w:b w:val="false"/>
          <w:bCs w:val="false"/>
          <w:color w:val="000000"/>
          <w:spacing w:val="2"/>
          <w:sz w:val="28"/>
          <w:szCs w:val="28"/>
          <w:lang w:val="uk-UA"/>
        </w:rPr>
        <w:t xml:space="preserve"> у Державному реєстрі земель від 03.06.2009 № 040907600002 (право оренди земельної ділянки зареєстроване у Державному реєстрі речових прав на нерухоме майно від 28.09.2017, номер запису про інше речове право: 22631096) від 08.02.2022 (реєстрація змін до іншого речового права від 08.02.2022)</w:t>
      </w:r>
      <w:r>
        <w:rPr>
          <w:b w:val="false"/>
          <w:bCs w:val="false"/>
          <w:color w:val="000000"/>
          <w:spacing w:val="2"/>
          <w:sz w:val="28"/>
          <w:szCs w:val="28"/>
        </w:rPr>
        <w:t xml:space="preserve">, зареєстровану у Державному реєстрі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речових прав</w:t>
      </w:r>
      <w:r>
        <w:rPr>
          <w:b w:val="false"/>
          <w:bCs w:val="false"/>
          <w:color w:val="000000"/>
          <w:spacing w:val="2"/>
          <w:sz w:val="28"/>
          <w:szCs w:val="28"/>
        </w:rPr>
        <w:t xml:space="preserve"> від </w:t>
      </w:r>
      <w:r>
        <w:rPr>
          <w:b w:val="false"/>
          <w:bCs w:val="false"/>
          <w:color w:val="000000"/>
          <w:spacing w:val="2"/>
          <w:sz w:val="28"/>
          <w:szCs w:val="28"/>
          <w:lang w:val="uk-UA"/>
        </w:rPr>
        <w:t xml:space="preserve">16.05.2023 </w:t>
      </w:r>
      <w:r>
        <w:rPr>
          <w:b w:val="false"/>
          <w:bCs w:val="false"/>
          <w:color w:val="000000"/>
          <w:spacing w:val="0"/>
          <w:sz w:val="28"/>
          <w:szCs w:val="28"/>
          <w:lang w:val="uk-UA"/>
        </w:rPr>
        <w:t xml:space="preserve">та пунктом 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4"/>
          <w:lang w:val="uk-UA" w:eastAsia="zh-CN" w:bidi="ar-SA"/>
        </w:rPr>
        <w:t>3.1</w:t>
      </w:r>
      <w:r>
        <w:rPr>
          <w:b w:val="false"/>
          <w:bCs w:val="false"/>
          <w:color w:val="000000"/>
          <w:spacing w:val="0"/>
          <w:sz w:val="28"/>
          <w:szCs w:val="28"/>
          <w:lang w:val="uk-UA"/>
        </w:rPr>
        <w:t xml:space="preserve"> договору суборенди зем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4"/>
          <w:lang w:val="uk-UA" w:eastAsia="zh-CN" w:bidi="ar-SA"/>
        </w:rPr>
        <w:t xml:space="preserve">лі від 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lang w:val="uk-UA" w:eastAsia="zh-CN" w:bidi="ar-SA"/>
        </w:rPr>
        <w:t>19.10.2017 (право суборенди земельної ділянки зареєстроване у Державному реєстрі речових прав на нерухоме майно від 19.10.2017, номер запису про інше речове право: 22909568)</w:t>
      </w:r>
      <w:r>
        <w:rPr>
          <w:b w:val="false"/>
          <w:bCs w:val="false"/>
          <w:color w:val="000000"/>
          <w:spacing w:val="2"/>
          <w:sz w:val="28"/>
          <w:szCs w:val="28"/>
        </w:rPr>
        <w:t xml:space="preserve">, статтями 26, 33 Закону України «Про місцеве самоврядування в Україні», </w:t>
      </w:r>
      <w:r>
        <w:rPr>
          <w:b w:val="false"/>
          <w:bCs w:val="false"/>
          <w:spacing w:val="2"/>
          <w:sz w:val="28"/>
          <w:szCs w:val="28"/>
        </w:rPr>
        <w:t>міська рада</w:t>
      </w:r>
    </w:p>
    <w:p>
      <w:pPr>
        <w:pStyle w:val="Normal"/>
        <w:widowControl w:val="false"/>
        <w:spacing w:lineRule="auto" w:line="24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40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widowControl w:val="false"/>
        <w:spacing w:lineRule="auto" w:line="24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40"/>
        <w:ind w:firstLine="567" w:left="0" w:right="0"/>
        <w:jc w:val="both"/>
        <w:rPr>
          <w:sz w:val="28"/>
          <w:szCs w:val="28"/>
        </w:rPr>
      </w:pPr>
      <w:r>
        <w:rPr>
          <w:spacing w:val="0"/>
          <w:sz w:val="28"/>
          <w:szCs w:val="28"/>
        </w:rPr>
        <w:t>1. </w:t>
      </w:r>
      <w:r>
        <w:rPr>
          <w:spacing w:val="0"/>
          <w:sz w:val="28"/>
          <w:szCs w:val="28"/>
          <w:lang w:val="uk-UA"/>
        </w:rPr>
        <w:t xml:space="preserve">Надати згоду 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u w:val="none"/>
          <w:lang w:val="uk-UA"/>
        </w:rPr>
        <w:t>ЛУЦЬКОМУ СПЕЦІАЛЬНОМУ КОМУНАЛЬНОМУ АВТОТРАНСПОРТНОМУ ПІДПРИЄМСТВУ «ЛУЦЬКСПЕЦКОМУН-ТРАНС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»</w:t>
      </w:r>
      <w:r>
        <w:rPr>
          <w:spacing w:val="-4"/>
          <w:sz w:val="28"/>
          <w:szCs w:val="28"/>
          <w:lang w:val="uk-UA"/>
        </w:rPr>
        <w:t xml:space="preserve"> та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ТОВАРИСТВУ З ОБМЕЖЕНОЮ ВІДПОВІДАЛЬНІСТЮ</w:t>
      </w:r>
      <w:r>
        <w:rPr>
          <w:spacing w:val="-4"/>
          <w:sz w:val="28"/>
          <w:szCs w:val="28"/>
          <w:lang w:val="uk-UA"/>
        </w:rPr>
        <w:t xml:space="preserve"> «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КЛІАР ЕНЕРДЖІ</w:t>
      </w:r>
      <w:r>
        <w:rPr>
          <w:spacing w:val="-4"/>
          <w:sz w:val="28"/>
          <w:szCs w:val="28"/>
          <w:lang w:val="uk-UA"/>
        </w:rPr>
        <w:t xml:space="preserve">» </w:t>
      </w:r>
      <w:r>
        <w:rPr>
          <w:spacing w:val="0"/>
          <w:sz w:val="28"/>
          <w:szCs w:val="28"/>
          <w:lang w:val="uk-UA"/>
        </w:rPr>
        <w:t xml:space="preserve">на продовження терміну суборенди землі на частину земельної ділянки площею 0,0600 га із земельної ділянки площею 8,8915 га з кадастровим номером </w:t>
      </w:r>
      <w:r>
        <w:rPr>
          <w:rFonts w:eastAsia="Times New Roman" w:cs="Times New Roman"/>
          <w:b w:val="false"/>
          <w:i w:val="false"/>
          <w:caps w:val="false"/>
          <w:smallCaps w:val="false"/>
          <w:spacing w:val="0"/>
          <w:sz w:val="28"/>
          <w:szCs w:val="28"/>
          <w:lang w:val="uk-UA"/>
        </w:rPr>
        <w:t>0722855200:03:000:1012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>за межами населених пунктів Луцької міської територіальної громади (с. Брище)</w:t>
      </w:r>
      <w:r>
        <w:rPr>
          <w:spacing w:val="0"/>
          <w:sz w:val="28"/>
          <w:szCs w:val="28"/>
          <w:lang w:val="uk-UA"/>
        </w:rPr>
        <w:t xml:space="preserve">, </w:t>
      </w:r>
      <w:r>
        <w:rPr>
          <w:color w:val="000000"/>
          <w:spacing w:val="-4"/>
          <w:sz w:val="28"/>
          <w:szCs w:val="28"/>
          <w:lang w:val="uk-UA"/>
        </w:rPr>
        <w:t xml:space="preserve">строком </w:t>
      </w:r>
      <w:r>
        <w:rPr>
          <w:spacing w:val="-4"/>
          <w:sz w:val="28"/>
          <w:szCs w:val="28"/>
          <w:lang w:val="uk-UA"/>
        </w:rPr>
        <w:t xml:space="preserve">до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19.01</w:t>
      </w:r>
      <w:r>
        <w:rPr>
          <w:spacing w:val="-4"/>
          <w:sz w:val="28"/>
          <w:szCs w:val="28"/>
          <w:lang w:val="uk-UA"/>
        </w:rPr>
        <w:t xml:space="preserve">.2027 </w:t>
      </w:r>
      <w:r>
        <w:rPr>
          <w:b w:val="false"/>
          <w:bCs w:val="false"/>
          <w:color w:val="000000"/>
          <w:spacing w:val="0"/>
          <w:sz w:val="28"/>
          <w:szCs w:val="28"/>
          <w:u w:val="none"/>
          <w:lang w:val="uk-UA"/>
        </w:rPr>
        <w:t xml:space="preserve">для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 xml:space="preserve">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 (11.02),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pacing w:val="0"/>
          <w:sz w:val="28"/>
          <w:szCs w:val="28"/>
          <w:u w:val="none"/>
          <w:lang w:val="uk-UA"/>
        </w:rPr>
        <w:t>для будівництва та обслуговування полігону, та збереження і поховання твердих побутових відходів</w:t>
      </w:r>
      <w:r>
        <w:rPr>
          <w:spacing w:val="0"/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 Погодити додаткову угоду про поновлення договору суборенди землі </w:t>
      </w:r>
      <w:r>
        <w:rPr>
          <w:spacing w:val="0"/>
          <w:sz w:val="28"/>
          <w:szCs w:val="28"/>
          <w:lang w:val="uk-UA"/>
        </w:rPr>
        <w:t xml:space="preserve">на частину земельної ділянки площею 0,0600 га із земельної ділянки площею 8,8915 га з кадастровим номером </w:t>
      </w:r>
      <w:r>
        <w:rPr>
          <w:rFonts w:eastAsia="Times New Roman" w:cs="Times New Roman"/>
          <w:b w:val="false"/>
          <w:i w:val="false"/>
          <w:caps w:val="false"/>
          <w:smallCaps w:val="false"/>
          <w:spacing w:val="0"/>
          <w:sz w:val="28"/>
          <w:szCs w:val="28"/>
          <w:lang w:val="uk-UA"/>
        </w:rPr>
        <w:t>0722855200:03:000:1012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>за межами населених пунктів Луцької міської територіальної громади (с. Брище)</w:t>
      </w:r>
      <w:r>
        <w:rPr>
          <w:sz w:val="28"/>
          <w:szCs w:val="28"/>
          <w:lang w:val="uk-UA"/>
        </w:rPr>
        <w:t>, укладен</w:t>
      </w:r>
      <w:r>
        <w:rPr>
          <w:rFonts w:eastAsia="Times New Roman" w:cs="Times New Roman"/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між 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u w:val="none"/>
          <w:lang w:val="uk-UA"/>
        </w:rPr>
        <w:t>ЛУЦЬКИМ СПЕЦІАЛЬНИМ КОМУНАЛЬНИМ АВТОТРАНСПОРТНИМ ПІДПРИЄМСТВОМ «ЛУЦЬКСПЕЦКОМУН-ТРАНС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»</w:t>
      </w:r>
      <w:r>
        <w:rPr>
          <w:spacing w:val="-4"/>
          <w:sz w:val="28"/>
          <w:szCs w:val="28"/>
          <w:lang w:val="uk-UA"/>
        </w:rPr>
        <w:t xml:space="preserve"> та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ТОВАРИСТВОМ З ОБМЕЖЕНОЮ ВІДПОВІДАЛЬНІСТЮ</w:t>
      </w:r>
      <w:r>
        <w:rPr>
          <w:spacing w:val="-4"/>
          <w:sz w:val="28"/>
          <w:szCs w:val="28"/>
          <w:lang w:val="uk-UA"/>
        </w:rPr>
        <w:t xml:space="preserve"> «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КЛІАР ЕНЕРДЖІ</w:t>
      </w:r>
      <w:r>
        <w:rPr>
          <w:spacing w:val="-4"/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від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19.10.2017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(право суборенди земельної ділянки зареєстроване у Державному реєстрі речових прав на нерухоме майно від </w:t>
      </w:r>
      <w:r>
        <w:rPr>
          <w:rFonts w:eastAsia="Times New Roman" w:cs="Times New Roman"/>
          <w:sz w:val="28"/>
          <w:szCs w:val="28"/>
          <w:lang w:val="uk-UA"/>
        </w:rPr>
        <w:t>19.10.2017</w:t>
      </w:r>
      <w:r>
        <w:rPr>
          <w:sz w:val="28"/>
          <w:szCs w:val="28"/>
          <w:lang w:val="uk-UA"/>
        </w:rPr>
        <w:t xml:space="preserve">, номер запису про інше речове право: </w:t>
      </w:r>
      <w:r>
        <w:rPr>
          <w:rFonts w:eastAsia="Times New Roman" w:cs="Times New Roman"/>
          <w:sz w:val="28"/>
          <w:szCs w:val="28"/>
          <w:lang w:val="uk-UA"/>
        </w:rPr>
        <w:t>22909568</w:t>
      </w:r>
      <w:r>
        <w:rPr>
          <w:sz w:val="28"/>
          <w:szCs w:val="28"/>
          <w:lang w:val="uk-UA"/>
        </w:rPr>
        <w:t>).</w:t>
      </w:r>
    </w:p>
    <w:p>
      <w:pPr>
        <w:pStyle w:val="Normal"/>
        <w:widowControl w:val="false"/>
        <w:ind w:firstLine="567" w:left="0" w:right="0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3. Зобов’язати 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u w:val="none"/>
          <w:lang w:val="uk-UA"/>
        </w:rPr>
        <w:t>ЛУЦЬКЕ СПЕЦІАЛЬНЕ КОМУНАЛЬНЕ АВТОТРАНСПОРТНЕ ПІДПРИЄМСТВО «ЛУЦЬКСПЕЦКОМУНТРАНС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»</w:t>
      </w:r>
      <w:r>
        <w:rPr>
          <w:spacing w:val="-4"/>
          <w:sz w:val="28"/>
          <w:szCs w:val="28"/>
          <w:lang w:val="uk-UA"/>
        </w:rPr>
        <w:t xml:space="preserve"> та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ТОВАРИСТВО З ОБМЕЖЕНОЮ ВІДПОВІДАЛЬНІСТЮ</w:t>
      </w:r>
      <w:r>
        <w:rPr>
          <w:spacing w:val="-4"/>
          <w:sz w:val="28"/>
          <w:szCs w:val="28"/>
          <w:lang w:val="uk-UA"/>
        </w:rPr>
        <w:t xml:space="preserve"> «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КЛІАР ЕНЕРДЖІ</w:t>
      </w:r>
      <w:r>
        <w:rPr>
          <w:spacing w:val="-4"/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3.1. Укласти додаткову угоду про поновлення договору суборенди землі на </w:t>
      </w:r>
      <w:r>
        <w:rPr>
          <w:rFonts w:eastAsia="Times New Roman" w:cs="Times New Roman"/>
          <w:sz w:val="28"/>
          <w:szCs w:val="28"/>
          <w:lang w:val="uk-UA"/>
        </w:rPr>
        <w:t>частину земельної ділянки площею 0,0600 га</w:t>
      </w:r>
      <w:r>
        <w:rPr>
          <w:sz w:val="28"/>
          <w:szCs w:val="28"/>
          <w:lang w:val="uk-UA"/>
        </w:rPr>
        <w:t xml:space="preserve"> та погодити її з Луцькою міською радою.</w:t>
      </w:r>
    </w:p>
    <w:p>
      <w:pPr>
        <w:pStyle w:val="Normal"/>
        <w:widowControl w:val="fals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3.2. Зареєструвати право суборенди на </w:t>
      </w:r>
      <w:r>
        <w:rPr>
          <w:rFonts w:eastAsia="Times New Roman" w:cs="Times New Roman"/>
          <w:sz w:val="28"/>
          <w:szCs w:val="28"/>
          <w:lang w:val="uk-UA"/>
        </w:rPr>
        <w:t>частину земельної ділянки</w:t>
      </w:r>
      <w:r>
        <w:rPr>
          <w:sz w:val="28"/>
          <w:szCs w:val="28"/>
          <w:lang w:val="uk-UA"/>
        </w:rPr>
        <w:t xml:space="preserve"> в порядку, визначеному чинним законодавством України.</w:t>
      </w:r>
    </w:p>
    <w:p>
      <w:pPr>
        <w:pStyle w:val="Normal"/>
        <w:widowControl w:val="fals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3.3. Виконувати обов’язки землекористувача відповідно до вимог           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У разі, якщо ТОВАРИСТВОМ З ОБМЕЖЕНОЮ ВІДПОВІДАЛЬНІСТЮ «КЛІАР ЕНЕРДЖІ»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та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ЛУЦЬКИМ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СПЕЦІАЛЬНИМ КОМУНАЛЬНИМ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АВТОТРАНСПОРТНИМ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ПІДПРИЄМСТВОМ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«ЛУЦЬК-СПЕЦКОМУНТРАН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»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не підписа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но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додаткову угоду про поновлення договору суборенди землі впродовж шести календарних місяців з моменту прийняття рішення, це рішення буде відкликане, а договір суборенди землі вважається припиненим у зв’язку із закінченням строку, на який його було укладено.</w:t>
      </w:r>
    </w:p>
    <w:p>
      <w:pPr>
        <w:pStyle w:val="Normal"/>
        <w:widowControl w:val="false"/>
        <w:spacing w:lineRule="auto" w:line="240"/>
        <w:ind w:firstLine="567" w:left="0" w:right="0"/>
        <w:jc w:val="both"/>
        <w:rPr>
          <w:sz w:val="28"/>
          <w:szCs w:val="28"/>
        </w:rPr>
      </w:pPr>
      <w:r>
        <w:rPr>
          <w:rFonts w:eastAsia="Times New Roman"/>
          <w:b w:val="false"/>
          <w:bCs w:val="false"/>
          <w:color w:val="000000"/>
          <w:spacing w:val="0"/>
          <w:sz w:val="28"/>
          <w:szCs w:val="28"/>
          <w:u w:val="none"/>
          <w:lang w:val="uk-UA" w:eastAsia="ar-SA"/>
        </w:rPr>
        <w:t>5</w:t>
      </w:r>
      <w:r>
        <w:rPr>
          <w:color w:val="000000"/>
          <w:spacing w:val="0"/>
          <w:sz w:val="28"/>
          <w:szCs w:val="28"/>
        </w:rPr>
        <w:t>. </w:t>
      </w:r>
      <w:r>
        <w:rPr>
          <w:spacing w:val="0"/>
          <w:sz w:val="28"/>
          <w:szCs w:val="28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spacing w:lineRule="auto" w:line="24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4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40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widowControl w:val="false"/>
        <w:spacing w:lineRule="auto" w:line="240"/>
        <w:ind w:firstLine="72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40"/>
        <w:ind w:firstLine="72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hanging="0" w:right="-319"/>
        <w:rPr>
          <w:sz w:val="24"/>
          <w:szCs w:val="24"/>
        </w:rPr>
      </w:pPr>
      <w:r>
        <w:rPr>
          <w:sz w:val="24"/>
          <w:szCs w:val="24"/>
        </w:rPr>
        <w:t>Туз 777 863</w:t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ind w:hanging="0" w:left="2832"/>
      <w:outlineLvl w:val="2"/>
    </w:pPr>
    <w:rPr>
      <w:b/>
      <w:bCs/>
      <w:sz w:val="32"/>
    </w:rPr>
  </w:style>
  <w:style w:type="paragraph" w:styleId="Heading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2" w:customStyle="1">
    <w:name w:val="Основной шрифт абзаца2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-WW8Num1ztrue" w:customStyle="1">
    <w:name w:val="WW-WW8Num1ztrue"/>
    <w:qFormat/>
    <w:rPr/>
  </w:style>
  <w:style w:type="character" w:styleId="WW-WW8Num1ztrue1" w:customStyle="1">
    <w:name w:val="WW-WW8Num1ztrue1"/>
    <w:qFormat/>
    <w:rPr/>
  </w:style>
  <w:style w:type="character" w:styleId="WW-WW8Num1ztrue2" w:customStyle="1">
    <w:name w:val="WW-WW8Num1ztrue2"/>
    <w:qFormat/>
    <w:rPr/>
  </w:style>
  <w:style w:type="character" w:styleId="WW-WW8Num1ztrue3" w:customStyle="1">
    <w:name w:val="WW-WW8Num1ztrue3"/>
    <w:qFormat/>
    <w:rPr/>
  </w:style>
  <w:style w:type="character" w:styleId="WW-WW8Num1ztrue4" w:customStyle="1">
    <w:name w:val="WW-WW8Num1ztrue4"/>
    <w:qFormat/>
    <w:rPr/>
  </w:style>
  <w:style w:type="character" w:styleId="WW-WW8Num1ztrue5" w:customStyle="1">
    <w:name w:val="WW-WW8Num1ztrue5"/>
    <w:qFormat/>
    <w:rPr/>
  </w:style>
  <w:style w:type="character" w:styleId="WW-WW8Num1ztrue6" w:customStyle="1">
    <w:name w:val="WW-WW8Num1ztrue6"/>
    <w:qFormat/>
    <w:rPr/>
  </w:style>
  <w:style w:type="character" w:styleId="WW8Num2zfalse" w:customStyle="1">
    <w:name w:val="WW8Num2zfalse"/>
    <w:qFormat/>
    <w:rPr/>
  </w:style>
  <w:style w:type="character" w:styleId="WW8Num2ztrue" w:customStyle="1">
    <w:name w:val="WW8Num2ztrue"/>
    <w:qFormat/>
    <w:rPr/>
  </w:style>
  <w:style w:type="character" w:styleId="WW-WW8Num2ztrue" w:customStyle="1">
    <w:name w:val="WW-WW8Num2ztrue"/>
    <w:qFormat/>
    <w:rPr/>
  </w:style>
  <w:style w:type="character" w:styleId="WW-WW8Num2ztrue1" w:customStyle="1">
    <w:name w:val="WW-WW8Num2ztrue1"/>
    <w:qFormat/>
    <w:rPr/>
  </w:style>
  <w:style w:type="character" w:styleId="WW-WW8Num2ztrue2" w:customStyle="1">
    <w:name w:val="WW-WW8Num2ztrue2"/>
    <w:qFormat/>
    <w:rPr/>
  </w:style>
  <w:style w:type="character" w:styleId="WW-WW8Num2ztrue3" w:customStyle="1">
    <w:name w:val="WW-WW8Num2ztrue3"/>
    <w:qFormat/>
    <w:rPr/>
  </w:style>
  <w:style w:type="character" w:styleId="WW-WW8Num2ztrue4" w:customStyle="1">
    <w:name w:val="WW-WW8Num2ztrue4"/>
    <w:qFormat/>
    <w:rPr/>
  </w:style>
  <w:style w:type="character" w:styleId="WW-WW8Num2ztrue5" w:customStyle="1">
    <w:name w:val="WW-WW8Num2ztrue5"/>
    <w:qFormat/>
    <w:rPr/>
  </w:style>
  <w:style w:type="character" w:styleId="WW-WW8Num2ztrue6" w:customStyle="1">
    <w:name w:val="WW-WW8Num2ztrue6"/>
    <w:qFormat/>
    <w:rPr/>
  </w:style>
  <w:style w:type="character" w:styleId="WW-WW8Num1ztrue7" w:customStyle="1">
    <w:name w:val="WW-WW8Num1ztrue7"/>
    <w:qFormat/>
    <w:rPr/>
  </w:style>
  <w:style w:type="character" w:styleId="WW-WW8Num1ztrue11" w:customStyle="1">
    <w:name w:val="WW-WW8Num1ztrue11"/>
    <w:qFormat/>
    <w:rPr/>
  </w:style>
  <w:style w:type="character" w:styleId="WW-WW8Num1ztrue21" w:customStyle="1">
    <w:name w:val="WW-WW8Num1ztrue21"/>
    <w:qFormat/>
    <w:rPr/>
  </w:style>
  <w:style w:type="character" w:styleId="WW-WW8Num1ztrue31" w:customStyle="1">
    <w:name w:val="WW-WW8Num1ztrue31"/>
    <w:qFormat/>
    <w:rPr/>
  </w:style>
  <w:style w:type="character" w:styleId="WW-WW8Num1ztrue41" w:customStyle="1">
    <w:name w:val="WW-WW8Num1ztrue41"/>
    <w:qFormat/>
    <w:rPr/>
  </w:style>
  <w:style w:type="character" w:styleId="WW-WW8Num1ztrue51" w:customStyle="1">
    <w:name w:val="WW-WW8Num1ztrue51"/>
    <w:qFormat/>
    <w:rPr/>
  </w:style>
  <w:style w:type="character" w:styleId="WW-WW8Num1ztrue61" w:customStyle="1">
    <w:name w:val="WW-WW8Num1ztrue61"/>
    <w:qFormat/>
    <w:rPr/>
  </w:style>
  <w:style w:type="character" w:styleId="WW-WW8Num1ztrue71" w:customStyle="1">
    <w:name w:val="WW-WW8Num1ztrue71"/>
    <w:qFormat/>
    <w:rPr/>
  </w:style>
  <w:style w:type="character" w:styleId="WW-WW8Num1ztrue111" w:customStyle="1">
    <w:name w:val="WW-WW8Num1ztrue111"/>
    <w:qFormat/>
    <w:rPr/>
  </w:style>
  <w:style w:type="character" w:styleId="WW-WW8Num1ztrue211" w:customStyle="1">
    <w:name w:val="WW-WW8Num1ztrue211"/>
    <w:qFormat/>
    <w:rPr/>
  </w:style>
  <w:style w:type="character" w:styleId="WW-WW8Num1ztrue311" w:customStyle="1">
    <w:name w:val="WW-WW8Num1ztrue311"/>
    <w:qFormat/>
    <w:rPr/>
  </w:style>
  <w:style w:type="character" w:styleId="WW-WW8Num1ztrue411" w:customStyle="1">
    <w:name w:val="WW-WW8Num1ztrue411"/>
    <w:qFormat/>
    <w:rPr/>
  </w:style>
  <w:style w:type="character" w:styleId="WW-WW8Num1ztrue511" w:customStyle="1">
    <w:name w:val="WW-WW8Num1ztrue511"/>
    <w:qFormat/>
    <w:rPr/>
  </w:style>
  <w:style w:type="character" w:styleId="WW-WW8Num1ztrue611" w:customStyle="1">
    <w:name w:val="WW-WW8Num1ztrue611"/>
    <w:qFormat/>
    <w:rPr/>
  </w:style>
  <w:style w:type="character" w:styleId="WW-WW8Num1ztrue711" w:customStyle="1">
    <w:name w:val="WW-WW8Num1ztrue711"/>
    <w:qFormat/>
    <w:rPr/>
  </w:style>
  <w:style w:type="character" w:styleId="WW-WW8Num1ztrue1111" w:customStyle="1">
    <w:name w:val="WW-WW8Num1ztrue1111"/>
    <w:qFormat/>
    <w:rPr/>
  </w:style>
  <w:style w:type="character" w:styleId="WW-WW8Num1ztrue2111" w:customStyle="1">
    <w:name w:val="WW-WW8Num1ztrue2111"/>
    <w:qFormat/>
    <w:rPr/>
  </w:style>
  <w:style w:type="character" w:styleId="WW-WW8Num1ztrue3111" w:customStyle="1">
    <w:name w:val="WW-WW8Num1ztrue3111"/>
    <w:qFormat/>
    <w:rPr/>
  </w:style>
  <w:style w:type="character" w:styleId="WW-WW8Num1ztrue4111" w:customStyle="1">
    <w:name w:val="WW-WW8Num1ztrue4111"/>
    <w:qFormat/>
    <w:rPr/>
  </w:style>
  <w:style w:type="character" w:styleId="WW-WW8Num1ztrue5111" w:customStyle="1">
    <w:name w:val="WW-WW8Num1ztrue5111"/>
    <w:qFormat/>
    <w:rPr/>
  </w:style>
  <w:style w:type="character" w:styleId="WW-WW8Num1ztrue6111" w:customStyle="1">
    <w:name w:val="WW-WW8Num1ztrue6111"/>
    <w:qFormat/>
    <w:rPr/>
  </w:style>
  <w:style w:type="character" w:styleId="WW-WW8Num1ztrue7111" w:customStyle="1">
    <w:name w:val="WW-WW8Num1ztrue7111"/>
    <w:qFormat/>
    <w:rPr/>
  </w:style>
  <w:style w:type="character" w:styleId="WW-WW8Num1ztrue11111" w:customStyle="1">
    <w:name w:val="WW-WW8Num1ztrue11111"/>
    <w:qFormat/>
    <w:rPr/>
  </w:style>
  <w:style w:type="character" w:styleId="WW-WW8Num1ztrue21111" w:customStyle="1">
    <w:name w:val="WW-WW8Num1ztrue21111"/>
    <w:qFormat/>
    <w:rPr/>
  </w:style>
  <w:style w:type="character" w:styleId="WW-WW8Num1ztrue31111" w:customStyle="1">
    <w:name w:val="WW-WW8Num1ztrue31111"/>
    <w:qFormat/>
    <w:rPr/>
  </w:style>
  <w:style w:type="character" w:styleId="WW-WW8Num1ztrue41111" w:customStyle="1">
    <w:name w:val="WW-WW8Num1ztrue41111"/>
    <w:qFormat/>
    <w:rPr/>
  </w:style>
  <w:style w:type="character" w:styleId="WW-WW8Num1ztrue51111" w:customStyle="1">
    <w:name w:val="WW-WW8Num1ztrue51111"/>
    <w:qFormat/>
    <w:rPr/>
  </w:style>
  <w:style w:type="character" w:styleId="WW-WW8Num1ztrue61111" w:customStyle="1">
    <w:name w:val="WW-WW8Num1ztrue61111"/>
    <w:qFormat/>
    <w:rPr/>
  </w:style>
  <w:style w:type="character" w:styleId="WW-WW8Num1ztrue71111" w:customStyle="1">
    <w:name w:val="WW-WW8Num1ztrue71111"/>
    <w:qFormat/>
    <w:rPr/>
  </w:style>
  <w:style w:type="character" w:styleId="WW-WW8Num1ztrue111111" w:customStyle="1">
    <w:name w:val="WW-WW8Num1ztrue111111"/>
    <w:qFormat/>
    <w:rPr/>
  </w:style>
  <w:style w:type="character" w:styleId="WW-WW8Num1ztrue211111" w:customStyle="1">
    <w:name w:val="WW-WW8Num1ztrue211111"/>
    <w:qFormat/>
    <w:rPr/>
  </w:style>
  <w:style w:type="character" w:styleId="WW-WW8Num1ztrue311111" w:customStyle="1">
    <w:name w:val="WW-WW8Num1ztrue311111"/>
    <w:qFormat/>
    <w:rPr/>
  </w:style>
  <w:style w:type="character" w:styleId="WW-WW8Num1ztrue411111" w:customStyle="1">
    <w:name w:val="WW-WW8Num1ztrue411111"/>
    <w:qFormat/>
    <w:rPr/>
  </w:style>
  <w:style w:type="character" w:styleId="WW-WW8Num1ztrue511111" w:customStyle="1">
    <w:name w:val="WW-WW8Num1ztrue511111"/>
    <w:qFormat/>
    <w:rPr/>
  </w:style>
  <w:style w:type="character" w:styleId="WW-WW8Num1ztrue611111" w:customStyle="1">
    <w:name w:val="WW-WW8Num1ztrue611111"/>
    <w:qFormat/>
    <w:rPr/>
  </w:style>
  <w:style w:type="character" w:styleId="WW-WW8Num1ztrue711111" w:customStyle="1">
    <w:name w:val="WW-WW8Num1ztrue711111"/>
    <w:qFormat/>
    <w:rPr/>
  </w:style>
  <w:style w:type="character" w:styleId="WW-WW8Num1ztrue1111111" w:customStyle="1">
    <w:name w:val="WW-WW8Num1ztrue1111111"/>
    <w:qFormat/>
    <w:rPr/>
  </w:style>
  <w:style w:type="character" w:styleId="WW-WW8Num1ztrue2111111" w:customStyle="1">
    <w:name w:val="WW-WW8Num1ztrue2111111"/>
    <w:qFormat/>
    <w:rPr/>
  </w:style>
  <w:style w:type="character" w:styleId="WW-WW8Num1ztrue3111111" w:customStyle="1">
    <w:name w:val="WW-WW8Num1ztrue3111111"/>
    <w:qFormat/>
    <w:rPr/>
  </w:style>
  <w:style w:type="character" w:styleId="WW-WW8Num1ztrue4111111" w:customStyle="1">
    <w:name w:val="WW-WW8Num1ztrue4111111"/>
    <w:qFormat/>
    <w:rPr/>
  </w:style>
  <w:style w:type="character" w:styleId="WW-WW8Num1ztrue5111111" w:customStyle="1">
    <w:name w:val="WW-WW8Num1ztrue5111111"/>
    <w:qFormat/>
    <w:rPr/>
  </w:style>
  <w:style w:type="character" w:styleId="WW-WW8Num1ztrue6111111" w:customStyle="1">
    <w:name w:val="WW-WW8Num1ztrue6111111"/>
    <w:qFormat/>
    <w:rPr/>
  </w:style>
  <w:style w:type="character" w:styleId="WW-WW8Num1ztrue7111111" w:customStyle="1">
    <w:name w:val="WW-WW8Num1ztrue7111111"/>
    <w:qFormat/>
    <w:rPr/>
  </w:style>
  <w:style w:type="character" w:styleId="WW-WW8Num1ztrue11111111" w:customStyle="1">
    <w:name w:val="WW-WW8Num1ztrue11111111"/>
    <w:qFormat/>
    <w:rPr/>
  </w:style>
  <w:style w:type="character" w:styleId="WW-WW8Num1ztrue21111111" w:customStyle="1">
    <w:name w:val="WW-WW8Num1ztrue21111111"/>
    <w:qFormat/>
    <w:rPr/>
  </w:style>
  <w:style w:type="character" w:styleId="WW-WW8Num1ztrue31111111" w:customStyle="1">
    <w:name w:val="WW-WW8Num1ztrue31111111"/>
    <w:qFormat/>
    <w:rPr/>
  </w:style>
  <w:style w:type="character" w:styleId="WW-WW8Num1ztrue41111111" w:customStyle="1">
    <w:name w:val="WW-WW8Num1ztrue41111111"/>
    <w:qFormat/>
    <w:rPr/>
  </w:style>
  <w:style w:type="character" w:styleId="WW-WW8Num1ztrue51111111" w:customStyle="1">
    <w:name w:val="WW-WW8Num1ztrue51111111"/>
    <w:qFormat/>
    <w:rPr/>
  </w:style>
  <w:style w:type="character" w:styleId="WW-WW8Num1ztrue61111111" w:customStyle="1">
    <w:name w:val="WW-WW8Num1ztrue61111111"/>
    <w:qFormat/>
    <w:rPr/>
  </w:style>
  <w:style w:type="character" w:styleId="WW-WW8Num1ztrue71111111" w:customStyle="1">
    <w:name w:val="WW-WW8Num1ztrue71111111"/>
    <w:qFormat/>
    <w:rPr/>
  </w:style>
  <w:style w:type="character" w:styleId="WW-WW8Num1ztrue111111111" w:customStyle="1">
    <w:name w:val="WW-WW8Num1ztrue111111111"/>
    <w:qFormat/>
    <w:rPr/>
  </w:style>
  <w:style w:type="character" w:styleId="WW-WW8Num1ztrue211111111" w:customStyle="1">
    <w:name w:val="WW-WW8Num1ztrue211111111"/>
    <w:qFormat/>
    <w:rPr/>
  </w:style>
  <w:style w:type="character" w:styleId="WW-WW8Num1ztrue311111111" w:customStyle="1">
    <w:name w:val="WW-WW8Num1ztrue311111111"/>
    <w:qFormat/>
    <w:rPr/>
  </w:style>
  <w:style w:type="character" w:styleId="WW-WW8Num1ztrue411111111" w:customStyle="1">
    <w:name w:val="WW-WW8Num1ztrue411111111"/>
    <w:qFormat/>
    <w:rPr/>
  </w:style>
  <w:style w:type="character" w:styleId="WW-WW8Num1ztrue511111111" w:customStyle="1">
    <w:name w:val="WW-WW8Num1ztrue511111111"/>
    <w:qFormat/>
    <w:rPr/>
  </w:style>
  <w:style w:type="character" w:styleId="WW-WW8Num1ztrue611111111" w:customStyle="1">
    <w:name w:val="WW-WW8Num1ztrue611111111"/>
    <w:qFormat/>
    <w:rPr/>
  </w:style>
  <w:style w:type="character" w:styleId="WW-WW8Num1ztrue711111111" w:customStyle="1">
    <w:name w:val="WW-WW8Num1ztrue711111111"/>
    <w:qFormat/>
    <w:rPr/>
  </w:style>
  <w:style w:type="character" w:styleId="WW-WW8Num1ztrue1111111111" w:customStyle="1">
    <w:name w:val="WW-WW8Num1ztrue1111111111"/>
    <w:qFormat/>
    <w:rPr/>
  </w:style>
  <w:style w:type="character" w:styleId="WW-WW8Num1ztrue2111111111" w:customStyle="1">
    <w:name w:val="WW-WW8Num1ztrue2111111111"/>
    <w:qFormat/>
    <w:rPr/>
  </w:style>
  <w:style w:type="character" w:styleId="WW-WW8Num1ztrue3111111111" w:customStyle="1">
    <w:name w:val="WW-WW8Num1ztrue3111111111"/>
    <w:qFormat/>
    <w:rPr/>
  </w:style>
  <w:style w:type="character" w:styleId="WW-WW8Num1ztrue4111111111" w:customStyle="1">
    <w:name w:val="WW-WW8Num1ztrue4111111111"/>
    <w:qFormat/>
    <w:rPr/>
  </w:style>
  <w:style w:type="character" w:styleId="WW-WW8Num1ztrue5111111111" w:customStyle="1">
    <w:name w:val="WW-WW8Num1ztrue5111111111"/>
    <w:qFormat/>
    <w:rPr/>
  </w:style>
  <w:style w:type="character" w:styleId="WW-WW8Num1ztrue6111111111" w:customStyle="1">
    <w:name w:val="WW-WW8Num1ztrue6111111111"/>
    <w:qFormat/>
    <w:rPr/>
  </w:style>
  <w:style w:type="character" w:styleId="WW-WW8Num1ztrue7111111111" w:customStyle="1">
    <w:name w:val="WW-WW8Num1ztrue7111111111"/>
    <w:qFormat/>
    <w:rPr/>
  </w:style>
  <w:style w:type="character" w:styleId="WW-WW8Num1ztrue11111111111" w:customStyle="1">
    <w:name w:val="WW-WW8Num1ztrue11111111111"/>
    <w:qFormat/>
    <w:rPr/>
  </w:style>
  <w:style w:type="character" w:styleId="WW-WW8Num1ztrue21111111111" w:customStyle="1">
    <w:name w:val="WW-WW8Num1ztrue21111111111"/>
    <w:qFormat/>
    <w:rPr/>
  </w:style>
  <w:style w:type="character" w:styleId="WW-WW8Num1ztrue31111111111" w:customStyle="1">
    <w:name w:val="WW-WW8Num1ztrue31111111111"/>
    <w:qFormat/>
    <w:rPr/>
  </w:style>
  <w:style w:type="character" w:styleId="WW-WW8Num1ztrue41111111111" w:customStyle="1">
    <w:name w:val="WW-WW8Num1ztrue41111111111"/>
    <w:qFormat/>
    <w:rPr/>
  </w:style>
  <w:style w:type="character" w:styleId="WW-WW8Num1ztrue51111111111" w:customStyle="1">
    <w:name w:val="WW-WW8Num1ztrue51111111111"/>
    <w:qFormat/>
    <w:rPr/>
  </w:style>
  <w:style w:type="character" w:styleId="WW-WW8Num1ztrue61111111111" w:customStyle="1">
    <w:name w:val="WW-WW8Num1ztrue61111111111"/>
    <w:qFormat/>
    <w:rPr/>
  </w:style>
  <w:style w:type="character" w:styleId="WW-WW8Num1ztrue71111111111" w:customStyle="1">
    <w:name w:val="WW-WW8Num1ztrue71111111111"/>
    <w:qFormat/>
    <w:rPr/>
  </w:style>
  <w:style w:type="character" w:styleId="WW-WW8Num1ztrue111111111111" w:customStyle="1">
    <w:name w:val="WW-WW8Num1ztrue111111111111"/>
    <w:qFormat/>
    <w:rPr/>
  </w:style>
  <w:style w:type="character" w:styleId="WW-WW8Num1ztrue211111111111" w:customStyle="1">
    <w:name w:val="WW-WW8Num1ztrue211111111111"/>
    <w:qFormat/>
    <w:rPr/>
  </w:style>
  <w:style w:type="character" w:styleId="WW-WW8Num1ztrue311111111111" w:customStyle="1">
    <w:name w:val="WW-WW8Num1ztrue311111111111"/>
    <w:qFormat/>
    <w:rPr/>
  </w:style>
  <w:style w:type="character" w:styleId="WW-WW8Num1ztrue411111111111" w:customStyle="1">
    <w:name w:val="WW-WW8Num1ztrue411111111111"/>
    <w:qFormat/>
    <w:rPr/>
  </w:style>
  <w:style w:type="character" w:styleId="WW-WW8Num1ztrue511111111111" w:customStyle="1">
    <w:name w:val="WW-WW8Num1ztrue511111111111"/>
    <w:qFormat/>
    <w:rPr/>
  </w:style>
  <w:style w:type="character" w:styleId="WW-WW8Num1ztrue611111111111" w:customStyle="1">
    <w:name w:val="WW-WW8Num1ztrue611111111111"/>
    <w:qFormat/>
    <w:rPr/>
  </w:style>
  <w:style w:type="character" w:styleId="WW-WW8Num1ztrue711111111111" w:customStyle="1">
    <w:name w:val="WW-WW8Num1ztrue711111111111"/>
    <w:qFormat/>
    <w:rPr/>
  </w:style>
  <w:style w:type="character" w:styleId="WW-WW8Num1ztrue1111111111111" w:customStyle="1">
    <w:name w:val="WW-WW8Num1ztrue1111111111111"/>
    <w:qFormat/>
    <w:rPr/>
  </w:style>
  <w:style w:type="character" w:styleId="WW-WW8Num1ztrue2111111111111" w:customStyle="1">
    <w:name w:val="WW-WW8Num1ztrue2111111111111"/>
    <w:qFormat/>
    <w:rPr/>
  </w:style>
  <w:style w:type="character" w:styleId="WW-WW8Num1ztrue3111111111111" w:customStyle="1">
    <w:name w:val="WW-WW8Num1ztrue3111111111111"/>
    <w:qFormat/>
    <w:rPr/>
  </w:style>
  <w:style w:type="character" w:styleId="WW-WW8Num1ztrue4111111111111" w:customStyle="1">
    <w:name w:val="WW-WW8Num1ztrue4111111111111"/>
    <w:qFormat/>
    <w:rPr/>
  </w:style>
  <w:style w:type="character" w:styleId="WW-WW8Num1ztrue5111111111111" w:customStyle="1">
    <w:name w:val="WW-WW8Num1ztrue5111111111111"/>
    <w:qFormat/>
    <w:rPr/>
  </w:style>
  <w:style w:type="character" w:styleId="WW-WW8Num1ztrue6111111111111" w:customStyle="1">
    <w:name w:val="WW-WW8Num1ztrue6111111111111"/>
    <w:qFormat/>
    <w:rPr/>
  </w:style>
  <w:style w:type="character" w:styleId="WW-WW8Num1ztrue7111111111111" w:customStyle="1">
    <w:name w:val="WW-WW8Num1ztrue7111111111111"/>
    <w:qFormat/>
    <w:rPr/>
  </w:style>
  <w:style w:type="character" w:styleId="WW-WW8Num1ztrue11111111111111" w:customStyle="1">
    <w:name w:val="WW-WW8Num1ztrue11111111111111"/>
    <w:qFormat/>
    <w:rPr/>
  </w:style>
  <w:style w:type="character" w:styleId="WW-WW8Num1ztrue21111111111111" w:customStyle="1">
    <w:name w:val="WW-WW8Num1ztrue21111111111111"/>
    <w:qFormat/>
    <w:rPr/>
  </w:style>
  <w:style w:type="character" w:styleId="WW-WW8Num1ztrue31111111111111" w:customStyle="1">
    <w:name w:val="WW-WW8Num1ztrue31111111111111"/>
    <w:qFormat/>
    <w:rPr/>
  </w:style>
  <w:style w:type="character" w:styleId="WW-WW8Num1ztrue41111111111111" w:customStyle="1">
    <w:name w:val="WW-WW8Num1ztrue41111111111111"/>
    <w:qFormat/>
    <w:rPr/>
  </w:style>
  <w:style w:type="character" w:styleId="WW-WW8Num1ztrue51111111111111" w:customStyle="1">
    <w:name w:val="WW-WW8Num1ztrue51111111111111"/>
    <w:qFormat/>
    <w:rPr/>
  </w:style>
  <w:style w:type="character" w:styleId="WW-WW8Num1ztrue61111111111111" w:customStyle="1">
    <w:name w:val="WW-WW8Num1ztrue61111111111111"/>
    <w:qFormat/>
    <w:rPr/>
  </w:style>
  <w:style w:type="character" w:styleId="WW-WW8Num1ztrue71111111111111" w:customStyle="1">
    <w:name w:val="WW-WW8Num1ztrue71111111111111"/>
    <w:qFormat/>
    <w:rPr/>
  </w:style>
  <w:style w:type="character" w:styleId="WW-WW8Num1ztrue111111111111111" w:customStyle="1">
    <w:name w:val="WW-WW8Num1ztrue111111111111111"/>
    <w:qFormat/>
    <w:rPr/>
  </w:style>
  <w:style w:type="character" w:styleId="WW-WW8Num1ztrue211111111111111" w:customStyle="1">
    <w:name w:val="WW-WW8Num1ztrue211111111111111"/>
    <w:qFormat/>
    <w:rPr/>
  </w:style>
  <w:style w:type="character" w:styleId="WW-WW8Num1ztrue311111111111111" w:customStyle="1">
    <w:name w:val="WW-WW8Num1ztrue311111111111111"/>
    <w:qFormat/>
    <w:rPr/>
  </w:style>
  <w:style w:type="character" w:styleId="WW-WW8Num1ztrue411111111111111" w:customStyle="1">
    <w:name w:val="WW-WW8Num1ztrue411111111111111"/>
    <w:qFormat/>
    <w:rPr/>
  </w:style>
  <w:style w:type="character" w:styleId="WW-WW8Num1ztrue511111111111111" w:customStyle="1">
    <w:name w:val="WW-WW8Num1ztrue511111111111111"/>
    <w:qFormat/>
    <w:rPr/>
  </w:style>
  <w:style w:type="character" w:styleId="WW-WW8Num1ztrue611111111111111" w:customStyle="1">
    <w:name w:val="WW-WW8Num1ztrue611111111111111"/>
    <w:qFormat/>
    <w:rPr/>
  </w:style>
  <w:style w:type="character" w:styleId="WW-WW8Num1ztrue711111111111111" w:customStyle="1">
    <w:name w:val="WW-WW8Num1ztrue711111111111111"/>
    <w:qFormat/>
    <w:rPr/>
  </w:style>
  <w:style w:type="character" w:styleId="WW-WW8Num1ztrue1111111111111111" w:customStyle="1">
    <w:name w:val="WW-WW8Num1ztrue1111111111111111"/>
    <w:qFormat/>
    <w:rPr/>
  </w:style>
  <w:style w:type="character" w:styleId="WW-WW8Num1ztrue2111111111111111" w:customStyle="1">
    <w:name w:val="WW-WW8Num1ztrue2111111111111111"/>
    <w:qFormat/>
    <w:rPr/>
  </w:style>
  <w:style w:type="character" w:styleId="WW-WW8Num1ztrue3111111111111111" w:customStyle="1">
    <w:name w:val="WW-WW8Num1ztrue3111111111111111"/>
    <w:qFormat/>
    <w:rPr/>
  </w:style>
  <w:style w:type="character" w:styleId="WW-WW8Num1ztrue4111111111111111" w:customStyle="1">
    <w:name w:val="WW-WW8Num1ztrue4111111111111111"/>
    <w:qFormat/>
    <w:rPr/>
  </w:style>
  <w:style w:type="character" w:styleId="WW-WW8Num1ztrue5111111111111111" w:customStyle="1">
    <w:name w:val="WW-WW8Num1ztrue5111111111111111"/>
    <w:qFormat/>
    <w:rPr/>
  </w:style>
  <w:style w:type="character" w:styleId="WW-WW8Num1ztrue6111111111111111" w:customStyle="1">
    <w:name w:val="WW-WW8Num1ztrue6111111111111111"/>
    <w:qFormat/>
    <w:rPr/>
  </w:style>
  <w:style w:type="character" w:styleId="WW-WW8Num1ztrue7111111111111111" w:customStyle="1">
    <w:name w:val="WW-WW8Num1ztrue7111111111111111"/>
    <w:qFormat/>
    <w:rPr/>
  </w:style>
  <w:style w:type="character" w:styleId="WW-WW8Num1ztrue11111111111111111" w:customStyle="1">
    <w:name w:val="WW-WW8Num1ztrue11111111111111111"/>
    <w:qFormat/>
    <w:rPr/>
  </w:style>
  <w:style w:type="character" w:styleId="WW-WW8Num1ztrue21111111111111111" w:customStyle="1">
    <w:name w:val="WW-WW8Num1ztrue21111111111111111"/>
    <w:qFormat/>
    <w:rPr/>
  </w:style>
  <w:style w:type="character" w:styleId="WW-WW8Num1ztrue31111111111111111" w:customStyle="1">
    <w:name w:val="WW-WW8Num1ztrue31111111111111111"/>
    <w:qFormat/>
    <w:rPr/>
  </w:style>
  <w:style w:type="character" w:styleId="WW-WW8Num1ztrue41111111111111111" w:customStyle="1">
    <w:name w:val="WW-WW8Num1ztrue41111111111111111"/>
    <w:qFormat/>
    <w:rPr/>
  </w:style>
  <w:style w:type="character" w:styleId="WW-WW8Num1ztrue51111111111111111" w:customStyle="1">
    <w:name w:val="WW-WW8Num1ztrue51111111111111111"/>
    <w:qFormat/>
    <w:rPr/>
  </w:style>
  <w:style w:type="character" w:styleId="WW-WW8Num1ztrue61111111111111111" w:customStyle="1">
    <w:name w:val="WW-WW8Num1ztrue61111111111111111"/>
    <w:qFormat/>
    <w:rPr/>
  </w:style>
  <w:style w:type="character" w:styleId="WW-WW8Num1ztrue71111111111111111" w:customStyle="1">
    <w:name w:val="WW-WW8Num1ztrue71111111111111111"/>
    <w:qFormat/>
    <w:rPr/>
  </w:style>
  <w:style w:type="character" w:styleId="WW-WW8Num1ztrue111111111111111111" w:customStyle="1">
    <w:name w:val="WW-WW8Num1ztrue111111111111111111"/>
    <w:qFormat/>
    <w:rPr/>
  </w:style>
  <w:style w:type="character" w:styleId="WW-WW8Num1ztrue211111111111111111" w:customStyle="1">
    <w:name w:val="WW-WW8Num1ztrue211111111111111111"/>
    <w:qFormat/>
    <w:rPr/>
  </w:style>
  <w:style w:type="character" w:styleId="WW-WW8Num1ztrue311111111111111111" w:customStyle="1">
    <w:name w:val="WW-WW8Num1ztrue311111111111111111"/>
    <w:qFormat/>
    <w:rPr/>
  </w:style>
  <w:style w:type="character" w:styleId="WW-WW8Num1ztrue411111111111111111" w:customStyle="1">
    <w:name w:val="WW-WW8Num1ztrue411111111111111111"/>
    <w:qFormat/>
    <w:rPr/>
  </w:style>
  <w:style w:type="character" w:styleId="WW-WW8Num1ztrue511111111111111111" w:customStyle="1">
    <w:name w:val="WW-WW8Num1ztrue511111111111111111"/>
    <w:qFormat/>
    <w:rPr/>
  </w:style>
  <w:style w:type="character" w:styleId="WW-WW8Num1ztrue611111111111111111" w:customStyle="1">
    <w:name w:val="WW-WW8Num1ztrue611111111111111111"/>
    <w:qFormat/>
    <w:rPr/>
  </w:style>
  <w:style w:type="character" w:styleId="1" w:customStyle="1">
    <w:name w:val="Основной шрифт абзаца1"/>
    <w:qFormat/>
    <w:rPr/>
  </w:style>
  <w:style w:type="character" w:styleId="11">
    <w:name w:val="Заголовок 1 Знак"/>
    <w:qFormat/>
    <w:rPr>
      <w:rFonts w:ascii="Arial" w:hAnsi="Arial"/>
      <w:b/>
      <w:bCs/>
      <w:kern w:val="2"/>
      <w:sz w:val="32"/>
      <w:szCs w:val="32"/>
    </w:rPr>
  </w:style>
  <w:style w:type="character" w:styleId="21">
    <w:name w:val="Заголовок 2 Знак"/>
    <w:qFormat/>
    <w:rPr>
      <w:rFonts w:ascii="Cambria" w:hAnsi="Cambria" w:eastAsia="Times New Roman"/>
      <w:b/>
      <w:bCs/>
      <w:i/>
      <w:iCs/>
      <w:szCs w:val="28"/>
    </w:rPr>
  </w:style>
  <w:style w:type="character" w:styleId="Style11">
    <w:name w:val="Верхній колонтитул Знак"/>
    <w:qFormat/>
    <w:rPr>
      <w:rFonts w:eastAsia="Times New Roman"/>
      <w:sz w:val="24"/>
    </w:rPr>
  </w:style>
  <w:style w:type="character" w:styleId="Style12">
    <w:name w:val="Нижній колонтитул Знак"/>
    <w:qFormat/>
    <w:rPr>
      <w:rFonts w:eastAsia="Times New Roman"/>
      <w:sz w:val="24"/>
    </w:rPr>
  </w:style>
  <w:style w:type="character" w:styleId="FontStyle13">
    <w:name w:val="Font Style13"/>
    <w:qFormat/>
    <w:rPr>
      <w:rFonts w:ascii="Times New Roman" w:hAnsi="Times New Roman" w:eastAsia="Times New Roman"/>
      <w:sz w:val="26"/>
      <w:szCs w:val="26"/>
    </w:rPr>
  </w:style>
  <w:style w:type="character" w:styleId="12">
    <w:name w:val="Гіперпосилання1"/>
    <w:qFormat/>
    <w:rPr>
      <w:color w:val="000080"/>
      <w:u w:val="single"/>
    </w:rPr>
  </w:style>
  <w:style w:type="character" w:styleId="Style13">
    <w:name w:val="Основний текст з відступом Знак"/>
    <w:qFormat/>
    <w:rPr>
      <w:rFonts w:eastAsia="Times New Roman"/>
      <w:color w:val="00000A"/>
      <w:lang w:eastAsia="zh-CN"/>
    </w:rPr>
  </w:style>
  <w:style w:type="character" w:styleId="Style14">
    <w:name w:val="Основний текст Знак"/>
    <w:qFormat/>
    <w:rPr>
      <w:rFonts w:eastAsia="Times New Roman"/>
      <w:sz w:val="24"/>
    </w:rPr>
  </w:style>
  <w:style w:type="character" w:styleId="BalloonTextChar">
    <w:name w:val="Balloon Text Char"/>
    <w:qFormat/>
    <w:rPr>
      <w:rFonts w:cs="Times New Roman"/>
      <w:sz w:val="2"/>
    </w:rPr>
  </w:style>
  <w:style w:type="character" w:styleId="BodyTextIndentChar">
    <w:name w:val="Body Text Indent Char"/>
    <w:qFormat/>
    <w:rPr>
      <w:rFonts w:cs="Times New Roman"/>
    </w:rPr>
  </w:style>
  <w:style w:type="character" w:styleId="BodyTextChar">
    <w:name w:val="Body Text Char"/>
    <w:qFormat/>
    <w:rPr>
      <w:rFonts w:cs="Times New Roman"/>
    </w:rPr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/>
  </w:style>
  <w:style w:type="character" w:styleId="3">
    <w:name w:val="Основной шрифт абзаца3"/>
    <w:qFormat/>
    <w:rPr/>
  </w:style>
  <w:style w:type="character" w:styleId="4">
    <w:name w:val="Основной шрифт абзаца4"/>
    <w:qFormat/>
    <w:rPr/>
  </w:style>
  <w:style w:type="character" w:styleId="5">
    <w:name w:val="Основной шрифт абзаца5"/>
    <w:qFormat/>
    <w:rPr/>
  </w:style>
  <w:style w:type="character" w:styleId="6">
    <w:name w:val="Основной шрифт абзаца6"/>
    <w:qFormat/>
    <w:rPr/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</w:rPr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jc w:val="center"/>
    </w:pPr>
    <w:rPr>
      <w:b/>
      <w:bCs/>
      <w:sz w:val="48"/>
    </w:rPr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3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4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tj">
    <w:name w:val="tj"/>
    <w:basedOn w:val="Normal"/>
    <w:qFormat/>
    <w:pPr>
      <w:spacing w:beforeAutospacing="1" w:afterAutospacing="1"/>
    </w:pPr>
    <w:rPr/>
  </w:style>
  <w:style w:type="paragraph" w:styleId="Style51">
    <w:name w:val="Style5"/>
    <w:basedOn w:val="Normal"/>
    <w:qFormat/>
    <w:pPr>
      <w:widowControl w:val="false"/>
      <w:spacing w:lineRule="exact" w:line="322"/>
      <w:ind w:firstLine="629"/>
      <w:jc w:val="both"/>
    </w:pPr>
    <w:rPr/>
  </w:style>
  <w:style w:type="paragraph" w:styleId="15">
    <w:name w:val="Абзац списка1"/>
    <w:basedOn w:val="Normal"/>
    <w:qFormat/>
    <w:pPr>
      <w:spacing w:before="0" w:after="200"/>
      <w:ind w:hanging="0" w:left="720"/>
    </w:pPr>
    <w:rPr>
      <w:b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>
      <w:rFonts w:eastAsia="Calibri"/>
      <w:szCs w:val="28"/>
      <w:lang w:eastAsia="ar-SA"/>
    </w:rPr>
  </w:style>
  <w:style w:type="paragraph" w:styleId="41">
    <w:name w:val="Указатель4"/>
    <w:basedOn w:val="Normal"/>
    <w:qFormat/>
    <w:pPr/>
    <w:rPr>
      <w:rFonts w:cs="Mangal"/>
    </w:rPr>
  </w:style>
  <w:style w:type="paragraph" w:styleId="31">
    <w:name w:val="Указатель3"/>
    <w:basedOn w:val="Normal"/>
    <w:qFormat/>
    <w:pPr/>
    <w:rPr>
      <w:rFonts w:cs="Mangal"/>
    </w:rPr>
  </w:style>
  <w:style w:type="paragraph" w:styleId="16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23">
    <w:name w:val="Название объекта2"/>
    <w:basedOn w:val="Normal"/>
    <w:qFormat/>
    <w:pPr>
      <w:spacing w:before="120" w:after="120"/>
    </w:pPr>
    <w:rPr>
      <w:rFonts w:cs="FreeSans"/>
      <w:i/>
      <w:iCs/>
    </w:rPr>
  </w:style>
  <w:style w:type="paragraph" w:styleId="32">
    <w:name w:val="Название объекта3"/>
    <w:basedOn w:val="Normal"/>
    <w:qFormat/>
    <w:pPr>
      <w:spacing w:before="120" w:after="120"/>
    </w:pPr>
    <w:rPr>
      <w:i/>
      <w:iCs/>
    </w:rPr>
  </w:style>
  <w:style w:type="paragraph" w:styleId="42">
    <w:name w:val="Название объекта4"/>
    <w:basedOn w:val="Normal"/>
    <w:qFormat/>
    <w:pPr>
      <w:spacing w:before="120" w:after="120"/>
    </w:pPr>
    <w:rPr>
      <w:i/>
      <w:iCs/>
    </w:rPr>
  </w:style>
  <w:style w:type="paragraph" w:styleId="51">
    <w:name w:val="Название объекта5"/>
    <w:basedOn w:val="Normal"/>
    <w:qFormat/>
    <w:pPr>
      <w:spacing w:before="120" w:after="120"/>
    </w:pPr>
    <w:rPr>
      <w:i/>
      <w:iCs/>
    </w:rPr>
  </w:style>
  <w:style w:type="numbering" w:styleId="Style17" w:default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1309</TotalTime>
  <Application>LibreOffice/25.2.7.2$Windows_X86_64 LibreOffice_project/5cbfd1ab6520636bb5f7b99185aa69bd7456825d</Application>
  <AppVersion>15.0000</AppVersion>
  <Pages>3</Pages>
  <Words>875</Words>
  <Characters>6020</Characters>
  <CharactersWithSpaces>7173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2025-12-04T12:49:15Z</cp:lastPrinted>
  <dcterms:modified xsi:type="dcterms:W3CDTF">2025-12-04T12:52:25Z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