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3B" w:rsidRDefault="00810D0B">
      <w:pPr>
        <w:ind w:left="4248"/>
      </w:pPr>
      <w:r>
        <w:tab/>
      </w:r>
      <w:r>
        <w:tab/>
        <w:t>Додаток</w:t>
      </w:r>
    </w:p>
    <w:p w:rsidR="004D583B" w:rsidRDefault="00810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:rsidR="004D583B" w:rsidRDefault="00810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:rsidR="004D583B" w:rsidRDefault="004D583B">
      <w:pPr>
        <w:jc w:val="center"/>
      </w:pPr>
    </w:p>
    <w:p w:rsidR="004D583B" w:rsidRDefault="004D583B">
      <w:pPr>
        <w:jc w:val="center"/>
      </w:pPr>
    </w:p>
    <w:p w:rsidR="004D583B" w:rsidRDefault="00810D0B">
      <w:pPr>
        <w:jc w:val="center"/>
      </w:pPr>
      <w:r>
        <w:t>Перелік заходів,</w:t>
      </w:r>
    </w:p>
    <w:p w:rsidR="004D583B" w:rsidRDefault="00810D0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що мають бути забезпечені департаментом житлово-комунального господарства, з метою сприяння проведенню громадської експертизи</w:t>
      </w:r>
    </w:p>
    <w:p w:rsidR="004D583B" w:rsidRDefault="004D583B">
      <w:pPr>
        <w:jc w:val="center"/>
        <w:rPr>
          <w:b/>
        </w:rPr>
      </w:pPr>
    </w:p>
    <w:p w:rsidR="004D583B" w:rsidRDefault="004D583B">
      <w:pPr>
        <w:jc w:val="center"/>
      </w:pPr>
    </w:p>
    <w:p w:rsidR="004D583B" w:rsidRDefault="00810D0B">
      <w:pPr>
        <w:ind w:firstLine="567"/>
        <w:jc w:val="both"/>
      </w:pPr>
      <w:r>
        <w:t xml:space="preserve">1. Надіслати копію </w:t>
      </w:r>
      <w:r>
        <w:t>розпорядження про сприяння</w:t>
      </w:r>
      <w:r>
        <w:rPr>
          <w:szCs w:val="28"/>
        </w:rPr>
        <w:t xml:space="preserve"> у проведенні  громадської експертизи </w:t>
      </w:r>
      <w:r>
        <w:rPr>
          <w:color w:val="auto"/>
          <w:szCs w:val="28"/>
        </w:rPr>
        <w:t>діяльності департаменту житлово-комунального господарства на поштову адресу Громадської організації «Молодіжний центр “Семиярусна гора</w:t>
      </w:r>
      <w:r>
        <w:rPr>
          <w:color w:val="auto"/>
          <w:szCs w:val="28"/>
          <w:lang w:val="ru-RU"/>
        </w:rPr>
        <w:t>”</w:t>
      </w:r>
      <w:r>
        <w:rPr>
          <w:color w:val="auto"/>
          <w:szCs w:val="28"/>
        </w:rPr>
        <w:t>».</w:t>
      </w:r>
    </w:p>
    <w:p w:rsidR="004D583B" w:rsidRDefault="004D583B">
      <w:pPr>
        <w:ind w:firstLine="567"/>
        <w:jc w:val="both"/>
        <w:rPr>
          <w:color w:val="auto"/>
          <w:szCs w:val="28"/>
        </w:rPr>
      </w:pPr>
    </w:p>
    <w:tbl>
      <w:tblPr>
        <w:tblW w:w="935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19"/>
        <w:gridCol w:w="4484"/>
      </w:tblGrid>
      <w:tr w:rsidR="004D583B">
        <w:trPr>
          <w:jc w:val="right"/>
        </w:trPr>
        <w:tc>
          <w:tcPr>
            <w:tcW w:w="4253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протягом трьох робочих днів з моменту його видання</w:t>
            </w:r>
          </w:p>
        </w:tc>
        <w:tc>
          <w:tcPr>
            <w:tcW w:w="619" w:type="dxa"/>
          </w:tcPr>
          <w:p w:rsidR="004D583B" w:rsidRDefault="004D583B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484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</w:t>
            </w:r>
            <w:r>
              <w:rPr>
                <w:color w:val="auto"/>
                <w:szCs w:val="28"/>
              </w:rPr>
              <w:t>епартамент житлово-комунального господарства</w:t>
            </w:r>
          </w:p>
        </w:tc>
      </w:tr>
    </w:tbl>
    <w:p w:rsidR="004D583B" w:rsidRDefault="004D583B">
      <w:pPr>
        <w:ind w:firstLine="567"/>
        <w:jc w:val="both"/>
      </w:pPr>
    </w:p>
    <w:p w:rsidR="004D583B" w:rsidRDefault="00810D0B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2. Забезпечити оприлюднення інформації щодо отримання звернення про проведення громадської експертизи, а також прийняті з цього приводу висновки чи розпорядження, на офіційному вебсайті Луцької міської ради.</w:t>
      </w:r>
    </w:p>
    <w:p w:rsidR="004D583B" w:rsidRDefault="004D583B">
      <w:pPr>
        <w:ind w:firstLine="567"/>
        <w:jc w:val="both"/>
        <w:rPr>
          <w:color w:val="auto"/>
          <w:szCs w:val="28"/>
        </w:rPr>
      </w:pPr>
    </w:p>
    <w:tbl>
      <w:tblPr>
        <w:tblW w:w="935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19"/>
        <w:gridCol w:w="4484"/>
      </w:tblGrid>
      <w:tr w:rsidR="004D583B">
        <w:trPr>
          <w:jc w:val="right"/>
        </w:trPr>
        <w:tc>
          <w:tcPr>
            <w:tcW w:w="4253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не пізніше трьох робочих днів з моменту прийняття відповідних рішень</w:t>
            </w:r>
          </w:p>
        </w:tc>
        <w:tc>
          <w:tcPr>
            <w:tcW w:w="619" w:type="dxa"/>
          </w:tcPr>
          <w:p w:rsidR="004D583B" w:rsidRDefault="004D583B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484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Управління інформаційно-комунікаційних технологій (у частині надання доступу до наповнення сторінки)</w:t>
            </w:r>
          </w:p>
        </w:tc>
      </w:tr>
    </w:tbl>
    <w:p w:rsidR="004D583B" w:rsidRDefault="004D583B">
      <w:pPr>
        <w:ind w:firstLine="567"/>
        <w:jc w:val="both"/>
      </w:pPr>
    </w:p>
    <w:p w:rsidR="004D583B" w:rsidRDefault="00810D0B">
      <w:pPr>
        <w:ind w:firstLine="567"/>
        <w:jc w:val="both"/>
      </w:pPr>
      <w:r>
        <w:t>3. Забезпечити надання Г</w:t>
      </w:r>
      <w:r>
        <w:rPr>
          <w:color w:val="auto"/>
          <w:szCs w:val="28"/>
        </w:rPr>
        <w:t xml:space="preserve">ромадській </w:t>
      </w:r>
      <w:r>
        <w:rPr>
          <w:color w:val="auto"/>
          <w:szCs w:val="28"/>
        </w:rPr>
        <w:t>організації «Молодіжний центр “Семиярусна гора”» запитуваної інформації, яка стосується предмета громадської експертизи та зазначена у зверненні  від 25.11.2025 № 123.</w:t>
      </w:r>
    </w:p>
    <w:p w:rsidR="004D583B" w:rsidRDefault="004D583B">
      <w:pPr>
        <w:ind w:firstLine="567"/>
        <w:jc w:val="both"/>
        <w:rPr>
          <w:color w:val="auto"/>
          <w:szCs w:val="28"/>
        </w:rPr>
      </w:pPr>
    </w:p>
    <w:tbl>
      <w:tblPr>
        <w:tblW w:w="935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19"/>
        <w:gridCol w:w="4484"/>
      </w:tblGrid>
      <w:tr w:rsidR="004D583B">
        <w:trPr>
          <w:jc w:val="right"/>
        </w:trPr>
        <w:tc>
          <w:tcPr>
            <w:tcW w:w="4253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у строки, визначені у пункті 7 Положення про сприяння проведенню громадської експертизи</w:t>
            </w:r>
            <w:r>
              <w:rPr>
                <w:color w:val="auto"/>
                <w:szCs w:val="28"/>
              </w:rPr>
              <w:t xml:space="preserve"> діяльності міської ради та її виконавчих органів, затвердженого рішенням міської ради від 27.03.2024 № 57/123</w:t>
            </w:r>
          </w:p>
        </w:tc>
        <w:tc>
          <w:tcPr>
            <w:tcW w:w="619" w:type="dxa"/>
          </w:tcPr>
          <w:p w:rsidR="004D583B" w:rsidRDefault="004D583B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484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</w:tbl>
    <w:p w:rsidR="004D583B" w:rsidRDefault="004D583B">
      <w:pPr>
        <w:ind w:firstLine="567"/>
        <w:jc w:val="both"/>
      </w:pPr>
    </w:p>
    <w:p w:rsidR="004D583B" w:rsidRDefault="00810D0B">
      <w:pPr>
        <w:ind w:firstLine="567"/>
        <w:jc w:val="both"/>
      </w:pPr>
      <w:r>
        <w:lastRenderedPageBreak/>
        <w:t>4. Сприяти у проведенні круглого столу з уповноваженими особами департаменту житлово-комунальног</w:t>
      </w:r>
      <w:r>
        <w:t>о господарства на тему «Структура видатків бюджету Луцької міської територіальної громади на організацію озеленення населених пунктів».</w:t>
      </w:r>
    </w:p>
    <w:p w:rsidR="004D583B" w:rsidRDefault="004D583B">
      <w:pPr>
        <w:ind w:firstLine="567"/>
        <w:jc w:val="both"/>
      </w:pPr>
    </w:p>
    <w:tbl>
      <w:tblPr>
        <w:tblW w:w="935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19"/>
        <w:gridCol w:w="4484"/>
      </w:tblGrid>
      <w:tr w:rsidR="004D583B">
        <w:trPr>
          <w:jc w:val="right"/>
        </w:trPr>
        <w:tc>
          <w:tcPr>
            <w:tcW w:w="4253" w:type="dxa"/>
          </w:tcPr>
          <w:p w:rsidR="004D583B" w:rsidRDefault="00EC5A9D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грудень 2025</w:t>
            </w:r>
            <w:bookmarkStart w:id="0" w:name="_GoBack"/>
            <w:bookmarkEnd w:id="0"/>
            <w:r w:rsidR="00810D0B">
              <w:rPr>
                <w:color w:val="auto"/>
                <w:szCs w:val="28"/>
              </w:rPr>
              <w:t xml:space="preserve"> року</w:t>
            </w:r>
          </w:p>
        </w:tc>
        <w:tc>
          <w:tcPr>
            <w:tcW w:w="619" w:type="dxa"/>
          </w:tcPr>
          <w:p w:rsidR="004D583B" w:rsidRDefault="004D583B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484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</w:tbl>
    <w:p w:rsidR="004D583B" w:rsidRDefault="004D583B">
      <w:pPr>
        <w:ind w:firstLine="567"/>
        <w:jc w:val="both"/>
      </w:pPr>
    </w:p>
    <w:p w:rsidR="004D583B" w:rsidRDefault="00810D0B">
      <w:pPr>
        <w:ind w:firstLine="567"/>
        <w:jc w:val="both"/>
      </w:pPr>
      <w:r>
        <w:t>5. У разі надходження експертних пропозицій від</w:t>
      </w:r>
      <w:r>
        <w:rPr>
          <w:color w:val="auto"/>
          <w:szCs w:val="28"/>
        </w:rPr>
        <w:t xml:space="preserve"> Гром</w:t>
      </w:r>
      <w:r>
        <w:rPr>
          <w:color w:val="auto"/>
          <w:szCs w:val="28"/>
        </w:rPr>
        <w:t xml:space="preserve">адської організації «Молодіжний центр </w:t>
      </w:r>
      <w:r>
        <w:t>“</w:t>
      </w:r>
      <w:r>
        <w:rPr>
          <w:color w:val="auto"/>
          <w:szCs w:val="28"/>
        </w:rPr>
        <w:t xml:space="preserve">Семиярусна гора”» </w:t>
      </w:r>
      <w:r>
        <w:t xml:space="preserve">у строк, встановлений пунктом 11 </w:t>
      </w:r>
      <w:r>
        <w:rPr>
          <w:color w:val="auto"/>
          <w:szCs w:val="28"/>
        </w:rPr>
        <w:t>Положення про сприяння проведенню громадської експертизи діяльності міської ради та її виконавчих органів, затвердженого рішенням міської ради від 27.03.2024 № 57/123</w:t>
      </w:r>
      <w:r>
        <w:rPr>
          <w:color w:val="auto"/>
          <w:szCs w:val="28"/>
        </w:rPr>
        <w:t>,</w:t>
      </w:r>
      <w:r>
        <w:t xml:space="preserve"> </w:t>
      </w:r>
      <w:r>
        <w:rPr>
          <w:color w:val="auto"/>
          <w:szCs w:val="28"/>
        </w:rPr>
        <w:t>забезпечити їх опрацювання.</w:t>
      </w:r>
    </w:p>
    <w:p w:rsidR="004D583B" w:rsidRDefault="004D583B">
      <w:pPr>
        <w:ind w:firstLine="567"/>
        <w:jc w:val="both"/>
        <w:rPr>
          <w:color w:val="auto"/>
          <w:szCs w:val="28"/>
        </w:rPr>
      </w:pPr>
    </w:p>
    <w:tbl>
      <w:tblPr>
        <w:tblW w:w="935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19"/>
        <w:gridCol w:w="4484"/>
      </w:tblGrid>
      <w:tr w:rsidR="004D583B">
        <w:trPr>
          <w:jc w:val="right"/>
        </w:trPr>
        <w:tc>
          <w:tcPr>
            <w:tcW w:w="4253" w:type="dxa"/>
          </w:tcPr>
          <w:p w:rsidR="004D583B" w:rsidRDefault="00810D0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 строки, визначені Інструкцією з діловодства у Луцькій міській раді</w:t>
            </w:r>
          </w:p>
        </w:tc>
        <w:tc>
          <w:tcPr>
            <w:tcW w:w="619" w:type="dxa"/>
          </w:tcPr>
          <w:p w:rsidR="004D583B" w:rsidRDefault="004D583B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484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</w:tbl>
    <w:p w:rsidR="004D583B" w:rsidRDefault="004D583B">
      <w:pPr>
        <w:ind w:firstLine="567"/>
        <w:jc w:val="both"/>
        <w:rPr>
          <w:color w:val="auto"/>
          <w:szCs w:val="28"/>
        </w:rPr>
      </w:pPr>
    </w:p>
    <w:p w:rsidR="004D583B" w:rsidRDefault="00810D0B">
      <w:pPr>
        <w:ind w:firstLine="567"/>
        <w:jc w:val="both"/>
      </w:pPr>
      <w:r w:rsidRPr="00EC5A9D">
        <w:t>6</w:t>
      </w:r>
      <w:r>
        <w:t xml:space="preserve">. Надати висновки та рекомендації про результати розгляду експертних пропозицій, у разі їх надходження, міському голові для ознайомлення, </w:t>
      </w:r>
      <w:r>
        <w:rPr>
          <w:color w:val="auto"/>
          <w:szCs w:val="28"/>
        </w:rPr>
        <w:t xml:space="preserve">забезпечити їх оприлюднення на офіційному вебсайті Луцької міської ради, </w:t>
      </w:r>
      <w:r>
        <w:t>а також надіслати</w:t>
      </w:r>
      <w:r>
        <w:rPr>
          <w:color w:val="auto"/>
          <w:szCs w:val="28"/>
        </w:rPr>
        <w:t xml:space="preserve"> на поштову адресу Громадськ</w:t>
      </w:r>
      <w:r>
        <w:rPr>
          <w:color w:val="auto"/>
          <w:szCs w:val="28"/>
        </w:rPr>
        <w:t>ої організації «Молодіжний центр “Семиярусна гора</w:t>
      </w:r>
      <w:r w:rsidRPr="00EC5A9D">
        <w:rPr>
          <w:color w:val="auto"/>
          <w:szCs w:val="28"/>
        </w:rPr>
        <w:t>”</w:t>
      </w:r>
      <w:r>
        <w:rPr>
          <w:color w:val="auto"/>
          <w:szCs w:val="28"/>
        </w:rPr>
        <w:t>».</w:t>
      </w:r>
    </w:p>
    <w:p w:rsidR="004D583B" w:rsidRDefault="004D583B">
      <w:pPr>
        <w:ind w:firstLine="567"/>
        <w:jc w:val="both"/>
        <w:rPr>
          <w:color w:val="auto"/>
          <w:szCs w:val="28"/>
        </w:rPr>
      </w:pPr>
    </w:p>
    <w:tbl>
      <w:tblPr>
        <w:tblW w:w="9356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19"/>
        <w:gridCol w:w="4484"/>
      </w:tblGrid>
      <w:tr w:rsidR="004D583B">
        <w:trPr>
          <w:jc w:val="right"/>
        </w:trPr>
        <w:tc>
          <w:tcPr>
            <w:tcW w:w="4253" w:type="dxa"/>
          </w:tcPr>
          <w:p w:rsidR="004D583B" w:rsidRDefault="00810D0B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не пізніше ніж через п’ять робочих днів з моменту розгляду</w:t>
            </w:r>
          </w:p>
        </w:tc>
        <w:tc>
          <w:tcPr>
            <w:tcW w:w="619" w:type="dxa"/>
          </w:tcPr>
          <w:p w:rsidR="004D583B" w:rsidRDefault="004D583B">
            <w:pPr>
              <w:jc w:val="both"/>
              <w:rPr>
                <w:color w:val="auto"/>
                <w:szCs w:val="28"/>
              </w:rPr>
            </w:pPr>
          </w:p>
        </w:tc>
        <w:tc>
          <w:tcPr>
            <w:tcW w:w="4484" w:type="dxa"/>
          </w:tcPr>
          <w:p w:rsidR="004D583B" w:rsidRDefault="00810D0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</w:tbl>
    <w:p w:rsidR="004D583B" w:rsidRDefault="00810D0B">
      <w:pPr>
        <w:ind w:firstLine="567"/>
        <w:jc w:val="both"/>
      </w:pPr>
      <w:r>
        <w:tab/>
      </w:r>
      <w:r>
        <w:tab/>
      </w:r>
    </w:p>
    <w:p w:rsidR="004D583B" w:rsidRDefault="004D583B">
      <w:pPr>
        <w:ind w:firstLine="567"/>
        <w:jc w:val="both"/>
        <w:rPr>
          <w:color w:val="000000"/>
          <w:szCs w:val="28"/>
        </w:rPr>
      </w:pPr>
    </w:p>
    <w:p w:rsidR="004D583B" w:rsidRDefault="004D583B">
      <w:pPr>
        <w:jc w:val="both"/>
      </w:pPr>
    </w:p>
    <w:p w:rsidR="004D583B" w:rsidRDefault="00810D0B">
      <w:pPr>
        <w:jc w:val="both"/>
      </w:pPr>
      <w:r>
        <w:t>Заступник міського голови,</w:t>
      </w:r>
    </w:p>
    <w:p w:rsidR="004D583B" w:rsidRDefault="00810D0B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:rsidR="004D583B" w:rsidRDefault="004D583B">
      <w:pPr>
        <w:jc w:val="both"/>
        <w:rPr>
          <w:sz w:val="24"/>
        </w:rPr>
      </w:pPr>
    </w:p>
    <w:p w:rsidR="004D583B" w:rsidRDefault="004D583B">
      <w:pPr>
        <w:jc w:val="both"/>
        <w:rPr>
          <w:sz w:val="24"/>
        </w:rPr>
      </w:pPr>
    </w:p>
    <w:p w:rsidR="004D583B" w:rsidRDefault="00810D0B">
      <w:pPr>
        <w:jc w:val="both"/>
      </w:pPr>
      <w:r>
        <w:rPr>
          <w:sz w:val="24"/>
        </w:rPr>
        <w:t>Возняк 773 162</w:t>
      </w:r>
    </w:p>
    <w:sectPr w:rsidR="004D583B">
      <w:headerReference w:type="even" r:id="rId7"/>
      <w:headerReference w:type="default" r:id="rId8"/>
      <w:headerReference w:type="first" r:id="rId9"/>
      <w:pgSz w:w="11906" w:h="16838"/>
      <w:pgMar w:top="1134" w:right="567" w:bottom="1985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0B" w:rsidRDefault="00810D0B">
      <w:r>
        <w:separator/>
      </w:r>
    </w:p>
  </w:endnote>
  <w:endnote w:type="continuationSeparator" w:id="0">
    <w:p w:rsidR="00810D0B" w:rsidRDefault="0081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0B" w:rsidRDefault="00810D0B">
      <w:r>
        <w:separator/>
      </w:r>
    </w:p>
  </w:footnote>
  <w:footnote w:type="continuationSeparator" w:id="0">
    <w:p w:rsidR="00810D0B" w:rsidRDefault="0081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3B" w:rsidRDefault="004D583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356884"/>
      <w:docPartObj>
        <w:docPartGallery w:val="Page Numbers (Top of Page)"/>
        <w:docPartUnique/>
      </w:docPartObj>
    </w:sdtPr>
    <w:sdtEndPr/>
    <w:sdtContent>
      <w:p w:rsidR="004D583B" w:rsidRDefault="00810D0B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5A9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83B" w:rsidRDefault="004D583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11DC"/>
    <w:multiLevelType w:val="multilevel"/>
    <w:tmpl w:val="CDD040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CE5C4E"/>
    <w:multiLevelType w:val="multilevel"/>
    <w:tmpl w:val="AB824A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3B"/>
    <w:rsid w:val="004D583B"/>
    <w:rsid w:val="00810D0B"/>
    <w:rsid w:val="00E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0C29"/>
  <w15:docId w15:val="{C27BB636-3C0B-4659-96E2-F6022CDC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1"/>
    <w:next w:val="a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0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</w:style>
  <w:style w:type="paragraph" w:styleId="af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user3">
    <w:name w:val="Вміст таблиці (user)"/>
    <w:basedOn w:val="a"/>
    <w:qFormat/>
  </w:style>
  <w:style w:type="paragraph" w:customStyle="1" w:styleId="user4">
    <w:name w:val="Заголовок таблиці (user)"/>
    <w:qFormat/>
    <w:pPr>
      <w:jc w:val="center"/>
    </w:pPr>
    <w:rPr>
      <w:b/>
    </w:rPr>
  </w:style>
  <w:style w:type="paragraph" w:customStyle="1" w:styleId="12">
    <w:name w:val="Красная строка1"/>
    <w:qFormat/>
    <w:pPr>
      <w:spacing w:after="120"/>
      <w:ind w:firstLine="210"/>
    </w:p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numbering" w:customStyle="1" w:styleId="af3">
    <w:name w:val="Без маркерів"/>
    <w:uiPriority w:val="99"/>
    <w:semiHidden/>
    <w:unhideWhenUsed/>
    <w:qFormat/>
  </w:style>
  <w:style w:type="numbering" w:customStyle="1" w:styleId="user5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Греля Аліна - начальник юридичного відділу</cp:lastModifiedBy>
  <cp:revision>2</cp:revision>
  <cp:lastPrinted>2025-12-02T11:58:00Z</cp:lastPrinted>
  <dcterms:created xsi:type="dcterms:W3CDTF">2025-12-08T15:38:00Z</dcterms:created>
  <dcterms:modified xsi:type="dcterms:W3CDTF">2025-12-08T15:38:00Z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