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6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left="5103"/>
        <w:contextualSpacing/>
        <w:rPr/>
      </w:pPr>
      <w:r>
        <w:rPr>
          <w:rFonts w:ascii="Times New Roman" w:hAnsi="Times New Roman"/>
          <w:sz w:val="28"/>
          <w:szCs w:val="28"/>
        </w:rPr>
        <w:t xml:space="preserve">Додаток </w:t>
      </w:r>
    </w:p>
    <w:p>
      <w:pPr>
        <w:pStyle w:val="Normal"/>
        <w:spacing w:before="0" w:after="0"/>
        <w:ind w:left="5103"/>
        <w:contextualSpacing/>
        <w:rPr/>
      </w:pPr>
      <w:r>
        <w:rPr>
          <w:rFonts w:ascii="Times New Roman" w:hAnsi="Times New Roman"/>
          <w:sz w:val="28"/>
          <w:szCs w:val="28"/>
        </w:rPr>
        <w:t xml:space="preserve">до рішення міської ради </w:t>
      </w:r>
    </w:p>
    <w:p>
      <w:pPr>
        <w:pStyle w:val="Normal"/>
        <w:spacing w:before="0" w:after="0"/>
        <w:ind w:left="5103"/>
        <w:contextualSpacing/>
        <w:rPr/>
      </w:pPr>
      <w:r>
        <w:rPr>
          <w:rFonts w:ascii="Times New Roman" w:hAnsi="Times New Roman"/>
          <w:sz w:val="28"/>
          <w:szCs w:val="28"/>
        </w:rPr>
        <w:t>______________  № _________</w:t>
      </w:r>
    </w:p>
    <w:p>
      <w:pPr>
        <w:pStyle w:val="Normal"/>
        <w:spacing w:before="0" w:after="0"/>
        <w:ind w:firstLine="855" w:left="4248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contextualSpacing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 w:bidi="ar-SA"/>
        </w:rPr>
        <w:t>ПРОГРАМА</w:t>
      </w:r>
    </w:p>
    <w:p>
      <w:pPr>
        <w:pStyle w:val="Normal"/>
        <w:spacing w:before="0" w:after="0"/>
        <w:contextualSpacing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 w:bidi="ar-SA"/>
        </w:rPr>
        <w:t>розвитку міжнародного співробітництва</w:t>
      </w:r>
    </w:p>
    <w:p>
      <w:pPr>
        <w:pStyle w:val="Normal"/>
        <w:spacing w:before="0" w:after="0"/>
        <w:contextualSpacing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 w:bidi="ar-SA"/>
        </w:rPr>
        <w:t>Луцької міської територіальної громади та залучення міжнародної технічної допомоги на 2026–2028 роки</w:t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 w:eastAsia="Times New Roman" w:cs="Times New Roman"/>
          <w:bCs/>
          <w:color w:val="000000"/>
          <w:sz w:val="28"/>
          <w:szCs w:val="28"/>
          <w:lang w:eastAsia="ru-RU" w:bidi="ar-SA"/>
        </w:rPr>
      </w:pPr>
      <w:r>
        <w:rPr>
          <w:rFonts w:eastAsia="Times New Roman" w:cs="Times New Roman" w:ascii="Times New Roman" w:hAnsi="Times New Roman"/>
          <w:bCs/>
          <w:color w:val="000000"/>
          <w:sz w:val="28"/>
          <w:szCs w:val="28"/>
          <w:lang w:eastAsia="ru-RU" w:bidi="ar-SA"/>
        </w:rPr>
      </w:r>
    </w:p>
    <w:p>
      <w:pPr>
        <w:pStyle w:val="Normal"/>
        <w:spacing w:before="0" w:after="0"/>
        <w:contextualSpacing/>
        <w:jc w:val="center"/>
        <w:rPr/>
      </w:pPr>
      <w:r>
        <w:rPr>
          <w:rFonts w:ascii="Times New Roman" w:hAnsi="Times New Roman"/>
          <w:b/>
          <w:sz w:val="28"/>
          <w:szCs w:val="28"/>
        </w:rPr>
        <w:t>ПАСПОРТ ПРОГРАМИ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>
      <w:pPr>
        <w:pStyle w:val="Normal"/>
        <w:spacing w:before="0" w:after="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tbl>
      <w:tblPr>
        <w:tblW w:w="9390" w:type="dxa"/>
        <w:jc w:val="left"/>
        <w:tblInd w:w="13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46"/>
        <w:gridCol w:w="3796"/>
        <w:gridCol w:w="4748"/>
      </w:tblGrid>
      <w:tr>
        <w:trPr/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  <w:p>
            <w:pPr>
              <w:pStyle w:val="Normal"/>
              <w:spacing w:before="0"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3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Ініціатор розроблення Програми</w:t>
            </w:r>
          </w:p>
        </w:tc>
        <w:tc>
          <w:tcPr>
            <w:tcW w:w="4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8"/>
                <w:szCs w:val="28"/>
                <w:lang w:bidi="ar-SA"/>
              </w:rPr>
              <w:t>Управління міжнародного співробітництва та проектної діяльності</w:t>
            </w:r>
          </w:p>
        </w:tc>
      </w:tr>
      <w:tr>
        <w:trPr>
          <w:trHeight w:val="934" w:hRule="atLeast"/>
        </w:trPr>
        <w:tc>
          <w:tcPr>
            <w:tcW w:w="84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HTMLPreformatted"/>
              <w:spacing w:before="0" w:after="0"/>
              <w:contextualSpacing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Розробник Програми</w:t>
            </w:r>
          </w:p>
          <w:p>
            <w:pPr>
              <w:pStyle w:val="HTMLPreformatted"/>
              <w:spacing w:before="0" w:after="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HTMLPreformatted"/>
              <w:spacing w:before="0" w:after="0"/>
              <w:contextualSpacing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47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Управління міжнародного співробітництва та проектної діяльності</w:t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Відповідальний виконавець Програми</w:t>
            </w:r>
          </w:p>
        </w:tc>
        <w:tc>
          <w:tcPr>
            <w:tcW w:w="47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Управління міжнародного співробітництва та проектної діяльності</w:t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Учасники Програми</w:t>
            </w:r>
          </w:p>
          <w:p>
            <w:pPr>
              <w:pStyle w:val="HTMLPreformatted"/>
              <w:spacing w:before="0" w:after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47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Департамент культури, департамент освіти, департамент молоді та спорту, управління інформаційної роботи, </w:t>
            </w:r>
            <w:r>
              <w:rPr>
                <w:rFonts w:ascii="Times New Roman" w:hAnsi="Times New Roman"/>
                <w:sz w:val="28"/>
                <w:szCs w:val="28"/>
              </w:rPr>
              <w:t>господарсько-технічний відділ, відділ екології, департамент житлово-комунального господарства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 ЛСКАП 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Луцькспецкомунтранс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 управління охорони здоров’я, КП «Медичне об’єднання Луцької міської територіальної громади», ДКП «Луцьктепло»</w:t>
            </w:r>
          </w:p>
        </w:tc>
      </w:tr>
      <w:tr>
        <w:trPr/>
        <w:tc>
          <w:tcPr>
            <w:tcW w:w="84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Термін реалізації Програми</w:t>
            </w:r>
          </w:p>
        </w:tc>
        <w:tc>
          <w:tcPr>
            <w:tcW w:w="47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2026–2028 роки</w:t>
            </w:r>
          </w:p>
        </w:tc>
      </w:tr>
      <w:tr>
        <w:trPr>
          <w:trHeight w:val="960" w:hRule="atLeast"/>
        </w:trPr>
        <w:tc>
          <w:tcPr>
            <w:tcW w:w="846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Загальний обсяг фінансових ресурсів, необхідних для реалізації Програми, всього:</w:t>
            </w:r>
          </w:p>
        </w:tc>
        <w:tc>
          <w:tcPr>
            <w:tcW w:w="47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22 050,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0 </w:t>
            </w:r>
            <w:r>
              <w:rPr>
                <w:rFonts w:ascii="Times New Roman" w:hAnsi="Times New Roman"/>
                <w:sz w:val="28"/>
                <w:szCs w:val="28"/>
              </w:rPr>
              <w:t>тис. грн</w:t>
            </w:r>
          </w:p>
        </w:tc>
      </w:tr>
      <w:tr>
        <w:trPr>
          <w:trHeight w:val="315" w:hRule="atLeast"/>
        </w:trPr>
        <w:tc>
          <w:tcPr>
            <w:tcW w:w="846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W w:w="854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у тому числі:</w:t>
            </w:r>
          </w:p>
        </w:tc>
      </w:tr>
      <w:tr>
        <w:trPr>
          <w:trHeight w:val="330" w:hRule="atLeast"/>
        </w:trPr>
        <w:tc>
          <w:tcPr>
            <w:tcW w:w="84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6.1.</w:t>
            </w:r>
          </w:p>
        </w:tc>
        <w:tc>
          <w:tcPr>
            <w:tcW w:w="3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коштів бюджету міської територіальної громади</w:t>
            </w:r>
          </w:p>
        </w:tc>
        <w:tc>
          <w:tcPr>
            <w:tcW w:w="47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6 480,0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тис. грн</w:t>
            </w:r>
          </w:p>
        </w:tc>
      </w:tr>
      <w:tr>
        <w:trPr>
          <w:trHeight w:val="330" w:hRule="atLeast"/>
        </w:trPr>
        <w:tc>
          <w:tcPr>
            <w:tcW w:w="84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6.2.</w:t>
            </w:r>
          </w:p>
        </w:tc>
        <w:tc>
          <w:tcPr>
            <w:tcW w:w="379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коштів інших джерел</w:t>
            </w:r>
          </w:p>
        </w:tc>
        <w:tc>
          <w:tcPr>
            <w:tcW w:w="47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15 570,0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тис. грн</w:t>
            </w:r>
          </w:p>
        </w:tc>
      </w:tr>
      <w:tr>
        <w:trPr>
          <w:trHeight w:val="330" w:hRule="atLeast"/>
        </w:trPr>
        <w:tc>
          <w:tcPr>
            <w:tcW w:w="846" w:type="dxa"/>
            <w:tcBorders/>
          </w:tcPr>
          <w:p>
            <w:pPr>
              <w:pStyle w:val="Normal"/>
              <w:snapToGrid w:val="false"/>
              <w:spacing w:before="0" w:after="0"/>
              <w:contextualSpacing/>
              <w:jc w:val="center"/>
              <w:rPr/>
            </w:pPr>
            <w:r>
              <w:rPr/>
            </w:r>
          </w:p>
          <w:p>
            <w:pPr>
              <w:pStyle w:val="Normal"/>
              <w:snapToGrid w:val="false"/>
              <w:spacing w:before="0" w:after="0"/>
              <w:contextualSpacing/>
              <w:jc w:val="center"/>
              <w:rPr/>
            </w:pPr>
            <w:r>
              <w:rPr/>
            </w:r>
          </w:p>
        </w:tc>
        <w:tc>
          <w:tcPr>
            <w:tcW w:w="3796" w:type="dxa"/>
            <w:tcBorders/>
          </w:tcPr>
          <w:p>
            <w:pPr>
              <w:pStyle w:val="Normal"/>
              <w:spacing w:before="0" w:after="0"/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4748" w:type="dxa"/>
            <w:tcBorders/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/>
            </w:r>
          </w:p>
        </w:tc>
      </w:tr>
      <w:tr>
        <w:trPr>
          <w:trHeight w:val="330" w:hRule="atLeast"/>
        </w:trPr>
        <w:tc>
          <w:tcPr>
            <w:tcW w:w="4642" w:type="dxa"/>
            <w:gridSpan w:val="2"/>
            <w:tcBorders/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Секретар міської ради</w:t>
            </w:r>
          </w:p>
        </w:tc>
        <w:tc>
          <w:tcPr>
            <w:tcW w:w="4748" w:type="dxa"/>
            <w:tcBorders/>
          </w:tcPr>
          <w:p>
            <w:pPr>
              <w:pStyle w:val="Normal"/>
              <w:spacing w:before="0" w:after="0"/>
              <w:contextualSpacing/>
              <w:jc w:val="righ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Юрій БЕЗПЯТКО</w:t>
            </w:r>
          </w:p>
        </w:tc>
      </w:tr>
      <w:tr>
        <w:trPr>
          <w:trHeight w:val="330" w:hRule="atLeast"/>
        </w:trPr>
        <w:tc>
          <w:tcPr>
            <w:tcW w:w="4642" w:type="dxa"/>
            <w:gridSpan w:val="2"/>
            <w:tcBorders/>
          </w:tcPr>
          <w:p>
            <w:pPr>
              <w:pStyle w:val="Normal"/>
              <w:spacing w:before="0" w:after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>
                <w:rFonts w:ascii="Times New Roman" w:hAnsi="Times New Roman"/>
              </w:rPr>
              <w:t>Вінцюк  777 995</w:t>
            </w:r>
          </w:p>
        </w:tc>
        <w:tc>
          <w:tcPr>
            <w:tcW w:w="4748" w:type="dxa"/>
            <w:tcBorders/>
          </w:tcPr>
          <w:p>
            <w:pPr>
              <w:pStyle w:val="Normal"/>
              <w:spacing w:before="0" w:after="0"/>
              <w:contextualSpacing/>
              <w:jc w:val="both"/>
              <w:rPr/>
            </w:pPr>
            <w:r>
              <w:rPr/>
            </w:r>
          </w:p>
        </w:tc>
      </w:tr>
    </w:tbl>
    <w:p>
      <w:pPr>
        <w:sectPr>
          <w:type w:val="nextPage"/>
          <w:pgSz w:w="11906" w:h="16838"/>
          <w:pgMar w:left="1984" w:right="567" w:gutter="0" w:header="0" w:top="567" w:footer="0" w:bottom="1134"/>
          <w:pgNumType w:start="1" w:fmt="decimal"/>
          <w:formProt w:val="false"/>
          <w:textDirection w:val="lrTb"/>
          <w:docGrid w:type="default" w:linePitch="100" w:charSpace="0"/>
        </w:sectPr>
      </w:pPr>
    </w:p>
    <w:p>
      <w:pPr>
        <w:pStyle w:val="Normal"/>
        <w:ind w:left="4819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Додаток 1</w:t>
      </w:r>
    </w:p>
    <w:p>
      <w:pPr>
        <w:pStyle w:val="Normal"/>
        <w:ind w:hanging="1" w:left="4820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 xml:space="preserve">до Програми розвитку міжнародного співробітництва Луцької міської територіальної громади та залучення міжнародної технічної допомоги </w:t>
      </w:r>
    </w:p>
    <w:p>
      <w:pPr>
        <w:pStyle w:val="Normal"/>
        <w:spacing w:before="0" w:after="0"/>
        <w:ind w:hanging="1" w:left="4820"/>
        <w:contextualSpacing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на 2026–2028 роки</w:t>
      </w:r>
    </w:p>
    <w:p>
      <w:pPr>
        <w:pStyle w:val="Normal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jc w:val="center"/>
        <w:rPr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Ресурсне забезпечення </w:t>
      </w:r>
    </w:p>
    <w:p>
      <w:pPr>
        <w:pStyle w:val="Normal"/>
        <w:jc w:val="center"/>
        <w:rPr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Програми розвитку міжнародного співробітництва </w:t>
      </w:r>
    </w:p>
    <w:p>
      <w:pPr>
        <w:pStyle w:val="Normal"/>
        <w:jc w:val="center"/>
        <w:rPr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Луцької міської територіальної громади </w:t>
      </w:r>
    </w:p>
    <w:p>
      <w:pPr>
        <w:pStyle w:val="Normal"/>
        <w:jc w:val="center"/>
        <w:rPr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та залучення міжнародної технічної </w:t>
      </w:r>
    </w:p>
    <w:p>
      <w:pPr>
        <w:pStyle w:val="Normal"/>
        <w:jc w:val="center"/>
        <w:rPr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допомоги на 2026–2028 роки</w:t>
      </w:r>
    </w:p>
    <w:p>
      <w:pPr>
        <w:pStyle w:val="Normal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tbl>
      <w:tblPr>
        <w:tblW w:w="9338" w:type="dxa"/>
        <w:jc w:val="left"/>
        <w:tblInd w:w="5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7"/>
        <w:gridCol w:w="2496"/>
        <w:gridCol w:w="1356"/>
        <w:gridCol w:w="1367"/>
        <w:gridCol w:w="1357"/>
        <w:gridCol w:w="2084"/>
      </w:tblGrid>
      <w:tr>
        <w:trPr>
          <w:trHeight w:val="751" w:hRule="atLeast"/>
        </w:trPr>
        <w:tc>
          <w:tcPr>
            <w:tcW w:w="6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numPr>
                <w:ilvl w:val="1"/>
                <w:numId w:val="2"/>
              </w:numPr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з/п</w:t>
            </w:r>
          </w:p>
        </w:tc>
        <w:tc>
          <w:tcPr>
            <w:tcW w:w="24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numPr>
                <w:ilvl w:val="1"/>
                <w:numId w:val="2"/>
              </w:numPr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Обсяг коштів, які планується залучити на виконання Програми, тис. грн</w:t>
            </w:r>
          </w:p>
        </w:tc>
        <w:tc>
          <w:tcPr>
            <w:tcW w:w="4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Роки</w:t>
            </w:r>
          </w:p>
        </w:tc>
        <w:tc>
          <w:tcPr>
            <w:tcW w:w="20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Загальний обсяг фінансування, тис. грн</w:t>
            </w:r>
          </w:p>
        </w:tc>
      </w:tr>
      <w:tr>
        <w:trPr>
          <w:trHeight w:val="516" w:hRule="atLeast"/>
        </w:trPr>
        <w:tc>
          <w:tcPr>
            <w:tcW w:w="677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249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2026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2027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contextualSpacing/>
              <w:jc w:val="center"/>
              <w:rPr/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2028</w:t>
            </w:r>
          </w:p>
        </w:tc>
        <w:tc>
          <w:tcPr>
            <w:tcW w:w="208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Обсяг фінансових ресурсів всього,</w:t>
            </w:r>
          </w:p>
          <w:p>
            <w:pPr>
              <w:pStyle w:val="Normal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у тому числі: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15 910,0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3 910,0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2 230,0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22 050,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</w:p>
        </w:tc>
      </w:tr>
      <w:tr>
        <w:trPr/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1.1.</w:t>
            </w:r>
          </w:p>
        </w:tc>
        <w:tc>
          <w:tcPr>
            <w:tcW w:w="2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ind w:hanging="1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бюджет Луцької міської територіальної громади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2 540,0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2 010,0</w:t>
            </w:r>
          </w:p>
        </w:tc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1 930,0</w:t>
            </w:r>
          </w:p>
        </w:tc>
        <w:tc>
          <w:tcPr>
            <w:tcW w:w="2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6 480,0</w:t>
            </w:r>
          </w:p>
        </w:tc>
      </w:tr>
      <w:tr>
        <w:trPr>
          <w:trHeight w:val="320" w:hRule="atLeast"/>
        </w:trPr>
        <w:tc>
          <w:tcPr>
            <w:tcW w:w="67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1.2.</w:t>
            </w:r>
          </w:p>
        </w:tc>
        <w:tc>
          <w:tcPr>
            <w:tcW w:w="24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ind w:hanging="1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кошти інших джерел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13 370,0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1 900,0</w:t>
            </w:r>
          </w:p>
        </w:tc>
        <w:tc>
          <w:tcPr>
            <w:tcW w:w="135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300,0</w:t>
            </w:r>
          </w:p>
        </w:tc>
        <w:tc>
          <w:tcPr>
            <w:tcW w:w="20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15 570,0</w:t>
            </w:r>
          </w:p>
        </w:tc>
      </w:tr>
    </w:tbl>
    <w:p>
      <w:pPr>
        <w:pStyle w:val="Normal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sectPr>
          <w:headerReference w:type="even" r:id="rId2"/>
          <w:headerReference w:type="default" r:id="rId3"/>
          <w:headerReference w:type="first" r:id="rId4"/>
          <w:type w:val="nextPage"/>
          <w:pgSz w:w="11906" w:h="16838"/>
          <w:pgMar w:left="1984" w:right="567" w:gutter="0" w:header="567" w:top="1172" w:footer="0" w:bottom="1134"/>
          <w:pgNumType w:fmt="decimal"/>
          <w:formProt w:val="false"/>
          <w:textDirection w:val="lrTb"/>
          <w:docGrid w:type="default" w:linePitch="100" w:charSpace="0"/>
        </w:sectPr>
        <w:pStyle w:val="Normal"/>
        <w:spacing w:before="0" w:after="0"/>
        <w:ind w:left="-57"/>
        <w:contextualSpacing/>
        <w:rPr/>
      </w:pPr>
      <w:r>
        <w:rPr>
          <w:rFonts w:ascii="Times New Roman" w:hAnsi="Times New Roman"/>
          <w:color w:val="000000"/>
        </w:rPr>
        <w:t>Вінцюк 777 995</w:t>
      </w:r>
    </w:p>
    <w:p>
      <w:pPr>
        <w:pStyle w:val="Normal"/>
        <w:tabs>
          <w:tab w:val="clear" w:pos="709"/>
          <w:tab w:val="left" w:pos="5580" w:leader="none"/>
        </w:tabs>
        <w:ind w:firstLine="1752" w:left="7788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Додаток 2</w:t>
      </w:r>
    </w:p>
    <w:p>
      <w:pPr>
        <w:pStyle w:val="Normal"/>
        <w:ind w:hanging="1" w:left="9540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 xml:space="preserve">до Програми розвитку міжнародного співробітництва Луцької міської територіальної громади та залучення міжнародної технічної допомоги </w:t>
      </w:r>
    </w:p>
    <w:p>
      <w:pPr>
        <w:pStyle w:val="Normal"/>
        <w:ind w:hanging="1" w:left="9540"/>
        <w:jc w:val="both"/>
        <w:rPr/>
      </w:pPr>
      <w:r>
        <w:rPr>
          <w:rFonts w:ascii="Times New Roman" w:hAnsi="Times New Roman"/>
          <w:color w:val="000000"/>
          <w:sz w:val="28"/>
          <w:szCs w:val="28"/>
        </w:rPr>
        <w:t>на 2026–2028 роки</w:t>
      </w:r>
    </w:p>
    <w:p>
      <w:pPr>
        <w:pStyle w:val="Normal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Normal"/>
        <w:ind w:left="680"/>
        <w:jc w:val="center"/>
        <w:rPr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Перелік завдань, заходів та результативні показники </w:t>
      </w:r>
    </w:p>
    <w:p>
      <w:pPr>
        <w:pStyle w:val="Normal"/>
        <w:ind w:left="680"/>
        <w:jc w:val="center"/>
        <w:rPr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Програми розвитку міжнародного співробітництва</w:t>
      </w:r>
    </w:p>
    <w:p>
      <w:pPr>
        <w:pStyle w:val="Normal"/>
        <w:ind w:left="680"/>
        <w:jc w:val="center"/>
        <w:rPr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Луцької міської територіальної громади</w:t>
      </w:r>
    </w:p>
    <w:p>
      <w:pPr>
        <w:pStyle w:val="Normal"/>
        <w:ind w:left="680"/>
        <w:jc w:val="center"/>
        <w:rPr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та залучення міжнародної технічної допомоги</w:t>
      </w:r>
    </w:p>
    <w:p>
      <w:pPr>
        <w:pStyle w:val="Normal"/>
        <w:ind w:left="680"/>
        <w:jc w:val="center"/>
        <w:rPr/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на 2026–2028 роки</w:t>
      </w:r>
    </w:p>
    <w:tbl>
      <w:tblPr>
        <w:tblW w:w="15076" w:type="dxa"/>
        <w:jc w:val="left"/>
        <w:tblInd w:w="48" w:type="dxa"/>
        <w:tblLayout w:type="fixed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19"/>
        <w:gridCol w:w="2295"/>
        <w:gridCol w:w="2201"/>
        <w:gridCol w:w="1468"/>
        <w:gridCol w:w="2551"/>
        <w:gridCol w:w="1937"/>
        <w:gridCol w:w="1814"/>
        <w:gridCol w:w="2189"/>
      </w:tblGrid>
      <w:tr>
        <w:trPr/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ind w:hanging="1" w:left="72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№</w:t>
            </w:r>
          </w:p>
          <w:p>
            <w:pPr>
              <w:pStyle w:val="Normal"/>
              <w:widowControl w:val="false"/>
              <w:ind w:hanging="1" w:left="72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з/п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Завдання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Перелік заходів Програми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Терміни виконання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Виконавці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Джерела фінансування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Орієнтовні обсяги фінансування,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тис. грн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  <w:color w:val="000000"/>
              </w:rPr>
              <w:t>Результативні показники</w:t>
            </w:r>
          </w:p>
        </w:tc>
      </w:tr>
      <w:tr>
        <w:trPr>
          <w:trHeight w:val="1117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1.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Розвиток міжнародного співробітництва, співпраця з дипломатичними установами, представництвами міжнародних організацій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461" w:leader="none"/>
              </w:tabs>
              <w:rPr/>
            </w:pPr>
            <w:r>
              <w:rPr>
                <w:rFonts w:ascii="Times New Roman" w:hAnsi="Times New Roman"/>
                <w:color w:val="000000"/>
              </w:rPr>
              <w:t>1.1. Організаційне забезпечення візитів офіційних делегацій Луцької міської територіальної громади за кордон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hanging="1" w:left="-53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Протягом 2026–2028 років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 xml:space="preserve">Управління міжнародного співробітництва та проектної діяльності, </w:t>
            </w:r>
            <w:hyperlink r:id="rId5">
              <w:r>
                <w:rPr>
                  <w:rStyle w:val="Style8"/>
                  <w:rFonts w:ascii="Times New Roman" w:hAnsi="Times New Roman"/>
                  <w:color w:val="000000"/>
                </w:rPr>
                <w:t>господарсько-технічний відділ</w:t>
              </w:r>
            </w:hyperlink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2026 – 100,0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2027 – 100,0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2028 – 110,0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Реалізація положень підписаних угод, поглиблення партнерства з іноземними містами та регіонами. Налагодження контактів з новими закордонними громадами</w:t>
            </w:r>
          </w:p>
        </w:tc>
      </w:tr>
      <w:tr>
        <w:trPr/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1.2. Організація прийомів іноземних делегацій із партнерських та дружніх міст і регіонів, представників дипломатичного корпусу та міжнародних організацій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hanging="1" w:left="-53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Протягом 2026–2028 років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2026 – 110,0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2027 – 110,0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2028 – 120,0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Ознайомлення іноземних гостей з Луцькою міською територіальною громадою, підтримка партнерських відносин, налагодження нових контактів</w:t>
            </w:r>
          </w:p>
        </w:tc>
      </w:tr>
      <w:tr>
        <w:trPr>
          <w:trHeight w:val="2111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-108" w:leader="none"/>
                <w:tab w:val="left" w:pos="167" w:leader="none"/>
              </w:tabs>
              <w:ind w:hanging="113" w:left="-1"/>
              <w:rPr/>
            </w:pPr>
            <w:r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1.3. Розробка та</w:t>
            </w:r>
            <w:r>
              <w:rPr>
                <w:rFonts w:ascii="Times New Roman" w:hAnsi="Times New Roman"/>
              </w:rPr>
              <w:t xml:space="preserve"> закупівля </w:t>
            </w:r>
            <w:r>
              <w:rPr>
                <w:rFonts w:ascii="Times New Roman" w:hAnsi="Times New Roman"/>
                <w:color w:val="000000"/>
              </w:rPr>
              <w:t>промоційних матеріалів та сувенірів про місто Луцьк та Луцьку міську територіальну громаду англійською мовою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-108" w:leader="none"/>
                <w:tab w:val="left" w:pos="167" w:leader="none"/>
              </w:tabs>
              <w:ind w:hanging="113" w:left="-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hanging="1" w:left="-53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Протягом 2026–2028 років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діяльності,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управління туризму та промоції міста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2026 – 90,0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2027 – 100,0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2028 – 100,0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Ознайомлення іноземних гостей з символікою громади,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створення та підтримка позитивного іміджу громади</w:t>
            </w:r>
          </w:p>
        </w:tc>
      </w:tr>
      <w:tr>
        <w:trPr>
          <w:trHeight w:val="150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-108" w:leader="none"/>
                <w:tab w:val="left" w:pos="167" w:leader="none"/>
              </w:tabs>
              <w:ind w:firstLine="29" w:left="-1"/>
              <w:rPr/>
            </w:pPr>
            <w:r>
              <w:rPr>
                <w:rFonts w:ascii="Times New Roman" w:hAnsi="Times New Roman"/>
                <w:color w:val="000000"/>
              </w:rPr>
              <w:t>1.4. Забезпечення дод</w:t>
            </w:r>
            <w:r>
              <w:rPr>
                <w:rFonts w:ascii="Times New Roman" w:hAnsi="Times New Roman"/>
              </w:rPr>
              <w:t>атков</w:t>
            </w:r>
            <w:r>
              <w:rPr>
                <w:rFonts w:ascii="Times New Roman" w:hAnsi="Times New Roman"/>
                <w:color w:val="000000"/>
              </w:rPr>
              <w:t>ого перекладу (усного, письмового) в межах офіційних заходів, ділової комунікації, підготовки проєктних заявок, впровадження проєктів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hanging="1" w:left="-53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Протягом 2026–2028 років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2026 – 50,0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2027 – 60,0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2028 – 60,0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Безперешкодна комунікація з іноземними установами, міжнародними фондами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>
          <w:trHeight w:val="1695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495" w:leader="none"/>
              </w:tabs>
              <w:rPr/>
            </w:pPr>
            <w:r>
              <w:rPr>
                <w:rFonts w:ascii="Times New Roman" w:hAnsi="Times New Roman"/>
                <w:color w:val="000000"/>
              </w:rPr>
              <w:t>1.5. Сприяння проведенню іміджевих заходів міжнародного характеру в т.ч. в онлайн форматі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hanging="1" w:left="-53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Протягом 2026–2028 років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2026 – 70,0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2027 – 80,0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2028 – 90,0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 xml:space="preserve">Забезпечення міжнародної </w:t>
            </w:r>
            <w:r>
              <w:rPr>
                <w:rFonts w:ascii="Times New Roman" w:hAnsi="Times New Roman"/>
              </w:rPr>
              <w:t xml:space="preserve">складової </w:t>
            </w:r>
            <w:r>
              <w:rPr>
                <w:rFonts w:ascii="Times New Roman" w:hAnsi="Times New Roman"/>
                <w:color w:val="000000"/>
              </w:rPr>
              <w:t>заходів, які визначені як іміджеві у громаді та плануються як міжнародні</w:t>
            </w:r>
          </w:p>
        </w:tc>
      </w:tr>
      <w:tr>
        <w:trPr>
          <w:trHeight w:val="870" w:hRule="atLeast"/>
        </w:trPr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2.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Реалізація державної політики у сфері євроінтеграції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495" w:leader="none"/>
              </w:tabs>
              <w:rPr/>
            </w:pPr>
            <w:r>
              <w:rPr>
                <w:rFonts w:ascii="Times New Roman" w:hAnsi="Times New Roman"/>
                <w:color w:val="000000"/>
              </w:rPr>
              <w:t xml:space="preserve">Проведення заходів на тему європейської інтеграції, </w:t>
            </w:r>
            <w:r>
              <w:rPr>
                <w:rFonts w:ascii="Times New Roman" w:hAnsi="Times New Roman"/>
              </w:rPr>
              <w:t>зокрема в межах Дня Європи в Україні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hanging="1" w:left="-53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Протягом 2026–2028 років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bookmarkStart w:id="0" w:name="__DdeLink__482_3211486512"/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діяльності, департамент культури, департамент освіти, департамент молоді та спорту, управління інформаційної роботи</w:t>
            </w:r>
            <w:bookmarkEnd w:id="0"/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2026 – 50,0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2027 – 70,0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2028 – 70,0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Зміцнення громадської підтримки євроінтеграційного курсу України на місцевому рівні</w:t>
            </w:r>
          </w:p>
        </w:tc>
      </w:tr>
      <w:tr>
        <w:trPr>
          <w:trHeight w:val="551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720" w:leader="none"/>
              </w:tabs>
              <w:ind w:hanging="1" w:left="72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3.</w:t>
            </w:r>
          </w:p>
        </w:tc>
        <w:tc>
          <w:tcPr>
            <w:tcW w:w="22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Залучення міжнародної технічної та державної допомоги, реалізація транскордонних і міжнародних грантових проєктів, забезпечення сталості реалізованих проєктів</w:t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3.1. Розробка</w:t>
            </w:r>
            <w:r>
              <w:rPr>
                <w:rFonts w:ascii="Times New Roman" w:hAnsi="Times New Roman"/>
              </w:rPr>
              <w:t>, подання на грантові конкурси від виконавчого комітету Луцької міської ради проєктів</w:t>
            </w:r>
            <w:r>
              <w:rPr>
                <w:rFonts w:ascii="Times New Roman" w:hAnsi="Times New Roman"/>
                <w:color w:val="000000"/>
              </w:rPr>
              <w:t xml:space="preserve"> міжнародної технічної та державної допомоги, адміністрування, </w:t>
            </w:r>
            <w:r>
              <w:rPr>
                <w:rFonts w:ascii="Times New Roman" w:hAnsi="Times New Roman"/>
              </w:rPr>
              <w:t>супровід проєктів</w:t>
            </w:r>
            <w:r>
              <w:rPr>
                <w:rFonts w:ascii="Times New Roman" w:hAnsi="Times New Roman"/>
                <w:color w:val="000000"/>
              </w:rPr>
              <w:t xml:space="preserve"> (дослідження, ПКД, послуги </w:t>
            </w:r>
            <w:r>
              <w:rPr>
                <w:rFonts w:ascii="Times New Roman" w:hAnsi="Times New Roman"/>
              </w:rPr>
              <w:t xml:space="preserve">незалежних експертів, аудит, стратегічна екологічна оцінка), підтримка результатів проєктів (ремонт, заміна </w:t>
            </w:r>
            <w:bookmarkStart w:id="1" w:name="__DdeLink__653_2403243139"/>
            <w:r>
              <w:rPr>
                <w:rFonts w:ascii="Times New Roman" w:hAnsi="Times New Roman"/>
              </w:rPr>
              <w:t>комплектуючих</w:t>
            </w:r>
            <w:bookmarkEnd w:id="1"/>
            <w:r>
              <w:rPr>
                <w:rFonts w:ascii="Times New Roman" w:hAnsi="Times New Roman"/>
              </w:rPr>
              <w:t xml:space="preserve"> для закуплених в межах проєкту товарів та інше)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hanging="1" w:left="-53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Протягом 2026–2028 років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2026 – 200,0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2027 – 250,0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2028 – 300,0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 xml:space="preserve">Комплексно підготовлені проєктні заявки для подачі на грантові конкурси, </w:t>
            </w:r>
            <w:r>
              <w:rPr>
                <w:rFonts w:ascii="Times New Roman" w:hAnsi="Times New Roman"/>
              </w:rPr>
              <w:t>якісно реалізовані проєкти, забезпечено підтримку результатів проєктів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</w:tr>
      <w:tr>
        <w:trPr>
          <w:trHeight w:val="417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3.2. </w:t>
            </w:r>
            <w:r>
              <w:rPr>
                <w:rFonts w:ascii="Times New Roman" w:hAnsi="Times New Roman"/>
              </w:rPr>
              <w:t xml:space="preserve">Забезпечення фінансового внеску в </w:t>
            </w:r>
            <w:r>
              <w:rPr>
                <w:rFonts w:ascii="Times New Roman" w:hAnsi="Times New Roman"/>
                <w:color w:val="000000"/>
              </w:rPr>
              <w:t>реалізацію</w:t>
            </w:r>
            <w:r>
              <w:rPr>
                <w:rFonts w:ascii="Times New Roman" w:hAnsi="Times New Roman"/>
              </w:rPr>
              <w:t xml:space="preserve"> потенційних </w:t>
            </w:r>
            <w:r>
              <w:rPr>
                <w:rFonts w:ascii="Times New Roman" w:hAnsi="Times New Roman"/>
                <w:color w:val="000000"/>
              </w:rPr>
              <w:t xml:space="preserve">  проєктів міжнародної технічної та державної допомоги відповідно до грантових угод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hanging="1" w:left="-53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Протягом 2026–2028 років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2026 – 1 000,0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2027 – 1 000,0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2028 – 1 000,0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Впровадження проєктів міжнародної технічної та державної допомоги</w:t>
            </w:r>
          </w:p>
        </w:tc>
      </w:tr>
      <w:tr>
        <w:trPr>
          <w:trHeight w:val="705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 xml:space="preserve">3.3. Організація навчань, участь у навчаннях, заходах з підвищення кваліфікації працівників з метою розвитку кадрового потенціалу та формування </w:t>
            </w:r>
            <w:r>
              <w:rPr>
                <w:rFonts w:ascii="Times New Roman" w:hAnsi="Times New Roman"/>
              </w:rPr>
              <w:t>команди</w:t>
            </w:r>
            <w:r>
              <w:rPr>
                <w:rFonts w:ascii="Times New Roman" w:hAnsi="Times New Roman"/>
                <w:color w:val="000000"/>
              </w:rPr>
              <w:t xml:space="preserve"> ефективних спеціалістів і проєктних менеджерів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hanging="1" w:left="-53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Протягом 2026–2028 років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2026 – 40,0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2027 – 50,0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2028 – 50,0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709" w:leader="none"/>
              </w:tabs>
              <w:jc w:val="both"/>
              <w:rPr/>
            </w:pPr>
            <w:r>
              <w:rPr>
                <w:rFonts w:ascii="Times New Roman" w:hAnsi="Times New Roman"/>
              </w:rPr>
              <w:t>Розвиток кадрового потенціалу</w:t>
            </w:r>
          </w:p>
          <w:p>
            <w:pPr>
              <w:pStyle w:val="Normal"/>
              <w:widowControl w:val="false"/>
              <w:tabs>
                <w:tab w:val="left" w:pos="709" w:leader="none"/>
              </w:tabs>
              <w:jc w:val="both"/>
              <w:rPr/>
            </w:pPr>
            <w:r>
              <w:rPr>
                <w:rFonts w:ascii="Times New Roman" w:hAnsi="Times New Roman"/>
              </w:rPr>
              <w:t xml:space="preserve">та формування команди ефективних </w:t>
            </w:r>
            <w:r>
              <w:rPr>
                <w:rFonts w:ascii="Times New Roman" w:hAnsi="Times New Roman"/>
                <w:color w:val="000000"/>
              </w:rPr>
              <w:t xml:space="preserve">спеціалістів і </w:t>
            </w:r>
            <w:r>
              <w:rPr>
                <w:rFonts w:ascii="Times New Roman" w:hAnsi="Times New Roman"/>
              </w:rPr>
              <w:t>проєктних менеджерів</w:t>
            </w:r>
          </w:p>
        </w:tc>
      </w:tr>
      <w:tr>
        <w:trPr>
          <w:trHeight w:val="263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3.4. Впровадження проєкту «Міста нуль відходів в Україні», затвердженого до фінансування в межах програми LIFE (витрати на заробітну плату персоналу проєкту, транспортні витрати)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4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hanging="1" w:left="-53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Протягом 2026–2028 років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 xml:space="preserve">Управління міжнародного співробітництва та проектної діяльності, відділ екології, ДЖКГ, ЛСКАП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color w:val="000000"/>
              </w:rPr>
              <w:t>Луцькспец-комунтранс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2026 – 50,0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2027 – 190,0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2028 – 30,0</w:t>
            </w:r>
          </w:p>
        </w:tc>
        <w:tc>
          <w:tcPr>
            <w:tcW w:w="21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709" w:leader="none"/>
              </w:tabs>
              <w:rPr/>
            </w:pPr>
            <w:r>
              <w:rPr>
                <w:rFonts w:ascii="Times New Roman" w:hAnsi="Times New Roman"/>
              </w:rPr>
              <w:t>Розробка стратегії управління відходами для Луцької міської територіальної громади, що базується на принципах «Нуль відходів»,</w:t>
            </w:r>
          </w:p>
          <w:p>
            <w:pPr>
              <w:pStyle w:val="Normal"/>
              <w:widowControl w:val="false"/>
              <w:tabs>
                <w:tab w:val="left" w:pos="709" w:leader="none"/>
              </w:tabs>
              <w:rPr/>
            </w:pPr>
            <w:r>
              <w:rPr>
                <w:rFonts w:ascii="Times New Roman" w:hAnsi="Times New Roman"/>
                <w:szCs w:val="28"/>
              </w:rPr>
              <w:t>проведення оцінки поточного стану сис</w:t>
            </w:r>
            <w:r>
              <w:rPr>
                <w:rFonts w:ascii="Times New Roman" w:hAnsi="Times New Roman"/>
              </w:rPr>
              <w:t xml:space="preserve">теми управління відходами </w:t>
            </w:r>
            <w:r>
              <w:rPr>
                <w:rFonts w:eastAsia="Arial Unicode MS" w:cs="Mangal" w:ascii="Times New Roman" w:hAnsi="Times New Roman"/>
              </w:rPr>
              <w:t xml:space="preserve">у Луцькій міській територіальній громаді, </w:t>
            </w:r>
            <w:r>
              <w:rPr>
                <w:rFonts w:ascii="Times New Roman" w:hAnsi="Times New Roman"/>
              </w:rPr>
              <w:t xml:space="preserve"> налагодження співробітництва між Луцькою міською територіальною громадою</w:t>
            </w:r>
          </w:p>
          <w:p>
            <w:pPr>
              <w:pStyle w:val="Normal"/>
              <w:widowControl w:val="false"/>
              <w:tabs>
                <w:tab w:val="left" w:pos="709" w:leader="none"/>
              </w:tabs>
              <w:jc w:val="both"/>
              <w:rPr/>
            </w:pPr>
            <w:r>
              <w:rPr>
                <w:rFonts w:ascii="Times New Roman" w:hAnsi="Times New Roman"/>
              </w:rPr>
              <w:t>та міжнародними учасниками проєкту</w:t>
            </w:r>
          </w:p>
        </w:tc>
      </w:tr>
      <w:tr>
        <w:trPr>
          <w:trHeight w:val="2632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14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ind w:hanging="1" w:left="-53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Грантові кошти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2026 – 500,0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2027 – 1 900,0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  <w:lang w:val="en-US"/>
              </w:rPr>
              <w:t>2028 – 300,0</w:t>
            </w:r>
          </w:p>
        </w:tc>
        <w:tc>
          <w:tcPr>
            <w:tcW w:w="218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709" w:leader="none"/>
              </w:tabs>
              <w:rPr/>
            </w:pPr>
            <w:r>
              <w:rPr/>
            </w:r>
          </w:p>
        </w:tc>
      </w:tr>
      <w:tr>
        <w:trPr>
          <w:trHeight w:val="2632" w:hRule="atLeast"/>
        </w:trPr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 xml:space="preserve">3.5. Впровадження проєкту «Промені життя: гістероскопія для здорового майбутнього в Луцьку», затвердженого до фінансування в межах Програми «Фонд малих проєктів з політики розвитку територіальних громад» (KPF 2025), зокрема витрати на </w:t>
            </w:r>
            <w:r>
              <w:rPr>
                <w:rFonts w:ascii="Times New Roman" w:hAnsi="Times New Roman"/>
                <w:iCs/>
              </w:rPr>
              <w:t>аудит проєкту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1" w:left="-53"/>
              <w:jc w:val="center"/>
              <w:rPr/>
            </w:pPr>
            <w:r>
              <w:rPr>
                <w:rFonts w:ascii="Times New Roman" w:hAnsi="Times New Roman"/>
                <w:color w:val="000000"/>
              </w:rPr>
              <w:t>І квартал 2026 року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Управління міжнародного співробітництва та проектної діяльності, управління охорони здоров’я, КП «Медичне об’єднання Луцької міської територіальної громади»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Грантові кошти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 xml:space="preserve">2026 </w:t>
            </w:r>
            <w:r>
              <w:rPr>
                <w:rFonts w:ascii="Times New Roman" w:hAnsi="Times New Roman"/>
                <w:color w:val="000000"/>
              </w:rPr>
              <w:t>–50,0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709" w:leader="none"/>
              </w:tabs>
              <w:rPr/>
            </w:pPr>
            <w:r>
              <w:rPr>
                <w:rFonts w:ascii="Times New Roman" w:hAnsi="Times New Roman"/>
              </w:rPr>
              <w:t>Проведено аудит проєкту.</w:t>
            </w:r>
          </w:p>
        </w:tc>
      </w:tr>
      <w:tr>
        <w:trPr>
          <w:trHeight w:val="685" w:hRule="atLeast"/>
        </w:trPr>
        <w:tc>
          <w:tcPr>
            <w:tcW w:w="6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9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spacing w:lineRule="auto" w:line="27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</w:tc>
        <w:tc>
          <w:tcPr>
            <w:tcW w:w="2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3.6. Впровадження проєкту «Модернізація теплоенергетичної інфраструктури для надання стабільних та ефективних комунальних послуг у Луцьку, Україна», затвердженого до фінансування з коштів Федерального міністерства економічного співробітництва та розвитку Німеччини (витрати на реалізацію заходів проєкту: закупівля обладнання, зокрема високоефективних газових котлів)</w:t>
            </w:r>
          </w:p>
        </w:tc>
        <w:tc>
          <w:tcPr>
            <w:tcW w:w="1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hanging="1" w:left="-53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І квартал 2026 року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Управління міжнародного співробітництва та проектної діяльності, ДКП «Луцьктепло»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Грантові кошти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</w:t>
            </w:r>
            <w:r>
              <w:rPr>
                <w:rFonts w:ascii="Times New Roman" w:hAnsi="Times New Roman"/>
                <w:color w:val="000000"/>
              </w:rPr>
              <w:t xml:space="preserve"> –</w:t>
            </w:r>
            <w:r>
              <w:rPr>
                <w:rFonts w:ascii="Times New Roman" w:hAnsi="Times New Roman"/>
              </w:rPr>
              <w:t>780,0</w:t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2026 </w:t>
            </w:r>
            <w:r>
              <w:rPr>
                <w:rFonts w:ascii="Times New Roman" w:hAnsi="Times New Roman"/>
                <w:color w:val="000000"/>
              </w:rPr>
              <w:t xml:space="preserve">– </w:t>
            </w:r>
            <w:r>
              <w:rPr>
                <w:rFonts w:ascii="Times New Roman" w:hAnsi="Times New Roman"/>
              </w:rPr>
              <w:t>12 820,0</w:t>
            </w:r>
          </w:p>
        </w:tc>
        <w:tc>
          <w:tcPr>
            <w:tcW w:w="2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left" w:pos="709" w:leader="none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Cs/>
              </w:rPr>
              <w:t>Покращення комунальної теплоенергетичної інфраструктури в Луцьку шляхом закупівлі нових високоефективних газових котлів для стабільного, безпечного й енергоощадного забезпечення населення теплом і гарячою водою.</w:t>
            </w:r>
          </w:p>
        </w:tc>
      </w:tr>
      <w:tr>
        <w:trPr>
          <w:trHeight w:val="450" w:hRule="atLeast"/>
        </w:trPr>
        <w:tc>
          <w:tcPr>
            <w:tcW w:w="91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/>
            </w:pPr>
            <w:r>
              <w:rPr>
                <w:rFonts w:ascii="Times New Roman" w:hAnsi="Times New Roman"/>
                <w:color w:val="000000"/>
              </w:rPr>
              <w:t>Всього:</w:t>
            </w:r>
          </w:p>
        </w:tc>
        <w:tc>
          <w:tcPr>
            <w:tcW w:w="1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Бюджет міської територіальної громади</w:t>
            </w:r>
          </w:p>
        </w:tc>
        <w:tc>
          <w:tcPr>
            <w:tcW w:w="40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2026 – 2 540,0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2027 – 2 010,0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  <w:lang w:val="en-US"/>
              </w:rPr>
              <w:t>2028 – 1 930,0</w:t>
            </w:r>
          </w:p>
        </w:tc>
      </w:tr>
      <w:tr>
        <w:trPr>
          <w:trHeight w:val="450" w:hRule="atLeast"/>
        </w:trPr>
        <w:tc>
          <w:tcPr>
            <w:tcW w:w="9134" w:type="dxa"/>
            <w:gridSpan w:val="5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193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Грантові кошти</w:t>
            </w:r>
          </w:p>
        </w:tc>
        <w:tc>
          <w:tcPr>
            <w:tcW w:w="40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</w:rPr>
              <w:t>2026 – 13 370,0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</w:rPr>
              <w:t>2027 – 1 900,0</w:t>
            </w:r>
          </w:p>
          <w:p>
            <w:pPr>
              <w:pStyle w:val="Normal"/>
              <w:widowControl w:val="false"/>
              <w:rPr/>
            </w:pPr>
            <w:r>
              <w:rPr>
                <w:rFonts w:ascii="Times New Roman" w:hAnsi="Times New Roman"/>
                <w:color w:val="000000"/>
                <w:lang w:val="en-US"/>
              </w:rPr>
              <w:t>2028 – 300,0</w:t>
            </w:r>
          </w:p>
        </w:tc>
      </w:tr>
    </w:tbl>
    <w:p>
      <w:pPr>
        <w:pStyle w:val="Normal"/>
        <w:spacing w:before="0" w:after="0"/>
        <w:ind w:right="227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Normal"/>
        <w:spacing w:before="0" w:after="0"/>
        <w:ind w:right="227"/>
        <w:contextualSpacing/>
        <w:jc w:val="both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</w:r>
    </w:p>
    <w:p>
      <w:pPr>
        <w:pStyle w:val="Normal"/>
        <w:spacing w:before="0" w:after="0"/>
        <w:ind w:right="227"/>
        <w:contextualSpacing/>
        <w:jc w:val="both"/>
        <w:rPr/>
      </w:pPr>
      <w:r>
        <w:rPr>
          <w:rFonts w:ascii="Times New Roman" w:hAnsi="Times New Roman"/>
          <w:color w:val="000000"/>
          <w:sz w:val="22"/>
          <w:szCs w:val="22"/>
        </w:rPr>
        <w:t>Вінцюк 777 995</w:t>
      </w:r>
    </w:p>
    <w:sectPr>
      <w:headerReference w:type="even" r:id="rId6"/>
      <w:headerReference w:type="default" r:id="rId7"/>
      <w:headerReference w:type="first" r:id="rId8"/>
      <w:type w:val="nextPage"/>
      <w:pgSz w:orient="landscape" w:w="16838" w:h="11906"/>
      <w:pgMar w:left="1134" w:right="567" w:gutter="0" w:header="0" w:top="1985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>
        <w:rFonts w:ascii="Times New Roman" w:hAnsi="Times New Roman"/>
        <w:sz w:val="28"/>
        <w:szCs w:val="28"/>
      </w:rPr>
      <w:fldChar w:fldCharType="begin"/>
    </w:r>
    <w:r>
      <w:rPr>
        <w:sz w:val="28"/>
        <w:szCs w:val="28"/>
        <w:rFonts w:ascii="Times New Roman" w:hAnsi="Times New Roman"/>
      </w:rPr>
      <w:instrText xml:space="preserve"> PAGE </w:instrText>
    </w:r>
    <w:r>
      <w:rPr>
        <w:sz w:val="28"/>
        <w:szCs w:val="28"/>
        <w:rFonts w:ascii="Times New Roman" w:hAnsi="Times New Roman"/>
      </w:rPr>
      <w:fldChar w:fldCharType="separate"/>
    </w:r>
    <w:r>
      <w:rPr>
        <w:sz w:val="28"/>
        <w:szCs w:val="28"/>
        <w:rFonts w:ascii="Times New Roman" w:hAnsi="Times New Roman"/>
      </w:rPr>
      <w:t>2</w:t>
    </w:r>
    <w:r>
      <w:rPr>
        <w:sz w:val="28"/>
        <w:szCs w:val="28"/>
        <w:rFonts w:ascii="Times New Roman" w:hAnsi="Times New Roman"/>
      </w:rPr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>
        <w:rFonts w:ascii="Times New Roman" w:hAnsi="Times New Roman"/>
        <w:sz w:val="28"/>
        <w:szCs w:val="28"/>
      </w:rPr>
      <w:fldChar w:fldCharType="begin"/>
    </w:r>
    <w:r>
      <w:rPr>
        <w:sz w:val="28"/>
        <w:szCs w:val="28"/>
        <w:rFonts w:ascii="Times New Roman" w:hAnsi="Times New Roman"/>
      </w:rPr>
      <w:instrText xml:space="preserve"> PAGE </w:instrText>
    </w:r>
    <w:r>
      <w:rPr>
        <w:sz w:val="28"/>
        <w:szCs w:val="28"/>
        <w:rFonts w:ascii="Times New Roman" w:hAnsi="Times New Roman"/>
      </w:rPr>
      <w:fldChar w:fldCharType="separate"/>
    </w:r>
    <w:r>
      <w:rPr>
        <w:sz w:val="28"/>
        <w:szCs w:val="28"/>
        <w:rFonts w:ascii="Times New Roman" w:hAnsi="Times New Roman"/>
      </w:rPr>
      <w:t>2</w:t>
    </w:r>
    <w:r>
      <w:rPr>
        <w:sz w:val="28"/>
        <w:szCs w:val="28"/>
        <w:rFonts w:ascii="Times New Roman" w:hAnsi="Times New Roman"/>
      </w:rPr>
      <w:fldChar w:fldCharType="end"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>
        <w:rFonts w:ascii="Times New Roman" w:hAnsi="Times New Roman"/>
        <w:sz w:val="28"/>
        <w:szCs w:val="28"/>
      </w:rPr>
      <w:fldChar w:fldCharType="begin"/>
    </w:r>
    <w:r>
      <w:rPr>
        <w:sz w:val="28"/>
        <w:szCs w:val="28"/>
        <w:rFonts w:ascii="Times New Roman" w:hAnsi="Times New Roman"/>
      </w:rPr>
      <w:instrText xml:space="preserve"> PAGE </w:instrText>
    </w:r>
    <w:r>
      <w:rPr>
        <w:sz w:val="28"/>
        <w:szCs w:val="28"/>
        <w:rFonts w:ascii="Times New Roman" w:hAnsi="Times New Roman"/>
      </w:rPr>
      <w:fldChar w:fldCharType="separate"/>
    </w:r>
    <w:r>
      <w:rPr>
        <w:sz w:val="28"/>
        <w:szCs w:val="28"/>
        <w:rFonts w:ascii="Times New Roman" w:hAnsi="Times New Roman"/>
      </w:rPr>
      <w:t>10</w:t>
    </w:r>
    <w:r>
      <w:rPr>
        <w:sz w:val="28"/>
        <w:szCs w:val="28"/>
        <w:rFonts w:ascii="Times New Roman" w:hAnsi="Times New Roman"/>
      </w:rPr>
      <w:fldChar w:fldCharType="end"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/>
    </w:r>
  </w:p>
  <w:p>
    <w:pPr>
      <w:pStyle w:val="Normal"/>
      <w:jc w:val="center"/>
      <w:rPr/>
    </w:pPr>
    <w:r>
      <w:rPr>
        <w:rFonts w:ascii="Times New Roman" w:hAnsi="Times New Roman"/>
        <w:sz w:val="28"/>
        <w:szCs w:val="28"/>
      </w:rPr>
      <w:fldChar w:fldCharType="begin"/>
    </w:r>
    <w:r>
      <w:rPr>
        <w:sz w:val="28"/>
        <w:szCs w:val="28"/>
        <w:rFonts w:ascii="Times New Roman" w:hAnsi="Times New Roman"/>
      </w:rPr>
      <w:instrText xml:space="preserve"> PAGE </w:instrText>
    </w:r>
    <w:r>
      <w:rPr>
        <w:sz w:val="28"/>
        <w:szCs w:val="28"/>
        <w:rFonts w:ascii="Times New Roman" w:hAnsi="Times New Roman"/>
      </w:rPr>
      <w:fldChar w:fldCharType="separate"/>
    </w:r>
    <w:r>
      <w:rPr>
        <w:sz w:val="28"/>
        <w:szCs w:val="28"/>
        <w:rFonts w:ascii="Times New Roman" w:hAnsi="Times New Roman"/>
      </w:rPr>
      <w:t>10</w:t>
    </w:r>
    <w:r>
      <w:rPr>
        <w:sz w:val="28"/>
        <w:szCs w:val="28"/>
        <w:rFonts w:ascii="Times New Roman" w:hAnsi="Times New Roman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0"/>
  <w:defaultTabStop w:val="709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user"/>
    <w:next w:val="BodyText"/>
    <w:uiPriority w:val="9"/>
    <w:qFormat/>
    <w:pPr>
      <w:numPr>
        <w:ilvl w:val="0"/>
        <w:numId w:val="1"/>
      </w:numPr>
      <w:outlineLvl w:val="0"/>
    </w:pPr>
    <w:rPr>
      <w:rFonts w:ascii="Liberation Serif" w:hAnsi="Liberation Serif" w:eastAsia="NSimSun"/>
      <w:b/>
      <w:bCs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Times New Roman" w:hAnsi="Times New Roman" w:cs="Times New Roman"/>
      <w:b/>
      <w:color w:val="000000"/>
      <w:sz w:val="28"/>
      <w:szCs w:val="28"/>
      <w:lang w:val="uk-UA"/>
    </w:rPr>
  </w:style>
  <w:style w:type="character" w:styleId="Hyperlink">
    <w:name w:val="Hyperlink"/>
    <w:qFormat/>
    <w:rPr>
      <w:color w:val="000080"/>
      <w:u w:val="single"/>
    </w:rPr>
  </w:style>
  <w:style w:type="character" w:styleId="Emphasis">
    <w:name w:val="Emphasis"/>
    <w:qFormat/>
    <w:rPr>
      <w:i/>
      <w:iCs/>
    </w:rPr>
  </w:style>
  <w:style w:type="character" w:styleId="Style13" w:customStyle="1">
    <w:name w:val="Нижній колонтитул Знак"/>
    <w:basedOn w:val="DefaultParagraphFont"/>
    <w:uiPriority w:val="99"/>
    <w:qFormat/>
    <w:rsid w:val="00ef39aa"/>
    <w:rPr>
      <w:rFonts w:cs="Mangal"/>
      <w:sz w:val="24"/>
      <w:szCs w:val="21"/>
    </w:rPr>
  </w:style>
  <w:style w:type="paragraph" w:styleId="Style14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15" w:customStyle="1">
    <w:name w:val="Покажчик"/>
    <w:basedOn w:val="Normal"/>
    <w:qFormat/>
    <w:pPr>
      <w:suppressLineNumbers/>
    </w:pPr>
    <w:rPr/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qFormat/>
    <w:pPr>
      <w:suppressLineNumbers/>
    </w:pPr>
    <w:rPr/>
  </w:style>
  <w:style w:type="paragraph" w:styleId="user2" w:customStyle="1">
    <w:name w:val="Вміст таблиці (user)"/>
    <w:basedOn w:val="Normal"/>
    <w:qFormat/>
    <w:pPr>
      <w:suppressLineNumbers/>
    </w:pPr>
    <w:rPr/>
  </w:style>
  <w:style w:type="paragraph" w:styleId="user3" w:customStyle="1">
    <w:name w:val="Заголовок таблиці (user)"/>
    <w:basedOn w:val="user2"/>
    <w:qFormat/>
    <w:pPr>
      <w:jc w:val="center"/>
    </w:pPr>
    <w:rPr>
      <w:b/>
      <w:bCs/>
    </w:rPr>
  </w:style>
  <w:style w:type="paragraph" w:styleId="HTMLPreformatted">
    <w:name w:val="HTML Preformatted"/>
    <w:basedOn w:val="Normal"/>
    <w:qFormat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1" w:customStyle="1">
    <w:name w:val="Обычный (веб)1"/>
    <w:basedOn w:val="Normal"/>
    <w:qFormat/>
    <w:pPr>
      <w:spacing w:before="280" w:after="280"/>
      <w:textAlignment w:val="top"/>
    </w:pPr>
    <w:rPr/>
  </w:style>
  <w:style w:type="paragraph" w:styleId="user4" w:customStyle="1">
    <w:name w:val="Верхній і нижній колонтитули (user)"/>
    <w:basedOn w:val="Normal"/>
    <w:qFormat/>
    <w:pPr>
      <w:suppressLineNumbers/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16" w:customStyle="1">
    <w:name w:val="Верхній і нижній колонтитули"/>
    <w:basedOn w:val="Normal"/>
    <w:qFormat/>
    <w:pPr/>
    <w:rPr/>
  </w:style>
  <w:style w:type="paragraph" w:styleId="Header">
    <w:name w:val="header"/>
    <w:basedOn w:val="user4"/>
    <w:pPr/>
    <w:rPr/>
  </w:style>
  <w:style w:type="paragraph" w:styleId="Footer">
    <w:name w:val="footer"/>
    <w:basedOn w:val="Normal"/>
    <w:link w:val="Style13"/>
    <w:uiPriority w:val="99"/>
    <w:unhideWhenUsed/>
    <w:rsid w:val="00ef39aa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numbering" w:styleId="user5" w:customStyle="1">
    <w:name w:val="Без маркерів (user)"/>
    <w:uiPriority w:val="99"/>
    <w:semiHidden/>
    <w:unhideWhenUsed/>
    <w:qFormat/>
  </w:style>
  <w:style w:type="numbering" w:styleId="WW8Num2" w:customStyle="1">
    <w:name w:val="WW8Num2"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yperlink" Target="https://www.lutskrada.gov.ua/departments/hospodarsko-tekhnichnyi-viddil" TargetMode="External"/><Relationship Id="rId6" Type="http://schemas.openxmlformats.org/officeDocument/2006/relationships/header" Target="header4.xml"/><Relationship Id="rId7" Type="http://schemas.openxmlformats.org/officeDocument/2006/relationships/header" Target="header5.xml"/><Relationship Id="rId8" Type="http://schemas.openxmlformats.org/officeDocument/2006/relationships/header" Target="header6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274BD-7215-402E-916F-10D802035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Application>LibreOffice/25.2.7.2$Windows_X86_64 LibreOffice_project/5cbfd1ab6520636bb5f7b99185aa69bd7456825d</Application>
  <AppVersion>15.0000</AppVersion>
  <Pages>10</Pages>
  <Words>6144</Words>
  <Characters>3503</Characters>
  <CharactersWithSpaces>9628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2023-09-06T09:03:00Z</dcterms:created>
  <dc:creator/>
  <dc:description/>
  <dc:language>uk-UA</dc:language>
  <cp:lastModifiedBy/>
  <cp:lastPrinted>2023-09-07T09:18:00Z</cp:lastPrinted>
  <dcterms:modified xsi:type="dcterms:W3CDTF">2025-12-17T13:39:08Z</dcterms:modified>
  <cp:revision>148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