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212"/>
        <w:ind w:firstLine="11057" w:right="820"/>
        <w:rPr>
          <w:szCs w:val="28"/>
        </w:rPr>
      </w:pPr>
      <w:r>
        <w:rPr>
          <w:szCs w:val="28"/>
        </w:rPr>
        <w:t xml:space="preserve">Додаток 2 </w:t>
      </w:r>
    </w:p>
    <w:p>
      <w:pPr>
        <w:pStyle w:val="212"/>
        <w:ind w:left="11057" w:right="820"/>
        <w:rPr/>
      </w:pPr>
      <w:r>
        <w:rPr>
          <w:szCs w:val="28"/>
        </w:rPr>
        <w:t xml:space="preserve">до </w:t>
      </w:r>
      <w:r>
        <w:rPr/>
        <w:t>Програми розвитку цивільного захисту Луцької міської територіальної громади на 2026–2030 роки</w:t>
      </w:r>
    </w:p>
    <w:p>
      <w:pPr>
        <w:pStyle w:val="Normal"/>
        <w:jc w:val="both"/>
        <w:rPr>
          <w:szCs w:val="28"/>
        </w:rPr>
      </w:pPr>
      <w:r>
        <w:rPr>
          <w:bCs w:val="false"/>
          <w:szCs w:val="28"/>
        </w:rPr>
        <w:t xml:space="preserve">  </w:t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Перелік завдань, заходів та результативні показники</w:t>
      </w:r>
    </w:p>
    <w:p>
      <w:pPr>
        <w:pStyle w:val="Heading1"/>
        <w:numPr>
          <w:ilvl w:val="0"/>
          <w:numId w:val="2"/>
        </w:numPr>
        <w:rPr/>
      </w:pPr>
      <w:r>
        <w:rPr>
          <w:sz w:val="28"/>
          <w:szCs w:val="28"/>
        </w:rPr>
        <w:t>Програми розвитку цивільного захисту Луцької</w:t>
      </w:r>
      <w:r>
        <w:rPr>
          <w:sz w:val="28"/>
        </w:rPr>
        <w:t xml:space="preserve"> міської територіальної громади</w:t>
      </w:r>
    </w:p>
    <w:p>
      <w:pPr>
        <w:pStyle w:val="Heading1"/>
        <w:numPr>
          <w:ilvl w:val="0"/>
          <w:numId w:val="2"/>
        </w:numPr>
        <w:rPr/>
      </w:pPr>
      <w:r>
        <w:rPr>
          <w:sz w:val="28"/>
          <w:szCs w:val="28"/>
        </w:rPr>
        <w:t>на 2026–2030 роки</w:t>
      </w:r>
    </w:p>
    <w:p>
      <w:pPr>
        <w:pStyle w:val="Normal"/>
        <w:numPr>
          <w:ilvl w:val="0"/>
          <w:numId w:val="2"/>
        </w:numPr>
        <w:jc w:val="center"/>
        <w:rPr/>
      </w:pPr>
      <w:r>
        <w:rPr/>
      </w:r>
    </w:p>
    <w:tbl>
      <w:tblPr>
        <w:tblW w:w="16046" w:type="dxa"/>
        <w:jc w:val="left"/>
        <w:tblInd w:w="-165" w:type="dxa"/>
        <w:tblLayout w:type="fixed"/>
        <w:tblCellMar>
          <w:top w:w="0" w:type="dxa"/>
          <w:left w:w="5" w:type="dxa"/>
          <w:bottom w:w="0" w:type="dxa"/>
          <w:right w:w="98" w:type="dxa"/>
        </w:tblCellMar>
        <w:tblLook w:firstRow="1" w:noVBand="1" w:lastRow="0" w:firstColumn="1" w:lastColumn="0" w:noHBand="0" w:val="04a0"/>
      </w:tblPr>
      <w:tblGrid>
        <w:gridCol w:w="428"/>
        <w:gridCol w:w="2922"/>
        <w:gridCol w:w="2490"/>
        <w:gridCol w:w="1276"/>
        <w:gridCol w:w="1277"/>
        <w:gridCol w:w="990"/>
        <w:gridCol w:w="1136"/>
        <w:gridCol w:w="1274"/>
        <w:gridCol w:w="1136"/>
        <w:gridCol w:w="1144"/>
        <w:gridCol w:w="1971"/>
      </w:tblGrid>
      <w:tr>
        <w:trPr>
          <w:trHeight w:val="1244" w:hRule="atLeast"/>
          <w:cantSplit w:val="true"/>
        </w:trPr>
        <w:tc>
          <w:tcPr>
            <w:tcW w:w="42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rPr/>
            </w:pPr>
            <w:r>
              <w:rPr/>
              <w:t xml:space="preserve">№ </w:t>
            </w:r>
            <w:r>
              <w:rPr/>
              <w:t>з/п</w:t>
            </w:r>
          </w:p>
          <w:p>
            <w:pPr>
              <w:pStyle w:val="BodyText"/>
              <w:numPr>
                <w:ilvl w:val="0"/>
                <w:numId w:val="2"/>
              </w:numPr>
              <w:spacing w:before="0" w:after="120"/>
              <w:rPr/>
            </w:pPr>
            <w:r>
              <w:rPr/>
            </w:r>
          </w:p>
        </w:tc>
        <w:tc>
          <w:tcPr>
            <w:tcW w:w="292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Найменування заходів</w:t>
            </w:r>
          </w:p>
        </w:tc>
        <w:tc>
          <w:tcPr>
            <w:tcW w:w="24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27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  <w:tab w:val="left" w:pos="6350" w:leader="none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Джерело фінансу-вання</w:t>
            </w:r>
          </w:p>
        </w:tc>
        <w:tc>
          <w:tcPr>
            <w:tcW w:w="127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Обсяги фінан-сування</w:t>
            </w:r>
          </w:p>
          <w:p>
            <w:pPr>
              <w:pStyle w:val="BodyText"/>
              <w:numPr>
                <w:ilvl w:val="0"/>
                <w:numId w:val="2"/>
              </w:numPr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568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Графік проведення робіт (накопичення ресурсів)</w:t>
            </w:r>
          </w:p>
          <w:p>
            <w:pPr>
              <w:pStyle w:val="BodyText"/>
              <w:numPr>
                <w:ilvl w:val="0"/>
                <w:numId w:val="2"/>
              </w:num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(кількість / обсяги фінансування )</w:t>
            </w:r>
          </w:p>
          <w:p>
            <w:pPr>
              <w:pStyle w:val="BodyText"/>
              <w:numPr>
                <w:ilvl w:val="0"/>
                <w:numId w:val="2"/>
              </w:num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(од./тис.грн)</w:t>
            </w:r>
          </w:p>
        </w:tc>
        <w:tc>
          <w:tcPr>
            <w:tcW w:w="1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Результативні показники</w:t>
            </w:r>
          </w:p>
        </w:tc>
      </w:tr>
      <w:tr>
        <w:trPr>
          <w:cantSplit w:val="true"/>
        </w:trPr>
        <w:tc>
          <w:tcPr>
            <w:tcW w:w="42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2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49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27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2026 р.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2027 р.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2028 р.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2029 р.</w:t>
            </w:r>
          </w:p>
        </w:tc>
        <w:tc>
          <w:tcPr>
            <w:tcW w:w="1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2030 р.</w:t>
            </w:r>
          </w:p>
        </w:tc>
        <w:tc>
          <w:tcPr>
            <w:tcW w:w="1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556" w:hRule="atLeast"/>
        </w:trPr>
        <w:tc>
          <w:tcPr>
            <w:tcW w:w="1604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pacing w:before="114" w:after="1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І. Виконання протипожежних заходів в комунальних установах (закладах)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2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ind w:left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Облаштування систем протипожежної сигналізації в комунальних закладах: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spacing w:before="57" w:after="57"/>
              <w:ind w:left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охорони здоров'я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ind w:left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освіти</w:t>
            </w:r>
          </w:p>
        </w:tc>
        <w:tc>
          <w:tcPr>
            <w:tcW w:w="2490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охорони здоров'я, департамент освіти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Бюджет громади</w:t>
            </w:r>
          </w:p>
        </w:tc>
        <w:tc>
          <w:tcPr>
            <w:tcW w:w="1277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color w:val="CE181E"/>
                <w:sz w:val="24"/>
                <w:szCs w:val="24"/>
              </w:rPr>
            </w:pPr>
            <w:r>
              <w:rPr>
                <w:color w:val="CE181E"/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color w:val="CE181E"/>
                <w:sz w:val="24"/>
                <w:szCs w:val="24"/>
              </w:rPr>
            </w:pPr>
            <w:r>
              <w:rPr>
                <w:color w:val="CE181E"/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color w:val="CE181E"/>
                <w:sz w:val="24"/>
                <w:szCs w:val="24"/>
              </w:rPr>
            </w:pPr>
            <w:r>
              <w:rPr>
                <w:color w:val="CE181E"/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color w:val="CE181E"/>
                <w:sz w:val="24"/>
                <w:szCs w:val="24"/>
              </w:rPr>
            </w:pPr>
            <w:r>
              <w:rPr>
                <w:color w:val="CE181E"/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5 000,0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5 000,0</w:t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144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971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</w:tabs>
              <w:snapToGrid w:val="false"/>
              <w:spacing w:before="0" w:after="120"/>
              <w:ind w:left="1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Облаштування систем протипожежної сигналізації</w:t>
            </w:r>
          </w:p>
        </w:tc>
      </w:tr>
      <w:tr>
        <w:trPr>
          <w:trHeight w:val="1409" w:hRule="atLeast"/>
          <w:cantSplit w:val="true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  <w:tab w:val="left" w:pos="727" w:leader="none"/>
              </w:tabs>
              <w:snapToGrid w:val="false"/>
              <w:spacing w:before="57" w:after="57"/>
              <w:ind w:firstLine="18" w:left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Обробка вогнетривким розчином дерев'яних конструкцій горищ комунальних закладів освіти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  <w:tab w:val="left" w:pos="1584" w:leader="none"/>
              </w:tabs>
              <w:snapToGrid w:val="false"/>
              <w:spacing w:before="0" w:after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Департамент освіти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Бюджет громади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5 000,0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  <w:tab w:val="left" w:pos="142" w:leader="none"/>
              </w:tabs>
              <w:snapToGrid w:val="false"/>
              <w:spacing w:before="0" w:after="120"/>
              <w:ind w:lef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Оброблення вогнетривким розчином горищ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</w:tabs>
              <w:snapToGrid w:val="false"/>
              <w:ind w:left="16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 систем протипожежного захисту в будинках підвищенної поверховості</w:t>
            </w:r>
          </w:p>
          <w:p>
            <w:pPr>
              <w:pStyle w:val="BodyText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Виконавчі органи Луцької міської ради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Бюджет громади, кошти ОСББ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5 000,0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  <w:tab w:val="left" w:pos="142" w:leader="none"/>
              </w:tabs>
              <w:snapToGrid w:val="false"/>
              <w:ind w:left="14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 систем пожежогасіння</w:t>
            </w:r>
          </w:p>
        </w:tc>
      </w:tr>
      <w:tr>
        <w:trPr>
          <w:trHeight w:val="663" w:hRule="atLeast"/>
          <w:cantSplit w:val="true"/>
        </w:trPr>
        <w:tc>
          <w:tcPr>
            <w:tcW w:w="1604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BodyText"/>
              <w:numPr>
                <w:ilvl w:val="0"/>
                <w:numId w:val="2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ІІ. Утримання захисних споруд ЦЗ, найпростіших укриттів та споруд подвійного призначення комунальної форми власності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9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ind w:left="160"/>
              <w:jc w:val="both"/>
              <w:rPr>
                <w:sz w:val="24"/>
              </w:rPr>
            </w:pPr>
            <w:r>
              <w:rPr>
                <w:sz w:val="24"/>
              </w:rPr>
              <w:t>Приведення в готовність до використання захисних споруд, найпростіших укриттів та споруд подвійного призначення комунальної форми власності, проведення в них ремонтно-будівельних робіт, оплата за утримання та обслуговування захисних споруд</w:t>
            </w:r>
          </w:p>
        </w:tc>
        <w:tc>
          <w:tcPr>
            <w:tcW w:w="2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Виконавчі органи Луцької міської ради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Бюджет громади</w:t>
            </w:r>
          </w:p>
        </w:tc>
        <w:tc>
          <w:tcPr>
            <w:tcW w:w="12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4"/>
              </w:rPr>
            </w:pPr>
            <w:r>
              <w:rPr>
                <w:sz w:val="24"/>
              </w:rPr>
              <w:t>25 000,0</w:t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5 000,0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5 000,0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5 000,0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5 000,0</w:t>
            </w:r>
          </w:p>
        </w:tc>
        <w:tc>
          <w:tcPr>
            <w:tcW w:w="1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5 000,0</w:t>
            </w:r>
          </w:p>
        </w:tc>
        <w:tc>
          <w:tcPr>
            <w:tcW w:w="1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</w:tabs>
              <w:snapToGrid w:val="false"/>
              <w:ind w:left="14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Проведення ремонтно-будівельних робіт, утримання захисних споруд у готовності, комплектація захисних споруд спеціальним обладнанням, оновлення технічної документації</w:t>
            </w:r>
          </w:p>
          <w:p>
            <w:pPr>
              <w:pStyle w:val="BodyText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922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</w:tabs>
              <w:snapToGrid w:val="false"/>
              <w:ind w:left="160"/>
              <w:rPr>
                <w:sz w:val="24"/>
              </w:rPr>
            </w:pPr>
            <w:r>
              <w:rPr>
                <w:sz w:val="24"/>
              </w:rPr>
              <w:t>Комплектація захисних споруд спеціальним обладнанням, виготовлення та оновлення технічної документації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</w:tabs>
              <w:snapToGrid w:val="false"/>
              <w:ind w:left="16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490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Виконавчі органи Луцької міської ради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Бюджет громади</w:t>
            </w:r>
          </w:p>
        </w:tc>
        <w:tc>
          <w:tcPr>
            <w:tcW w:w="1277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 </w:t>
            </w:r>
            <w:r>
              <w:rPr>
                <w:sz w:val="24"/>
                <w:lang w:val="en-US"/>
              </w:rPr>
              <w:t>0</w:t>
            </w:r>
            <w:r>
              <w:rPr>
                <w:sz w:val="24"/>
              </w:rPr>
              <w:t>00,0</w:t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144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971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</w:tcPr>
          <w:p>
            <w:pPr>
              <w:pStyle w:val="Normal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6044" w:type="dxa"/>
            <w:gridSpan w:val="11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360" w:before="57" w:after="63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ІІІ. Накопичення та утримання матеріальних ресурсів та засобів для забезпечення оперативного реагування на надзвичайні ситуації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9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ind w:left="160"/>
              <w:rPr>
                <w:sz w:val="24"/>
              </w:rPr>
            </w:pPr>
            <w:r>
              <w:rPr>
                <w:sz w:val="24"/>
              </w:rPr>
              <w:t>Накопичення пально-мастильних матеріалів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Виконавчі органи Луцької міської ради,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ind w:right="-57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ЛСКАП «Луцькспецкомун-транс»,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ind w:right="-57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комунальні підприємства Луцької міської територіальної громади,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ЛРУ ЦЗ ПД ГУ ДСНС України в області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Бюджет громади</w:t>
            </w:r>
          </w:p>
        </w:tc>
        <w:tc>
          <w:tcPr>
            <w:tcW w:w="12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4"/>
              </w:rPr>
            </w:pPr>
            <w:r>
              <w:rPr>
                <w:sz w:val="24"/>
              </w:rPr>
              <w:t>24 500,0</w:t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4"/>
              </w:rPr>
            </w:pPr>
            <w:r>
              <w:rPr>
                <w:sz w:val="24"/>
              </w:rPr>
              <w:t>4 900,0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4 900,0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4"/>
              </w:rPr>
            </w:pPr>
            <w:r>
              <w:rPr>
                <w:sz w:val="24"/>
              </w:rPr>
              <w:t>4 900,0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4"/>
              </w:rPr>
            </w:pPr>
            <w:r>
              <w:rPr>
                <w:sz w:val="24"/>
              </w:rPr>
              <w:t>4 900,0</w:t>
            </w:r>
          </w:p>
        </w:tc>
        <w:tc>
          <w:tcPr>
            <w:tcW w:w="1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4"/>
              </w:rPr>
            </w:pPr>
            <w:r>
              <w:rPr>
                <w:sz w:val="24"/>
                <w:lang w:val="uk-UA"/>
              </w:rPr>
              <w:t>4900,0</w:t>
            </w:r>
          </w:p>
        </w:tc>
        <w:tc>
          <w:tcPr>
            <w:tcW w:w="1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</w:tabs>
              <w:snapToGrid w:val="false"/>
              <w:ind w:lef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Кількість створеного матеріального резерву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9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ind w:left="160"/>
              <w:rPr>
                <w:sz w:val="24"/>
              </w:rPr>
            </w:pPr>
            <w:r>
              <w:rPr>
                <w:sz w:val="24"/>
              </w:rPr>
              <w:t>Придбання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ind w:left="160"/>
              <w:rPr>
                <w:sz w:val="24"/>
              </w:rPr>
            </w:pPr>
            <w:r>
              <w:rPr>
                <w:sz w:val="24"/>
              </w:rPr>
              <w:t>найпростішого рятувального оснащення та майна для ліквідації аварій, пожеж (НС) (захисний одяг, взуття пожежне, каски, жилети, рукавиці, респіратори тощо)</w:t>
            </w:r>
          </w:p>
        </w:tc>
        <w:tc>
          <w:tcPr>
            <w:tcW w:w="2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Виконавчі органи Луцької міської ради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color w:val="000000"/>
                <w:sz w:val="24"/>
                <w:szCs w:val="24"/>
              </w:rPr>
            </w:pPr>
            <w:bookmarkStart w:id="0" w:name="__DdeLink__4681_1730530875"/>
            <w:bookmarkEnd w:id="0"/>
            <w:r>
              <w:rPr>
                <w:bCs/>
                <w:color w:val="000000"/>
                <w:sz w:val="24"/>
                <w:szCs w:val="24"/>
              </w:rPr>
              <w:t>Бюджет громади</w:t>
            </w:r>
          </w:p>
        </w:tc>
        <w:tc>
          <w:tcPr>
            <w:tcW w:w="12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10 000,0</w:t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2 000,0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2 000,0</w:t>
            </w:r>
          </w:p>
        </w:tc>
        <w:tc>
          <w:tcPr>
            <w:tcW w:w="1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2 000,0</w:t>
            </w:r>
          </w:p>
        </w:tc>
        <w:tc>
          <w:tcPr>
            <w:tcW w:w="1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922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ind w:left="160"/>
              <w:rPr>
                <w:color w:val="000000"/>
                <w:sz w:val="24"/>
                <w:lang w:eastAsia="ru-RU"/>
              </w:rPr>
            </w:pPr>
            <w:r>
              <w:rPr>
                <w:color w:val="000000"/>
                <w:sz w:val="24"/>
                <w:lang w:eastAsia="ru-RU"/>
              </w:rPr>
              <w:t>Придбання засобів забезпечення аварійно-рятувальних робіт: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ind w:left="160"/>
              <w:rPr>
                <w:color w:val="000000"/>
                <w:sz w:val="24"/>
                <w:lang w:eastAsia="ru-RU"/>
              </w:rPr>
            </w:pPr>
            <w:r>
              <w:rPr>
                <w:color w:val="000000"/>
                <w:sz w:val="24"/>
                <w:lang w:eastAsia="ru-RU"/>
              </w:rPr>
              <w:t>шанцевий інструмент,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ind w:left="160"/>
              <w:rPr>
                <w:color w:val="000000"/>
                <w:sz w:val="24"/>
                <w:lang w:eastAsia="ru-RU"/>
              </w:rPr>
            </w:pPr>
            <w:r>
              <w:rPr>
                <w:color w:val="000000"/>
                <w:sz w:val="24"/>
                <w:lang w:eastAsia="ru-RU"/>
              </w:rPr>
              <w:t>бензопили,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ind w:left="160"/>
              <w:rPr>
                <w:color w:val="000000"/>
                <w:sz w:val="24"/>
                <w:lang w:eastAsia="ru-RU"/>
              </w:rPr>
            </w:pPr>
            <w:r>
              <w:rPr>
                <w:color w:val="000000"/>
                <w:sz w:val="24"/>
                <w:lang w:eastAsia="ru-RU"/>
              </w:rPr>
              <w:t>бензорізи,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ind w:left="160"/>
              <w:rPr>
                <w:sz w:val="24"/>
              </w:rPr>
            </w:pPr>
            <w:r>
              <w:rPr>
                <w:color w:val="000000"/>
                <w:sz w:val="24"/>
                <w:lang w:eastAsia="ru-RU"/>
              </w:rPr>
              <w:t>електрогенератори (у т.ч. часткове відшкодування вартості),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ind w:left="160"/>
              <w:rPr>
                <w:sz w:val="24"/>
              </w:rPr>
            </w:pPr>
            <w:r>
              <w:rPr>
                <w:color w:val="000000"/>
                <w:sz w:val="24"/>
                <w:lang w:eastAsia="ru-RU"/>
              </w:rPr>
              <w:t>інше</w:t>
            </w:r>
          </w:p>
        </w:tc>
        <w:tc>
          <w:tcPr>
            <w:tcW w:w="2490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Виконавчі органи Луцької міської ради,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ОСББ, ЖБК,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управителі багатоквартирних будинків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Бюджет громади</w:t>
            </w:r>
          </w:p>
        </w:tc>
        <w:tc>
          <w:tcPr>
            <w:tcW w:w="1277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z w:val="24"/>
                <w:lang w:val="en-US"/>
              </w:rPr>
              <w:t xml:space="preserve"> 00</w:t>
            </w:r>
            <w:r>
              <w:rPr>
                <w:sz w:val="24"/>
              </w:rPr>
              <w:t>0,0</w:t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2 000,0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2 000,0</w:t>
            </w:r>
          </w:p>
        </w:tc>
        <w:tc>
          <w:tcPr>
            <w:tcW w:w="1144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2 000,0</w:t>
            </w:r>
          </w:p>
        </w:tc>
        <w:tc>
          <w:tcPr>
            <w:tcW w:w="1971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</w:tcPr>
          <w:p>
            <w:pPr>
              <w:pStyle w:val="Normal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428" w:type="dxa"/>
            <w:tcBorders>
              <w:top w:val="single" w:sz="4" w:space="0" w:color="000000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000001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ind w:left="160"/>
              <w:rPr>
                <w:sz w:val="24"/>
              </w:rPr>
            </w:pPr>
            <w:r>
              <w:rPr>
                <w:sz w:val="24"/>
              </w:rPr>
              <w:t xml:space="preserve">Проведення робіт (демонтаж, капітальний ремонт, поточний ремонт, реконструкція), придбання товарів, матеріалів, обладнання та техніки, надання послуг </w:t>
            </w:r>
            <w:r>
              <w:rPr>
                <w:color w:val="000000"/>
                <w:sz w:val="24"/>
              </w:rPr>
              <w:t>(оплата праці за надані послуги), вивезення відходів руйнацій та відновлення благоустрою територій, пошкоджених внаслідок руйнацій,</w:t>
            </w:r>
            <w:r>
              <w:rPr>
                <w:sz w:val="24"/>
              </w:rPr>
              <w:t xml:space="preserve"> під час воєнного стану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Виконавчі органи Луцької міської ради,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комунальні підприємства громади: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ЛСКАП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«Луцькспецкомун-транс</w:t>
            </w:r>
            <w:bookmarkStart w:id="1" w:name="__DdeLink__1185_679630085_копія_1"/>
            <w:r>
              <w:rPr>
                <w:sz w:val="24"/>
                <w:szCs w:val="24"/>
              </w:rPr>
              <w:t>»</w:t>
            </w:r>
            <w:bookmarkEnd w:id="1"/>
            <w:r>
              <w:rPr>
                <w:sz w:val="24"/>
                <w:szCs w:val="24"/>
              </w:rPr>
              <w:t>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«Луцьктепло»,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«Луцькводоканал»,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«Луцьке підприємство електротранспорту»,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«Автопарксервіс»,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«Луцьке електротехнічне підприємство – Луцьксвітло»,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Луцький спеціалізований комбінат комунально- побутового обслуговування,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«Парки та сквери м. Луцька»,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«Луцький зоопарк», «Ласка»,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ЛРУ ЦЗ ПД ГУ ДСНС України в області,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АРЗ СП ГУ ДСНС України в області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громади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</w:rPr>
              <w:t xml:space="preserve"> 000,0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en-US"/>
              </w:rPr>
              <w:t xml:space="preserve"> 000,0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en-US"/>
              </w:rPr>
              <w:t xml:space="preserve"> 000,0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en-US"/>
              </w:rPr>
              <w:t xml:space="preserve"> 000,0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en-US"/>
              </w:rPr>
              <w:t xml:space="preserve"> 000,0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1"/>
              <w:bottom w:val="single" w:sz="4" w:space="0" w:color="000000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en-US"/>
              </w:rPr>
              <w:t xml:space="preserve"> 000,0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1"/>
              <w:bottom w:val="single" w:sz="4" w:space="0" w:color="000000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  <w:tab w:val="left" w:pos="283" w:leader="none"/>
              </w:tabs>
              <w:snapToGrid w:val="false"/>
              <w:spacing w:before="0" w:after="120"/>
              <w:ind w:left="14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Забезпечення ліквідації надзвичайних ситуацій</w:t>
            </w:r>
          </w:p>
        </w:tc>
      </w:tr>
      <w:tr>
        <w:trPr/>
        <w:tc>
          <w:tcPr>
            <w:tcW w:w="428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922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ind w:left="160"/>
              <w:rPr>
                <w:color w:val="000000"/>
                <w:sz w:val="24"/>
                <w:lang w:eastAsia="ru-RU"/>
              </w:rPr>
            </w:pPr>
            <w:r>
              <w:rPr>
                <w:color w:val="000000"/>
                <w:sz w:val="24"/>
                <w:lang w:eastAsia="ru-RU"/>
              </w:rPr>
              <w:t>Забезпечення харчуванням пунктів незламності та обігріву, осіб, що задіюються до робіт з ліквідації надзвичайних ситуацій, внаслідок ракетно-дронових обстрілів, аварій, терористичних актів та в період проведення навчань з цих питань</w:t>
            </w:r>
          </w:p>
          <w:p>
            <w:pPr>
              <w:pStyle w:val="Normal"/>
              <w:snapToGrid w:val="false"/>
              <w:rPr>
                <w:color w:val="000000"/>
                <w:sz w:val="24"/>
                <w:lang w:eastAsia="ru-RU"/>
              </w:rPr>
            </w:pPr>
            <w:r>
              <w:rPr>
                <w:color w:val="000000"/>
                <w:sz w:val="24"/>
                <w:lang w:eastAsia="ru-RU"/>
              </w:rPr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Виконавчі органи Луцької міської ради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Бюджет громади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5 000,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1 000,0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  <w:tab w:val="left" w:pos="283" w:leader="none"/>
              </w:tabs>
              <w:snapToGrid w:val="false"/>
              <w:ind w:left="14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Забезпечення ліквідації надзвичайних ситуацій</w:t>
            </w:r>
          </w:p>
        </w:tc>
      </w:tr>
      <w:tr>
        <w:trPr/>
        <w:tc>
          <w:tcPr>
            <w:tcW w:w="1604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360" w:before="0" w:after="114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ru-RU"/>
              </w:rPr>
              <w:t>І</w:t>
            </w:r>
            <w:r>
              <w:rPr>
                <w:bCs/>
                <w:sz w:val="24"/>
                <w:szCs w:val="24"/>
                <w:lang w:val="en-US"/>
              </w:rPr>
              <w:t>V</w:t>
            </w:r>
            <w:r>
              <w:rPr>
                <w:bCs/>
                <w:sz w:val="24"/>
                <w:szCs w:val="24"/>
                <w:lang w:val="ru-RU"/>
              </w:rPr>
              <w:t>. У</w:t>
            </w:r>
            <w:r>
              <w:rPr>
                <w:bCs/>
                <w:sz w:val="24"/>
                <w:szCs w:val="24"/>
              </w:rPr>
              <w:t>провадження, обслуговування та модернізація місцевої автоматизованої системи централізованого оповіщення громади (МАСЦО)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9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301" w:leader="none"/>
              </w:tabs>
              <w:snapToGrid w:val="false"/>
              <w:spacing w:before="57" w:after="57"/>
              <w:ind w:left="160"/>
              <w:rPr>
                <w:sz w:val="24"/>
              </w:rPr>
            </w:pPr>
            <w:r>
              <w:rPr>
                <w:sz w:val="24"/>
              </w:rPr>
              <w:t>Обслуговування МАСЦО громади, придбання та встановлення нових електронних гучномовних пристроїв для оповіщення населення, оплата послуг доступу до мережі «Інтернет» та за оренду майданчиків розташування обладнання МАСЦО громади</w:t>
            </w:r>
          </w:p>
        </w:tc>
        <w:tc>
          <w:tcPr>
            <w:tcW w:w="2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Виконавчі органи Луцької міської ради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Бюджет громади</w:t>
            </w:r>
          </w:p>
        </w:tc>
        <w:tc>
          <w:tcPr>
            <w:tcW w:w="12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z w:val="24"/>
                <w:lang w:val="en-US"/>
              </w:rPr>
              <w:t xml:space="preserve"> 00</w:t>
            </w:r>
            <w:r>
              <w:rPr>
                <w:sz w:val="24"/>
              </w:rPr>
              <w:t>0,0</w:t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en-US"/>
              </w:rPr>
              <w:t xml:space="preserve"> 000,0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en-US"/>
              </w:rPr>
              <w:t xml:space="preserve"> 000,0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en-US"/>
              </w:rPr>
              <w:t xml:space="preserve"> 000,0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en-US"/>
              </w:rPr>
              <w:t xml:space="preserve"> 000,0</w:t>
            </w:r>
          </w:p>
        </w:tc>
        <w:tc>
          <w:tcPr>
            <w:tcW w:w="1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5 </w:t>
            </w:r>
            <w:r>
              <w:rPr>
                <w:sz w:val="24"/>
                <w:szCs w:val="24"/>
                <w:lang w:val="en-US"/>
              </w:rPr>
              <w:t>000,0</w:t>
            </w:r>
          </w:p>
        </w:tc>
        <w:tc>
          <w:tcPr>
            <w:tcW w:w="1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  <w:tab w:val="left" w:pos="283" w:leader="none"/>
              </w:tabs>
              <w:snapToGrid w:val="false"/>
              <w:spacing w:before="0" w:after="120"/>
              <w:ind w:left="14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Кількість обладнання МАСЦО, яке обслуговується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6044" w:type="dxa"/>
            <w:gridSpan w:val="11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V</w:t>
            </w:r>
            <w:r>
              <w:rPr>
                <w:bCs/>
                <w:sz w:val="24"/>
                <w:szCs w:val="24"/>
                <w:lang w:val="uk-UA"/>
              </w:rPr>
              <w:t xml:space="preserve">. Виконання заходів щодо реалізації проєкту </w:t>
            </w:r>
            <w:r>
              <w:rPr>
                <w:rFonts w:eastAsia="Times New Roman" w:cs="Times New Roman"/>
                <w:bCs/>
                <w:sz w:val="24"/>
                <w:szCs w:val="24"/>
                <w:lang w:val="uk-UA"/>
              </w:rPr>
              <w:t>«Офіцер-рятувальник громади»</w:t>
            </w:r>
          </w:p>
        </w:tc>
      </w:tr>
      <w:tr>
        <w:trPr/>
        <w:tc>
          <w:tcPr>
            <w:tcW w:w="428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92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301" w:leader="none"/>
              </w:tabs>
              <w:snapToGrid w:val="false"/>
              <w:spacing w:before="0" w:after="0"/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Придбання матеріально-технічних засобів, автотранспортної техніки, аварійно-рятувального інструменту, пожежно-технічного обладнання та безпілотних літальних апаратів для виконання функцій офіцера рятувальника громади</w:t>
            </w:r>
          </w:p>
        </w:tc>
        <w:tc>
          <w:tcPr>
            <w:tcW w:w="2490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Виконавчі органи Луцької міської ради,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 ДСНС України в області,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ЛРУ ЦЗ ПД ГУ ДСНС України в області</w:t>
            </w:r>
          </w:p>
        </w:tc>
        <w:tc>
          <w:tcPr>
            <w:tcW w:w="1276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/>
              <w:t>Бюджет громади</w:t>
            </w:r>
          </w:p>
        </w:tc>
        <w:tc>
          <w:tcPr>
            <w:tcW w:w="1277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4"/>
              </w:rPr>
            </w:pPr>
            <w:r>
              <w:rPr>
                <w:sz w:val="24"/>
              </w:rPr>
              <w:t>5 000,0</w:t>
            </w:r>
          </w:p>
        </w:tc>
        <w:tc>
          <w:tcPr>
            <w:tcW w:w="990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1 000,0</w:t>
            </w:r>
          </w:p>
        </w:tc>
        <w:tc>
          <w:tcPr>
            <w:tcW w:w="1136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1 000,0</w:t>
            </w:r>
          </w:p>
        </w:tc>
        <w:tc>
          <w:tcPr>
            <w:tcW w:w="1274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1 000,0</w:t>
            </w:r>
          </w:p>
        </w:tc>
        <w:tc>
          <w:tcPr>
            <w:tcW w:w="1136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1 000,0</w:t>
            </w:r>
          </w:p>
        </w:tc>
        <w:tc>
          <w:tcPr>
            <w:tcW w:w="1144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1 000,0</w:t>
            </w:r>
          </w:p>
        </w:tc>
        <w:tc>
          <w:tcPr>
            <w:tcW w:w="19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  <w:tab w:val="left" w:pos="283" w:leader="none"/>
              </w:tabs>
              <w:snapToGrid w:val="false"/>
              <w:spacing w:before="0" w:after="120"/>
              <w:ind w:left="14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Виконання превентивних заходів щодо попередження виникнення НС в громаді та виконання вимог проєкту в цілому</w:t>
            </w:r>
          </w:p>
        </w:tc>
      </w:tr>
      <w:tr>
        <w:trPr/>
        <w:tc>
          <w:tcPr>
            <w:tcW w:w="428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92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301" w:leader="none"/>
              </w:tabs>
              <w:snapToGrid w:val="false"/>
              <w:spacing w:before="0" w:after="0"/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Придбання паливо-мастильних матеріалів для виконання службових обов’язків офіцера рятувальника громади</w:t>
            </w:r>
          </w:p>
        </w:tc>
        <w:tc>
          <w:tcPr>
            <w:tcW w:w="2490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Виконавчі органи Луцької міської ради,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 ДСНС України в області,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ЛРУ ЦЗ ПД ГУ ДСНС України в області</w:t>
            </w:r>
          </w:p>
        </w:tc>
        <w:tc>
          <w:tcPr>
            <w:tcW w:w="1276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/>
              <w:t>Бюджет громади</w:t>
            </w:r>
          </w:p>
        </w:tc>
        <w:tc>
          <w:tcPr>
            <w:tcW w:w="1277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4"/>
              </w:rPr>
            </w:pPr>
            <w:r>
              <w:rPr>
                <w:sz w:val="24"/>
              </w:rPr>
              <w:t>2 500,0</w:t>
            </w:r>
          </w:p>
        </w:tc>
        <w:tc>
          <w:tcPr>
            <w:tcW w:w="990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500,0</w:t>
            </w:r>
          </w:p>
        </w:tc>
        <w:tc>
          <w:tcPr>
            <w:tcW w:w="1136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500,0</w:t>
            </w:r>
          </w:p>
        </w:tc>
        <w:tc>
          <w:tcPr>
            <w:tcW w:w="1274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500,0</w:t>
            </w:r>
          </w:p>
        </w:tc>
        <w:tc>
          <w:tcPr>
            <w:tcW w:w="1136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500,0</w:t>
            </w:r>
          </w:p>
        </w:tc>
        <w:tc>
          <w:tcPr>
            <w:tcW w:w="1144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500,0</w:t>
            </w:r>
          </w:p>
        </w:tc>
        <w:tc>
          <w:tcPr>
            <w:tcW w:w="19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0"/>
              <w:jc w:val="left"/>
              <w:rPr/>
            </w:pPr>
            <w:r>
              <w:rPr/>
              <w:t>З</w:t>
            </w:r>
            <w:r>
              <w:rPr>
                <w:sz w:val="24"/>
                <w:szCs w:val="24"/>
              </w:rPr>
              <w:t>абезпечення належних умов для виконання функцій офіцером-рятувальником</w:t>
            </w:r>
          </w:p>
        </w:tc>
      </w:tr>
      <w:tr>
        <w:trPr/>
        <w:tc>
          <w:tcPr>
            <w:tcW w:w="428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922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301" w:leader="none"/>
              </w:tabs>
              <w:snapToGrid w:val="false"/>
              <w:spacing w:before="0" w:after="0"/>
              <w:ind w:left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Закупівля предметів та матеріалів для облаштування робочого місця офіцера-рятувальника громади</w:t>
            </w:r>
          </w:p>
        </w:tc>
        <w:tc>
          <w:tcPr>
            <w:tcW w:w="2490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 ДСНС України в області,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ЛРУ ЦЗ ПД ГУ ДСНС України в області</w:t>
            </w:r>
          </w:p>
        </w:tc>
        <w:tc>
          <w:tcPr>
            <w:tcW w:w="1276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/>
              <w:t>Бюджет громади</w:t>
            </w:r>
          </w:p>
        </w:tc>
        <w:tc>
          <w:tcPr>
            <w:tcW w:w="1277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4"/>
              </w:rPr>
            </w:pPr>
            <w:r>
              <w:rPr>
                <w:sz w:val="24"/>
              </w:rPr>
              <w:t>500,0</w:t>
            </w:r>
          </w:p>
        </w:tc>
        <w:tc>
          <w:tcPr>
            <w:tcW w:w="990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100,0</w:t>
            </w:r>
          </w:p>
        </w:tc>
        <w:tc>
          <w:tcPr>
            <w:tcW w:w="1136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100,0</w:t>
            </w:r>
          </w:p>
        </w:tc>
        <w:tc>
          <w:tcPr>
            <w:tcW w:w="1274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100,0</w:t>
            </w:r>
          </w:p>
        </w:tc>
        <w:tc>
          <w:tcPr>
            <w:tcW w:w="1136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100,0</w:t>
            </w:r>
          </w:p>
        </w:tc>
        <w:tc>
          <w:tcPr>
            <w:tcW w:w="1144" w:type="dxa"/>
            <w:tcBorders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100,0</w:t>
            </w:r>
          </w:p>
        </w:tc>
        <w:tc>
          <w:tcPr>
            <w:tcW w:w="19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  <w:tab w:val="left" w:pos="283" w:leader="none"/>
              </w:tabs>
              <w:snapToGrid w:val="false"/>
              <w:spacing w:before="0" w:after="0"/>
              <w:ind w:left="14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Забезпечення належних умов для виконання функцій офіцером-рятувальником</w:t>
            </w:r>
          </w:p>
        </w:tc>
      </w:tr>
      <w:tr>
        <w:trPr/>
        <w:tc>
          <w:tcPr>
            <w:tcW w:w="1604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V</w:t>
            </w:r>
            <w:r>
              <w:rPr>
                <w:sz w:val="24"/>
                <w:szCs w:val="24"/>
                <w:lang w:val="uk-UA"/>
              </w:rPr>
              <w:t>І</w:t>
            </w:r>
            <w:r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Забезпечення добровільної пожежної команди Жидичинського старостинського округу</w:t>
            </w:r>
          </w:p>
        </w:tc>
      </w:tr>
      <w:tr>
        <w:trPr>
          <w:trHeight w:val="3826" w:hRule="atLeast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ind w:left="160"/>
              <w:rPr>
                <w:sz w:val="24"/>
              </w:rPr>
            </w:pPr>
            <w:r>
              <w:rPr>
                <w:sz w:val="24"/>
              </w:rPr>
              <w:t>Страхування членів добровільної пожежної команди, придбання пожежно-технічного майна (пожежні рукава, мотопомпи, бензопили, бензорізи, шурупокрути, шанцевий інструмент тощо), спеціального одягу та взуття, пально-мастильних матеріалів, вугілля, торфобрикетів, дров, ремонт та обслуговування пожежного автомобіля</w:t>
            </w:r>
          </w:p>
        </w:tc>
        <w:tc>
          <w:tcPr>
            <w:tcW w:w="2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Виконавчі органи Луцької міської ради,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ЛРУ ЦЗ ПД ГУ ДСНС України в області</w:t>
            </w:r>
          </w:p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Бюджет громади</w:t>
            </w:r>
          </w:p>
        </w:tc>
        <w:tc>
          <w:tcPr>
            <w:tcW w:w="12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1</w:t>
            </w:r>
            <w:r>
              <w:rPr>
                <w:sz w:val="24"/>
              </w:rPr>
              <w:t xml:space="preserve"> 000,0</w:t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</w:t>
            </w:r>
          </w:p>
        </w:tc>
        <w:tc>
          <w:tcPr>
            <w:tcW w:w="1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</w:t>
            </w:r>
          </w:p>
        </w:tc>
        <w:tc>
          <w:tcPr>
            <w:tcW w:w="1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  <w:tab w:val="left" w:pos="142" w:leader="none"/>
              </w:tabs>
              <w:snapToGrid w:val="false"/>
              <w:spacing w:before="0" w:after="0"/>
              <w:ind w:left="142" w:right="-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Кількісне забезпечення добровільної пожежної команди</w:t>
            </w:r>
          </w:p>
        </w:tc>
      </w:tr>
      <w:tr>
        <w:trPr>
          <w:trHeight w:val="375" w:hRule="atLeast"/>
        </w:trPr>
        <w:tc>
          <w:tcPr>
            <w:tcW w:w="1604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VI</w:t>
            </w:r>
            <w:r>
              <w:rPr>
                <w:sz w:val="24"/>
                <w:szCs w:val="24"/>
                <w:lang w:val="uk-UA"/>
              </w:rPr>
              <w:t>І</w:t>
            </w:r>
            <w:r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Допомога територіальним громадам України, постраждалим від повномасштабної збройної агресії російської федерації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20"/>
                <w:tab w:val="left" w:pos="160" w:leader="none"/>
              </w:tabs>
              <w:snapToGrid w:val="false"/>
              <w:spacing w:before="0" w:after="0"/>
              <w:ind w:left="160"/>
              <w:rPr>
                <w:sz w:val="24"/>
              </w:rPr>
            </w:pPr>
            <w:r>
              <w:rPr>
                <w:sz w:val="24"/>
              </w:rPr>
              <w:t>Придбання будівельних матеріалів, майна, засобів забезпечення аварійно-рятувальних робіт (бензопили, бензорізи, генератори, мотопомпи, човни, шанцевого інструменту тощо), пально-мастильних матеріалів, одягу, взуття, продуктів харчування та інше</w:t>
            </w:r>
          </w:p>
        </w:tc>
        <w:tc>
          <w:tcPr>
            <w:tcW w:w="2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color w:val="000000"/>
                <w:sz w:val="24"/>
                <w:szCs w:val="24"/>
              </w:rPr>
            </w:pPr>
            <w:bookmarkStart w:id="2" w:name="__DdeLink__29365_2613444842_копія_1"/>
            <w:bookmarkEnd w:id="2"/>
            <w:r>
              <w:rPr>
                <w:bCs/>
                <w:color w:val="000000"/>
                <w:sz w:val="24"/>
                <w:szCs w:val="24"/>
              </w:rPr>
              <w:t>Виконавчі органи Луцької міської ради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Бюджет громади</w:t>
            </w:r>
          </w:p>
        </w:tc>
        <w:tc>
          <w:tcPr>
            <w:tcW w:w="12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4"/>
              </w:rPr>
            </w:pPr>
            <w:r>
              <w:rPr>
                <w:sz w:val="24"/>
                <w:lang w:val="uk-UA"/>
              </w:rPr>
              <w:t>2 50</w:t>
            </w:r>
            <w:r>
              <w:rPr>
                <w:sz w:val="24"/>
              </w:rPr>
              <w:t>0,0</w:t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en-US"/>
              </w:rPr>
              <w:t>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en-US"/>
              </w:rPr>
              <w:t>00,0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en-US"/>
              </w:rPr>
              <w:t>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en-US"/>
              </w:rPr>
              <w:t>00,0</w:t>
            </w:r>
          </w:p>
        </w:tc>
        <w:tc>
          <w:tcPr>
            <w:tcW w:w="1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en-US"/>
              </w:rPr>
              <w:t>00,0</w:t>
            </w:r>
          </w:p>
        </w:tc>
        <w:tc>
          <w:tcPr>
            <w:tcW w:w="1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BodyText"/>
              <w:numPr>
                <w:ilvl w:val="0"/>
                <w:numId w:val="2"/>
              </w:numPr>
              <w:tabs>
                <w:tab w:val="clear" w:pos="720"/>
                <w:tab w:val="left" w:pos="283" w:leader="none"/>
              </w:tabs>
              <w:snapToGrid w:val="false"/>
              <w:spacing w:before="0" w:after="120"/>
              <w:ind w:left="142" w:right="-11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Кількість наданої допомоги</w:t>
            </w:r>
          </w:p>
        </w:tc>
      </w:tr>
      <w:tr>
        <w:trPr/>
        <w:tc>
          <w:tcPr>
            <w:tcW w:w="711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z w:val="24"/>
              </w:rPr>
            </w:pPr>
            <w:r>
              <w:rPr>
                <w:sz w:val="24"/>
              </w:rPr>
              <w:t>Усього тис. грн</w:t>
            </w:r>
          </w:p>
        </w:tc>
        <w:tc>
          <w:tcPr>
            <w:tcW w:w="12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Style19"/>
              <w:numPr>
                <w:ilvl w:val="0"/>
                <w:numId w:val="2"/>
              </w:numPr>
              <w:snapToGrid w:val="false"/>
              <w:rPr>
                <w:sz w:val="24"/>
              </w:rPr>
            </w:pPr>
            <w:r>
              <w:rPr>
                <w:bCs w:val="false"/>
                <w:color w:val="000000"/>
                <w:sz w:val="24"/>
              </w:rPr>
              <w:t>206</w:t>
            </w:r>
            <w:bookmarkStart w:id="3" w:name="__DdeLink__4315_38081338253"/>
            <w:r>
              <w:rPr>
                <w:bCs w:val="false"/>
                <w:color w:val="000000"/>
                <w:sz w:val="24"/>
              </w:rPr>
              <w:t xml:space="preserve"> </w:t>
            </w:r>
            <w:bookmarkEnd w:id="3"/>
            <w:r>
              <w:rPr>
                <w:bCs w:val="false"/>
                <w:color w:val="000000"/>
                <w:sz w:val="24"/>
              </w:rPr>
              <w:t>000,0</w:t>
            </w:r>
          </w:p>
        </w:tc>
        <w:tc>
          <w:tcPr>
            <w:tcW w:w="9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41 200,0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41 200,0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41 200,0</w:t>
            </w:r>
          </w:p>
        </w:tc>
        <w:tc>
          <w:tcPr>
            <w:tcW w:w="11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41 200,0</w:t>
            </w:r>
          </w:p>
        </w:tc>
        <w:tc>
          <w:tcPr>
            <w:tcW w:w="1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41 200,0</w:t>
            </w:r>
          </w:p>
        </w:tc>
        <w:tc>
          <w:tcPr>
            <w:tcW w:w="1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>
            <w:pPr>
              <w:pStyle w:val="BodyText"/>
              <w:numPr>
                <w:ilvl w:val="0"/>
                <w:numId w:val="2"/>
              </w:numPr>
              <w:snapToGrid w:val="false"/>
              <w:spacing w:before="0"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/>
      </w:pPr>
      <w:r>
        <w:rPr>
          <w:sz w:val="24"/>
          <w:szCs w:val="28"/>
        </w:rPr>
        <w:t>Кирилюк 720 098</w:t>
        <w:tab/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7" w:right="567" w:gutter="0" w:header="1287" w:top="1892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  <w:font w:name="Calibri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1831902499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6</w:t>
        </w:r>
        <w:r>
          <w:rPr/>
          <w:fldChar w:fldCharType="end"/>
        </w:r>
      </w:p>
    </w:sdtContent>
  </w:sdt>
  <w:p>
    <w:pPr>
      <w:pStyle w:val="Style22"/>
      <w:jc w:val="center"/>
      <w:rPr>
        <w:sz w:val="24"/>
      </w:rPr>
    </w:pPr>
    <w:r>
      <w:rPr>
        <w:sz w:val="24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245226599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Header"/>
      <w:jc w:val="center"/>
      <w:rPr>
        <w:sz w:val="24"/>
      </w:rPr>
    </w:pPr>
    <w:r>
      <w:rPr>
        <w:sz w:val="24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center"/>
      <w:rPr>
        <w:sz w:val="24"/>
      </w:rPr>
    </w:pPr>
    <w:r>
      <w:rPr>
        <w:sz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4"/>
  <w:defaultTabStop w:val="720"/>
  <w:autoHyphenation w:val="true"/>
  <w:hyphenationZone w:val="0"/>
  <w:evenAndOddHeaders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uiPriority w:val="9"/>
    <w:unhideWhenUsed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Heading4">
    <w:name w:val="heading 4"/>
    <w:basedOn w:val="Style9"/>
    <w:uiPriority w:val="9"/>
    <w:unhideWhenUsed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paragraph" w:styleId="Heading5">
    <w:name w:val="heading 5"/>
    <w:basedOn w:val="Style9"/>
    <w:uiPriority w:val="9"/>
    <w:unhideWhenUsed/>
    <w:qFormat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paragraph" w:styleId="Heading6">
    <w:name w:val="heading 6"/>
    <w:basedOn w:val="Style9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i/>
      <w:iCs/>
      <w:sz w:val="24"/>
      <w:szCs w:val="24"/>
    </w:rPr>
  </w:style>
  <w:style w:type="paragraph" w:styleId="Heading7">
    <w:name w:val="heading 7"/>
    <w:basedOn w:val="Style9"/>
    <w:qFormat/>
    <w:pPr>
      <w:numPr>
        <w:ilvl w:val="6"/>
        <w:numId w:val="1"/>
      </w:numPr>
      <w:spacing w:before="60" w:after="60"/>
      <w:outlineLvl w:val="6"/>
    </w:pPr>
    <w:rPr>
      <w:b/>
      <w:sz w:val="22"/>
      <w:szCs w:val="22"/>
    </w:rPr>
  </w:style>
  <w:style w:type="paragraph" w:styleId="Heading8">
    <w:name w:val="heading 8"/>
    <w:basedOn w:val="Style9"/>
    <w:qFormat/>
    <w:pPr>
      <w:numPr>
        <w:ilvl w:val="7"/>
        <w:numId w:val="1"/>
      </w:numPr>
      <w:spacing w:before="60" w:after="60"/>
      <w:outlineLvl w:val="7"/>
    </w:pPr>
    <w:rPr>
      <w:b/>
      <w:i/>
      <w:iCs/>
      <w:sz w:val="22"/>
      <w:szCs w:val="22"/>
    </w:rPr>
  </w:style>
  <w:style w:type="paragraph" w:styleId="Heading9">
    <w:name w:val="heading 9"/>
    <w:basedOn w:val="Style9"/>
    <w:qFormat/>
    <w:pPr>
      <w:numPr>
        <w:ilvl w:val="8"/>
        <w:numId w:val="1"/>
      </w:numPr>
      <w:spacing w:before="60" w:after="60"/>
      <w:outlineLvl w:val="8"/>
    </w:pPr>
    <w:rPr>
      <w:b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>
      <w:rFonts w:ascii="Wingdings" w:hAnsi="Wingdings" w:cs="Wingdings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Style5" w:customStyle="1">
    <w:name w:val="Основной шрифт абзаца"/>
    <w:qFormat/>
    <w:rPr/>
  </w:style>
  <w:style w:type="character" w:styleId="PageNumber">
    <w:name w:val="page number"/>
    <w:basedOn w:val="Style5"/>
    <w:qFormat/>
    <w:rPr/>
  </w:style>
  <w:style w:type="character" w:styleId="Strong">
    <w:name w:val="Strong"/>
    <w:qFormat/>
    <w:rPr>
      <w:b/>
      <w:bCs/>
    </w:rPr>
  </w:style>
  <w:style w:type="character" w:styleId="Style6" w:customStyle="1">
    <w:name w:val="Основний текст_"/>
    <w:qFormat/>
    <w:rPr>
      <w:sz w:val="21"/>
      <w:szCs w:val="21"/>
      <w:lang w:bidi="ar-SA"/>
    </w:rPr>
  </w:style>
  <w:style w:type="character" w:styleId="rvts0" w:customStyle="1">
    <w:name w:val="rvts0"/>
    <w:qFormat/>
    <w:rPr>
      <w:rFonts w:cs="Times New Roman"/>
    </w:rPr>
  </w:style>
  <w:style w:type="character" w:styleId="HTML" w:customStyle="1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Pr>
      <w:rFonts w:cs="Times New Roman"/>
    </w:rPr>
  </w:style>
  <w:style w:type="character" w:styleId="apple-converted-space" w:customStyle="1">
    <w:name w:val="apple-converted-space"/>
    <w:basedOn w:val="Style5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Style5"/>
    <w:qFormat/>
    <w:rPr/>
  </w:style>
  <w:style w:type="character" w:styleId="Style7" w:customStyle="1">
    <w:name w:val="Нижний колонтитул Знак"/>
    <w:qFormat/>
    <w:rPr>
      <w:bCs/>
      <w:sz w:val="28"/>
      <w:szCs w:val="24"/>
      <w:lang w:val="uk-UA"/>
    </w:rPr>
  </w:style>
  <w:style w:type="character" w:styleId="3" w:customStyle="1">
    <w:name w:val="Основной текст с отступом 3 Знак"/>
    <w:qFormat/>
    <w:rPr>
      <w:sz w:val="16"/>
      <w:szCs w:val="16"/>
    </w:rPr>
  </w:style>
  <w:style w:type="character" w:styleId="rvts44" w:customStyle="1">
    <w:name w:val="rvts44"/>
    <w:qFormat/>
    <w:rPr>
      <w:rFonts w:cs="Times New Roman"/>
    </w:rPr>
  </w:style>
  <w:style w:type="character" w:styleId="InternetLink" w:customStyle="1">
    <w:name w:val="Internet Link"/>
    <w:qFormat/>
    <w:rPr>
      <w:rFonts w:cs="Times New Roman"/>
      <w:color w:val="0000FF"/>
      <w:u w:val="single"/>
    </w:rPr>
  </w:style>
  <w:style w:type="character" w:styleId="2" w:customStyle="1">
    <w:name w:val="Основной текст с отступом 2 Знак"/>
    <w:qFormat/>
    <w:rPr>
      <w:bCs/>
      <w:sz w:val="28"/>
      <w:szCs w:val="24"/>
    </w:rPr>
  </w:style>
  <w:style w:type="character" w:styleId="user" w:customStyle="1">
    <w:name w:val="Символ нумерації (user)"/>
    <w:qFormat/>
    <w:rPr/>
  </w:style>
  <w:style w:type="character" w:styleId="Style8" w:customStyle="1">
    <w:name w:val="Верхній колонтитул Знак"/>
    <w:basedOn w:val="DefaultParagraphFont"/>
    <w:uiPriority w:val="99"/>
    <w:qFormat/>
    <w:rsid w:val="002830eb"/>
    <w:rPr>
      <w:rFonts w:ascii="Times New Roman" w:hAnsi="Times New Roman" w:eastAsia="Times New Roman" w:cs="Times New Roman"/>
      <w:bCs/>
      <w:color w:val="00000A"/>
      <w:sz w:val="28"/>
      <w:lang w:bidi="ar-SA"/>
    </w:rPr>
  </w:style>
  <w:style w:type="paragraph" w:styleId="Style9" w:customStyle="1">
    <w:name w:val="Заголовок"/>
    <w:basedOn w:val="Normal"/>
    <w:next w:val="BodyText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BodyText">
    <w:name w:val="Body Text"/>
    <w:basedOn w:val="Normal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0" w:customStyle="1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2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user3" w:customStyle="1">
    <w:name w:val="Верхній і нижній колонтитули (user)"/>
    <w:basedOn w:val="Normal"/>
    <w:qFormat/>
    <w:pPr/>
    <w:rPr/>
  </w:style>
  <w:style w:type="paragraph" w:styleId="Style11" w:customStyle="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8"/>
    <w:uiPriority w:val="99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BodyTextIndented" w:customStyle="1">
    <w:name w:val="Body Text;Indented"/>
    <w:basedOn w:val="Normal"/>
    <w:qFormat/>
    <w:pPr>
      <w:ind w:firstLine="545"/>
      <w:jc w:val="both"/>
    </w:pPr>
    <w:rPr>
      <w:bCs w:val="false"/>
    </w:rPr>
  </w:style>
  <w:style w:type="paragraph" w:styleId="Style12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13" w:customStyle="1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14" w:customStyle="1">
    <w:name w:val="Абзац списка"/>
    <w:basedOn w:val="Normal"/>
    <w:qFormat/>
    <w:pPr>
      <w:spacing w:before="0" w:after="0"/>
      <w:ind w:left="720"/>
      <w:contextualSpacing/>
    </w:pPr>
    <w:rPr>
      <w:rFonts w:eastAsia="Calibri"/>
      <w:bCs w:val="false"/>
      <w:szCs w:val="28"/>
      <w:lang w:val="ru-RU"/>
    </w:rPr>
  </w:style>
  <w:style w:type="paragraph" w:styleId="HTML1" w:customStyle="1">
    <w:name w:val="Стандартный HTML"/>
    <w:basedOn w:val="Normal"/>
    <w:qFormat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15" w:customStyle="1">
    <w:name w:val="Без интервала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16" w:customStyle="1">
    <w:name w:val="Основной текст"/>
    <w:basedOn w:val="Normal"/>
    <w:qFormat/>
    <w:pPr>
      <w:spacing w:before="0" w:after="120"/>
    </w:pPr>
    <w:rPr/>
  </w:style>
  <w:style w:type="paragraph" w:styleId="31" w:customStyle="1">
    <w:name w:val="Основной текст с отступом 31"/>
    <w:basedOn w:val="Normal"/>
    <w:qFormat/>
    <w:pPr>
      <w:ind w:hanging="436" w:left="436"/>
    </w:pPr>
    <w:rPr>
      <w:bCs w:val="false"/>
    </w:rPr>
  </w:style>
  <w:style w:type="paragraph" w:styleId="Style51" w:customStyle="1">
    <w:name w:val="Style5"/>
    <w:basedOn w:val="Normal"/>
    <w:qFormat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ListParagraph">
    <w:name w:val="List Paragraph"/>
    <w:basedOn w:val="Normal"/>
    <w:qFormat/>
    <w:pPr>
      <w:spacing w:before="0" w:after="200"/>
      <w:ind w:left="720"/>
    </w:pPr>
    <w:rPr/>
  </w:style>
  <w:style w:type="paragraph" w:styleId="Style17" w:customStyle="1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 w:customStyle="1">
    <w:name w:val="Основной текст 22"/>
    <w:basedOn w:val="Normal"/>
    <w:qFormat/>
    <w:pPr>
      <w:jc w:val="both"/>
    </w:pPr>
    <w:rPr>
      <w:b/>
    </w:rPr>
  </w:style>
  <w:style w:type="paragraph" w:styleId="Footer">
    <w:name w:val="footer"/>
    <w:basedOn w:val="Normal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32" w:customStyle="1">
    <w:name w:val="Основной текст с отступом 3"/>
    <w:basedOn w:val="Normal"/>
    <w:qFormat/>
    <w:pPr>
      <w:spacing w:before="0" w:after="120"/>
      <w:ind w:left="283"/>
    </w:pPr>
    <w:rPr>
      <w:bCs w:val="false"/>
      <w:sz w:val="16"/>
      <w:szCs w:val="16"/>
      <w:lang w:val="ru-RU"/>
    </w:rPr>
  </w:style>
  <w:style w:type="paragraph" w:styleId="HTMLPreformatted">
    <w:name w:val="HTML Preformatted"/>
    <w:basedOn w:val="Normal"/>
    <w:qFormat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21" w:customStyle="1">
    <w:name w:val="Основной текст с отступом 2"/>
    <w:basedOn w:val="Normal"/>
    <w:qFormat/>
    <w:pPr>
      <w:spacing w:lineRule="auto" w:line="480" w:before="0" w:after="120"/>
      <w:ind w:left="283"/>
    </w:pPr>
    <w:rPr/>
  </w:style>
  <w:style w:type="paragraph" w:styleId="Style18" w:customStyle="1">
    <w:name w:val="Вміст рамки"/>
    <w:basedOn w:val="Normal"/>
    <w:qFormat/>
    <w:pPr/>
    <w:rPr/>
  </w:style>
  <w:style w:type="paragraph" w:styleId="211" w:customStyle="1">
    <w:name w:val="Основной текст с отступом 21"/>
    <w:basedOn w:val="Normal"/>
    <w:qFormat/>
    <w:pPr>
      <w:ind w:left="700"/>
      <w:jc w:val="both"/>
    </w:pPr>
    <w:rPr/>
  </w:style>
  <w:style w:type="paragraph" w:styleId="Style19" w:customStyle="1">
    <w:name w:val="Вміст таблиці"/>
    <w:basedOn w:val="Normal"/>
    <w:qFormat/>
    <w:pPr>
      <w:suppressLineNumbers/>
    </w:pPr>
    <w:rPr/>
  </w:style>
  <w:style w:type="paragraph" w:styleId="Style20" w:customStyle="1">
    <w:name w:val="Заголовок таблиці"/>
    <w:basedOn w:val="Style19"/>
    <w:qFormat/>
    <w:pPr>
      <w:jc w:val="center"/>
    </w:pPr>
    <w:rPr>
      <w:b/>
    </w:rPr>
  </w:style>
  <w:style w:type="paragraph" w:styleId="212" w:customStyle="1">
    <w:name w:val="Основной текст 21"/>
    <w:basedOn w:val="Normal"/>
    <w:qFormat/>
    <w:pPr>
      <w:jc w:val="both"/>
    </w:pPr>
    <w:rPr>
      <w:szCs w:val="20"/>
    </w:rPr>
  </w:style>
  <w:style w:type="paragraph" w:styleId="Style21" w:customStyle="1">
    <w:name w:val="Содержимое таблицы"/>
    <w:basedOn w:val="Normal"/>
    <w:qFormat/>
    <w:pPr>
      <w:suppressLineNumbers/>
    </w:pPr>
    <w:rPr/>
  </w:style>
  <w:style w:type="paragraph" w:styleId="23" w:customStyle="1">
    <w:name w:val="Основной текст 2"/>
    <w:basedOn w:val="Normal"/>
    <w:qFormat/>
    <w:pPr>
      <w:jc w:val="both"/>
    </w:pPr>
    <w:rPr>
      <w:szCs w:val="20"/>
    </w:rPr>
  </w:style>
  <w:style w:type="paragraph" w:styleId="10" w:customStyle="1">
    <w:name w:val="Заголовок 10"/>
    <w:basedOn w:val="Style9"/>
    <w:qFormat/>
    <w:pPr>
      <w:spacing w:before="60" w:after="60"/>
      <w:outlineLvl w:val="8"/>
    </w:pPr>
    <w:rPr>
      <w:b/>
      <w:sz w:val="21"/>
      <w:szCs w:val="21"/>
    </w:rPr>
  </w:style>
  <w:style w:type="paragraph" w:styleId="user4" w:customStyle="1">
    <w:name w:val="Вміст таблиці (user)"/>
    <w:basedOn w:val="Normal"/>
    <w:qFormat/>
    <w:pPr>
      <w:widowControl w:val="false"/>
      <w:suppressLineNumbers/>
    </w:pPr>
    <w:rPr/>
  </w:style>
  <w:style w:type="paragraph" w:styleId="user5" w:customStyle="1">
    <w:name w:val="Заголовок таблиці (user)"/>
    <w:basedOn w:val="user4"/>
    <w:qFormat/>
    <w:pPr>
      <w:jc w:val="center"/>
    </w:pPr>
    <w:rPr>
      <w:b/>
    </w:rPr>
  </w:style>
  <w:style w:type="paragraph" w:styleId="BodyTextIndent">
    <w:name w:val="Body Text Indent"/>
    <w:basedOn w:val="Normal"/>
    <w:pPr>
      <w:ind w:firstLine="545"/>
      <w:jc w:val="both"/>
    </w:pPr>
    <w:rPr>
      <w:bCs w:val="false"/>
    </w:rPr>
  </w:style>
  <w:style w:type="paragraph" w:styleId="Style22" w:customStyle="1">
    <w:name w:val="Верхній колонтитул ліворуч"/>
    <w:basedOn w:val="Header"/>
    <w:qFormat/>
    <w:pPr>
      <w:suppressLineNumbers/>
      <w:tabs>
        <w:tab w:val="clear" w:pos="4677"/>
        <w:tab w:val="clear" w:pos="9355"/>
        <w:tab w:val="center" w:pos="4819" w:leader="none"/>
        <w:tab w:val="right" w:pos="9638" w:leader="none"/>
      </w:tabs>
    </w:pPr>
    <w:rPr/>
  </w:style>
  <w:style w:type="numbering" w:styleId="user6" w:customStyle="1">
    <w:name w:val="Без маркерів (user)"/>
    <w:qFormat/>
  </w:style>
  <w:style w:type="numbering" w:styleId="WW8Num1" w:customStyle="1">
    <w:name w:val="WW8Num1"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2688</TotalTime>
  <Application>LibreOffice/25.2.7.2$Windows_X86_64 LibreOffice_project/5cbfd1ab6520636bb5f7b99185aa69bd7456825d</Application>
  <AppVersion>15.0000</AppVersion>
  <Pages>13</Pages>
  <Words>2062</Words>
  <Characters>14339</Characters>
  <CharactersWithSpaces>16140</CharactersWithSpaces>
  <Paragraphs>373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2026-01-12T15:00:47Z</cp:lastPrinted>
  <dcterms:modified xsi:type="dcterms:W3CDTF">2026-01-28T12:57:35Z</dcterms:modified>
  <cp:revision>240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