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</w:t>
      </w:r>
    </w:p>
    <w:p>
      <w:pPr>
        <w:pStyle w:val="Normal"/>
        <w:widowControl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350" w:left="0" w:righ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  <w:t>П</w:t>
      </w: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ропозиція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val="ru-RU"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 xml:space="preserve">про здійснення публічно-приватного партнерства 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щодо проєкту «Будівництво та експлуатація стадіону з штучним покриттям за адресою м. Луцьк, вул. Теремнівська, 40-г»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 Інформація про об'єкт публічно-приватного партнерства (далі - ППП) та ініціатора пропозиції щодо здійснення ППП. 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1.1. Об'єктом ППП є земельна ділянка, розташована </w:t>
      </w:r>
      <w:r>
        <w:rPr>
          <w:rFonts w:cs="Times New Roman" w:ascii="Times New Roman" w:hAnsi="Times New Roman"/>
          <w:sz w:val="28"/>
          <w:szCs w:val="28"/>
        </w:rPr>
        <w:t>за адресою вул. Теремнівська, 40-г в м. Луцьку.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1.2. Найменування власника об’єкта ППП, публічного партнера та ініціатора пропозиції щодо здійснення ППП (далі – публічний партнер): Виконавчий комітет Луцької міської ради.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1.3. Код за ЄДРПОУ, види діяльності за КВЕД державного партнера: </w:t>
        <w:br/>
        <w:t>код: 04051327, КВЕД: 84.11 Державне управління загального характеру.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1.4. Дата державної реєстрації публічного партнера: </w:t>
      </w:r>
      <w:r>
        <w:rPr>
          <w:rFonts w:cs="Times New Roman" w:ascii="Times New Roman" w:hAnsi="Times New Roman"/>
          <w:sz w:val="28"/>
          <w:szCs w:val="28"/>
        </w:rPr>
        <w:t>18.04.1996.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1.5. Форма власності об'єкта ППП: комунальна.</w:t>
      </w:r>
    </w:p>
    <w:p>
      <w:pPr>
        <w:pStyle w:val="Normal"/>
        <w:tabs>
          <w:tab w:val="clear" w:pos="708"/>
          <w:tab w:val="left" w:pos="9639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cs="Times New Roman" w:ascii="Times New Roman" w:hAnsi="Times New Roman"/>
          <w:sz w:val="28"/>
          <w:szCs w:val="28"/>
          <w:lang w:eastAsia="uk-UA"/>
        </w:rPr>
        <w:t>1.6. Місцезнаходження, поштова адреса об'єкта ППП: 43000, вул. Теремнівська, 40-г, м. Луцьк, Україна.</w:t>
      </w:r>
    </w:p>
    <w:p>
      <w:pPr>
        <w:pStyle w:val="Normal"/>
        <w:tabs>
          <w:tab w:val="clear" w:pos="708"/>
          <w:tab w:val="left" w:pos="9639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cs="Times New Roman" w:ascii="Times New Roman" w:hAnsi="Times New Roman"/>
          <w:sz w:val="28"/>
          <w:szCs w:val="28"/>
          <w:lang w:eastAsia="uk-UA"/>
        </w:rPr>
        <w:t>1.7. Місцезнаходження публічного партнера: вул. Богдана Хмельницького,</w:t>
      </w:r>
      <w:r>
        <w:rPr>
          <w:rFonts w:cs="Times New Roman" w:ascii="Times New Roman" w:hAnsi="Times New Roman"/>
          <w:sz w:val="28"/>
          <w:szCs w:val="28"/>
          <w:lang w:val="en-US" w:eastAsia="uk-UA"/>
        </w:rPr>
        <w:t> </w:t>
      </w:r>
      <w:r>
        <w:rPr>
          <w:rFonts w:cs="Times New Roman" w:ascii="Times New Roman" w:hAnsi="Times New Roman"/>
          <w:sz w:val="28"/>
          <w:szCs w:val="28"/>
          <w:lang w:eastAsia="uk-UA"/>
        </w:rPr>
        <w:t>19, м. Луцьк, Україна.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1.8. Прізвище, ім'я, по батькові керівника публічного партнера: </w:t>
        <w:br/>
        <w:t>Поліщук Ігор Ігорович.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1.9. Контактний телефон, факс та адреса електронної пошти публічного партнера: (0332) 777 933, (0332) 777 900, email: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econom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@l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utskrada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.gov.ua, office@lutskrada.gov.ua.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1.10. Основні характеристики об'єкта ППП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Основні технічні та функціональні характеристики: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Поле для гри: гладка та рівна поверхня; розміри  (91-105м х 61-68м); </w:t>
      </w:r>
      <w:bookmarkStart w:id="0" w:name="_Hlk213191308"/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штучне покриття відповідно до ДБН та спортивних стандартів;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розмітка відповідно до вимог футбольних асоціацій; оснащене дренажною системою</w:t>
      </w:r>
      <w:bookmarkEnd w:id="0"/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Зона для розминок: облаштована окрема територія для розминки гравців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вздовж бокової лінії або за рекламними щитами біля кутових прапорців (за воротами власної команди); покриття ‒ штучне або натуральне трав’яне; оснащена елементами безпеки та огорожі.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Футбольні ворота: стійки та поперечини футбольних воріт виготовлені з алюмінієвого або аналогічних сучасних сплавів (круглі чи еліптичної форми); відстань між стійками ‒ 7.32 м.; відстань від нижнього краю поперечини до землі ‒ 2.44 м.; стійки воріт та поперечина білого кольору; не становлять жодної небезпеки для учасників матчу; наявні запасні ворота, які можуть бути легко встановлені в разі потреби.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Освітлення: система штучного освітлення (LED прожектори) для проведення матчів та тренувань у вечірній час, що забезпечує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середню горизонтальну освітленість в межах 350 Lx; відповідає вимогам телевізійної трансляції та безпечного проведення заходів.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Лави для запасних: покриті, захищені від погодних умов; обладнані сидіннями та місцями для персоналу команд (не менше ніж на 13 осіб для кожної команди).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Роздягальні: для кожної команди та суддів окремо; для команд оснащені щонайменше місцями для 25 осіб, двома душовими, окремим туалетом, одним масажним столом і однією тактичною дошкою; розташовані у безпосередній близькості до поля; забезпечують прямий та безпечний доступ для обох команд і арбітрів до ігрового поля; гарантують безпечне прибуття офіційних осіб на в’їзд/виїзд на (зі) стадіону.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Флаштоки: п’ять флагштоків або інших опор, що забезпечують підняття прапорів на стадіоні.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Пункт першої невідкладної допомоги: обладнаний медичним оснащенням для надання першої допомоги під час змагань та тренувань відповідно до вимог Української асоціації футболу (УАФ); розташований біля поля та роздягалень.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Паркувальні місця: кількість місць ‒ не менше 10 (з них мінімум два місця для паркування  автобусів); доступні для глядачів, персоналу та осіб з інвалідністю; облаштовані за схемою безпечного під’їзду до об’єкта.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Трибуни: кількість місць ‒ не менше 50; індивідуальні, закріплені (наприклад, до підлоги), відокремлені одне від одного, пронумеровані; виготовлені з міцного вогнестійкого матеріалу; мають спинку висотою не менше 30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 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см та ширину не менше 45 см; облаштовані вишками для встановлення камер для відеотрансляції.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Система громадського оповіщення: гучномовці та табло для оголошень під час матчів та тренувань; охоплює усю територію стадіону; забезпечує можливість трансляції повідомлень (в тому числі екстрених); захищена від збоїв живлення основного джерела.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Послуги для глядачів з обмеженими можливостями: доступні під’їзди та пандуси; виділені місця на трибунах; спеціально обладнані санітарні приміщення; зручні маршрути руху по території стадіону.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Вхід та вихід на стадіон: уся територія спортивної споруди огороджена; вхідні ворота та/чи турнікети унеможливлюють затори і забезпечують вільне проходження натовпу; вихідні двері та ворота чітко видимі та позначені; вихідні двері та ворота на стадіоні із секторів в ігрову зону розблоковані (у разі автоматичного керування, обов’язкова також можливість керування вручну), відкриваються назовні у напрямку виходу та шляхів евакуації; на підходах і на стадіоні встановлені відповідні покажчики (наприклад, міжнародні піктограми), за якими легко визначити вхідні та вихідні двері та ворота.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Адміністративні, господарські та технічні приміщення: адміністративний блок / офіс; конференц-зал / зал для пресконференцій та зустрічей (мінімум на 20 осіб); бюро або пункт адміністратора / каси; склад для спортивного інвентаря;</w:t>
      </w:r>
      <w:r>
        <w:rPr/>
        <w:t xml:space="preserve">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склад господарських матеріалів та інвентаря для обслуговування стадіону; технічні приміщення для інженерних мереж.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 Інформація про проєкт, що передбачається реалізувати у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en-US" w:eastAsia="uk-UA"/>
          <w14:ligatures w14:val="none"/>
        </w:rPr>
        <w:t>межах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ППП.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.1. Назва проєкту, що планується реалізуватись у межах ППП: «Будівництво та експлуатація стадіону з штучним покриттям за адресою вул. Теремнівська, 40-г 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у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місті Луцьку».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.2. Мета проєкту: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Забезпечення громади сучасним спортивним об’єктом ‒ стадіоном з штучним покриттям, який буде побудований та утримуватись за кошти приватного партнера, з подальшою орендою об’єкта для забезпечення доступності спорту та фізичної культури для мешканців громади, підвищення рівня спортивної інфраструктури та залучення приватних інвестицій до розвитку території.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2.3. Строк реалізації проєкту: 49 років.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2.4. Форма здійснення ППП: договір оренди з інвестиційними зобов’язаннями.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val="ru-RU" w:eastAsia="uk-UA"/>
          <w14:ligatures w14:val="none"/>
        </w:rPr>
        <w:t>2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.5. Прогнозована сума інвестицій, необхідна для запуску об’єкта в експлуатацію: 20 000,0 тис. гривень.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2.6. Основна діяльність, яку буде здійснювати під час реалізації проєкту ППП приватний партнер: проєктування та будівництво стадіону з штучним покриттям на комунальній земельній ділянці; повне фінансування будівництва та введення об’єкта в експлуатацію; утримання, обслуговування та управління стадіоном протягом строку дії договору ППП; надання доступу до стадіону для мешканців громади відповідно до умов договору.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2.7. Сума та вид державної підтримки, які необхідні для реалізації проєкту: не потребує державної підтримки.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>2.8. Інформація про земельну ділянку, що необхідна для реалізації ППП:</w:t>
      </w:r>
      <w:r>
        <w:rPr>
          <w:rFonts w:cs="Times New Roman" w:ascii="Times New Roman" w:hAnsi="Times New Roman"/>
          <w:sz w:val="28"/>
          <w:szCs w:val="28"/>
        </w:rPr>
        <w:t xml:space="preserve"> орієнтовна площа: </w:t>
      </w:r>
      <w:bookmarkStart w:id="1" w:name="_Hlk213189610"/>
      <w:r>
        <w:rPr>
          <w:rFonts w:cs="Times New Roman" w:ascii="Times New Roman" w:hAnsi="Times New Roman"/>
          <w:sz w:val="28"/>
          <w:szCs w:val="28"/>
        </w:rPr>
        <w:t>1 га,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призначення: 03.15 Для будівництва та обслуговування інших будівель громадської забудови; використання ‒ для будівництва та обслуговування спортивного комплексу; категорія ‒ землі житлової та громадської забудови.</w:t>
      </w:r>
      <w:bookmarkEnd w:id="1"/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</w:t>
      </w:r>
      <w:r>
        <w:rPr>
          <w:rFonts w:cs="Times New Roman" w:ascii="Times New Roman" w:hAnsi="Times New Roman"/>
          <w:sz w:val="28"/>
          <w:szCs w:val="28"/>
          <w:lang w:val="ru-RU"/>
        </w:rPr>
        <w:t> </w:t>
      </w:r>
      <w:r>
        <w:rPr>
          <w:rFonts w:cs="Times New Roman" w:ascii="Times New Roman" w:hAnsi="Times New Roman"/>
          <w:sz w:val="28"/>
          <w:szCs w:val="28"/>
        </w:rPr>
        <w:t xml:space="preserve">Невід’ємною частиною цієї пропозиції є техніко-економічне обґрунтування для здійснення публічно-приватного партнерства щодо проєкту </w:t>
      </w:r>
      <w:r>
        <w:rPr>
          <w:rFonts w:eastAsia="Times New Roman" w:cs="Times New Roman" w:ascii="Times New Roman" w:hAnsi="Times New Roman"/>
          <w:bCs/>
          <w:kern w:val="0"/>
          <w:sz w:val="28"/>
          <w:szCs w:val="28"/>
          <w:lang w:eastAsia="uk-UA"/>
          <w14:ligatures w14:val="none"/>
        </w:rPr>
        <w:t>«Будівництво та експлуатація стадіону з штучним покриттям за адресою м. Луцьк, вул. Теремнівська, 40-г»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  <w:t xml:space="preserve"> </w:t>
      </w:r>
      <w:bookmarkStart w:id="2" w:name="_GoBack"/>
      <w:bookmarkEnd w:id="2"/>
      <w:r>
        <w:rPr>
          <w:rFonts w:cs="Times New Roman" w:ascii="Times New Roman" w:hAnsi="Times New Roman"/>
          <w:sz w:val="28"/>
          <w:szCs w:val="28"/>
        </w:rPr>
        <w:t>(додано).</w:t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 w:themeFill="background1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  Юрій БЕЗПЯТКО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4" w:right="567" w:gutter="0" w:header="1134" w:top="1866" w:footer="0" w:bottom="1134"/>
      <w:pgNumType w:start="2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rFonts w:ascii="Times New Roman" w:hAnsi="Times New Roman"/>
        <w:sz w:val="28"/>
        <w:szCs w:val="28"/>
      </w:rPr>
    </w:pPr>
    <w:bookmarkStart w:id="3" w:name="PageNumWizard_HEADER_Перша_сторінка2"/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5</w:t>
    </w:r>
    <w:r>
      <w:rPr>
        <w:sz w:val="28"/>
        <w:szCs w:val="28"/>
        <w:rFonts w:ascii="Times New Roman" w:hAnsi="Times New Roman"/>
      </w:rPr>
      <w:fldChar w:fldCharType="end"/>
    </w:r>
    <w:bookmarkEnd w:id="3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rFonts w:ascii="Times New Roman" w:hAnsi="Times New Roman"/>
        <w:sz w:val="28"/>
        <w:szCs w:val="28"/>
      </w:rPr>
    </w:pPr>
    <w:bookmarkStart w:id="4" w:name="PageNumWizard_HEADER_Перша_сторінка2"/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5</w:t>
    </w:r>
    <w:r>
      <w:rPr>
        <w:sz w:val="28"/>
        <w:szCs w:val="28"/>
        <w:rFonts w:ascii="Times New Roman" w:hAnsi="Times New Roman"/>
      </w:rPr>
      <w:fldChar w:fldCharType="end"/>
    </w:r>
    <w:bookmarkEnd w:id="4"/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uk-UA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ий HTML Знак"/>
    <w:basedOn w:val="DefaultParagraphFont"/>
    <w:link w:val="HTMLPreformatted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Hyperlink">
    <w:name w:val="Hyperlink"/>
    <w:basedOn w:val="DefaultParagraphFont"/>
    <w:uiPriority w:val="99"/>
    <w:unhideWhenUsed/>
    <w:rsid w:val="00282b63"/>
    <w:rPr>
      <w:color w:themeColor="hyperlink" w:val="0563C1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8568f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1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Style16"/>
    <w:pPr>
      <w:suppressLineNumbers/>
    </w:pPr>
    <w:rPr/>
  </w:style>
  <w:style w:type="paragraph" w:styleId="Footer">
    <w:name w:val="footer"/>
    <w:basedOn w:val="Style16"/>
    <w:pPr>
      <w:suppressLineNumbers/>
    </w:pPr>
    <w:rPr/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5913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96D6-6762-424F-8536-4D275DFB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Application>LibreOffice/25.2.7.2$Windows_X86_64 LibreOffice_project/5cbfd1ab6520636bb5f7b99185aa69bd7456825d</Application>
  <AppVersion>15.0000</AppVersion>
  <Pages>4</Pages>
  <Words>948</Words>
  <Characters>6285</Characters>
  <CharactersWithSpaces>7260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2025-10-20T08:31:00Z</dcterms:created>
  <dc:creator>Serhii Omelchuk</dc:creator>
  <dc:description/>
  <dc:language>uk-UA</dc:language>
  <cp:lastModifiedBy/>
  <dcterms:modified xsi:type="dcterms:W3CDTF">2026-01-08T09:58:34Z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